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Rahmer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RELAY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HAMPSHIRE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Relay Therapeutics, Inc.</w:t>
              </w:r>
            </w:hyperlink>
            <w:r>
              <w:rPr/>
              <w:t xml:space="preserve"> [ </w:t>
            </w:r>
            <w:r>
              <w:rPr>
                <w:rFonts w:ascii="Times;serif" w:hAnsi="Times;serif"/>
                <w:color w:val="0000FF"/>
                <w:sz w:val="24"/>
                <w:shd w:fill="FFFFFF" w:val="clear"/>
              </w:rPr>
              <w:t>RLAY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10"/>
        <w:gridCol w:w="459"/>
        <w:gridCol w:w="756"/>
        <w:gridCol w:w="1202"/>
        <w:gridCol w:w="1003"/>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748</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18.61</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228,165</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of shares to cover the reporting person's income tax withholding obligations upon the vesting of 3,051 shares of restricted stock units ("RSUs") on July 27, 2026. The reporting person had no discretion with respect to such sale, which was transacted in accordance with the Issuer's policies regarding the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6,102 shares underlying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Cheif Corporate Development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Soo-Yeun Lim,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9229" TargetMode="External"/><Relationship Id="rId5" Type="http://schemas.openxmlformats.org/officeDocument/2006/relationships/hyperlink" Target="http://www.sec.gov/cgi-bin/browse-edgar?action=getcompany&amp;CIK=00018123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3444</Characters>
  <CharactersWithSpaces>4002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