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lay-20231231.htm"/>
      <w:bookmarkStart w:id="1" w:name="ksrlay202312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63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fiscal year ended December 31, 2023</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60" w:after="283"/>
              <w:jc w:val="left"/>
              <w:rPr>
                <w:color w:val="000000"/>
              </w:rPr>
            </w:pPr>
            <w:r>
              <w:rPr>
                <w:color w:val="000000"/>
              </w:rPr>
              <w:t>☐</w:t>
            </w:r>
          </w:p>
        </w:tc>
        <w:tc>
          <w:tcPr>
            <w:tcW w:w="9874" w:type="dxa"/>
            <w:tcBorders/>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Commission File Number: 001-39385</w:t>
      </w:r>
    </w:p>
    <w:p>
      <w:pPr>
        <w:pStyle w:val="TextBody"/>
        <w:pBdr>
          <w:bottom w:val="sing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RELAY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3823" w:type="dxa"/>
        <w:jc w:val="left"/>
        <w:tblInd w:w="0" w:type="dxa"/>
        <w:tblLayout w:type="fixed"/>
        <w:tblCellMar>
          <w:top w:w="28" w:type="dxa"/>
          <w:left w:w="28" w:type="dxa"/>
          <w:bottom w:w="28" w:type="dxa"/>
          <w:right w:w="28" w:type="dxa"/>
        </w:tblCellMar>
      </w:tblPr>
      <w:tblGrid>
        <w:gridCol w:w="2431"/>
        <w:gridCol w:w="146"/>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vAlign w:val="center"/>
          </w:tcPr>
          <w:p>
            <w:pPr>
              <w:pStyle w:val="TableContents"/>
              <w:bidi w:val="0"/>
              <w:spacing w:before="0" w:after="283"/>
              <w:jc w:val="center"/>
              <w:rPr/>
            </w:pPr>
            <w:r>
              <w:rPr/>
              <w:t> </w:t>
            </w:r>
          </w:p>
        </w:tc>
        <w:tc>
          <w:tcPr>
            <w:tcW w:w="124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47-3923475</w:t>
            </w:r>
          </w:p>
        </w:tc>
      </w:tr>
      <w:tr>
        <w:trPr/>
        <w:tc>
          <w:tcPr>
            <w:tcW w:w="2431"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vAlign w:val="center"/>
          </w:tcPr>
          <w:p>
            <w:pPr>
              <w:pStyle w:val="TableContents"/>
              <w:bidi w:val="0"/>
              <w:spacing w:before="0" w:after="283"/>
              <w:jc w:val="center"/>
              <w:rPr/>
            </w:pPr>
            <w:r>
              <w:rPr/>
              <w:t> </w:t>
            </w:r>
          </w:p>
        </w:tc>
        <w:tc>
          <w:tcPr>
            <w:tcW w:w="1246"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399 Binney Street, 2nd Floor</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Cambridge, MA</w:t>
            </w:r>
          </w:p>
        </w:tc>
        <w:tc>
          <w:tcPr>
            <w:tcW w:w="146" w:type="dxa"/>
            <w:tcBorders/>
            <w:vAlign w:val="center"/>
          </w:tcPr>
          <w:p>
            <w:pPr>
              <w:pStyle w:val="TableContents"/>
              <w:bidi w:val="0"/>
              <w:spacing w:before="0" w:after="283"/>
              <w:jc w:val="center"/>
              <w:rPr/>
            </w:pPr>
            <w:r>
              <w:rPr/>
              <w:t> </w:t>
            </w:r>
          </w:p>
        </w:tc>
        <w:tc>
          <w:tcPr>
            <w:tcW w:w="124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02139</w:t>
            </w:r>
          </w:p>
        </w:tc>
      </w:tr>
      <w:tr>
        <w:trPr/>
        <w:tc>
          <w:tcPr>
            <w:tcW w:w="243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vAlign w:val="center"/>
          </w:tcPr>
          <w:p>
            <w:pPr>
              <w:pStyle w:val="TableContents"/>
              <w:bidi w:val="0"/>
              <w:spacing w:before="0" w:after="283"/>
              <w:jc w:val="center"/>
              <w:rPr/>
            </w:pPr>
            <w:r>
              <w:rPr/>
              <w:t> </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(617) 370-8837</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00" w:type="dxa"/>
        <w:jc w:val="left"/>
        <w:tblInd w:w="0" w:type="dxa"/>
        <w:tblLayout w:type="fixed"/>
        <w:tblCellMar>
          <w:top w:w="28" w:type="dxa"/>
          <w:left w:w="28" w:type="dxa"/>
          <w:bottom w:w="28" w:type="dxa"/>
          <w:right w:w="28" w:type="dxa"/>
        </w:tblCellMar>
      </w:tblPr>
      <w:tblGrid>
        <w:gridCol w:w="3766"/>
        <w:gridCol w:w="146"/>
        <w:gridCol w:w="82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RLAY</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Global Market</w:t>
            </w:r>
          </w:p>
        </w:tc>
      </w:tr>
    </w:tbl>
    <w:p>
      <w:pPr>
        <w:pStyle w:val="TextBody"/>
        <w:bidi w:val="0"/>
        <w:spacing w:before="4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16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231F2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The aggregate market value of common stock held by non-affiliates of the Registrant based on the closing price of the Registrant’s common stock as reported on the Nasdaq Global Market on June 30, 2023, the last business day of the Registrant’s most recently completed second quarter, was approximately $1.5</w:t>
      </w:r>
      <w:r>
        <w:rPr>
          <w:rFonts w:ascii="Times New Roman" w:hAnsi="Times New Roman"/>
          <w:color w:val="000000"/>
          <w:sz w:val="20"/>
        </w:rPr>
        <w:t xml:space="preserve"> </w:t>
      </w:r>
      <w:r>
        <w:rPr>
          <w:rFonts w:ascii="Times New Roman" w:hAnsi="Times New Roman"/>
          <w:color w:val="000000"/>
          <w:sz w:val="16"/>
        </w:rPr>
        <w:t>billion.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The number of shares of Registrant’s Common Stock outstanding as of February 16, 2024 was 131,179,034.</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The Registrant intends to file a definitive proxy statement pursuant to Regulation 14A relating to the 2024 Annual Meeting of Stockholders within 120 days of the end of the registrant’s fiscal year ended December 31, 2023. Portions of such definitive proxy statement are incorporated by reference into Part III of this Annual Report on Form 10-K to the extent stated herein.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Table of Contents</w:t>
      </w:r>
    </w:p>
    <w:p>
      <w:pPr>
        <w:pStyle w:val="TextBody"/>
        <w:bidi w:val="0"/>
        <w:jc w:val="left"/>
        <w:rPr/>
      </w:pPr>
      <w:r>
        <w:rPr/>
        <w:t> </w:t>
      </w:r>
    </w:p>
    <w:tbl>
      <w:tblPr>
        <w:tblW w:w="9691" w:type="dxa"/>
        <w:jc w:val="left"/>
        <w:tblInd w:w="0" w:type="dxa"/>
        <w:tblLayout w:type="fixed"/>
        <w:tblCellMar>
          <w:top w:w="28" w:type="dxa"/>
          <w:left w:w="28" w:type="dxa"/>
          <w:bottom w:w="28" w:type="dxa"/>
          <w:right w:w="28" w:type="dxa"/>
        </w:tblCellMar>
      </w:tblPr>
      <w:tblGrid>
        <w:gridCol w:w="873"/>
        <w:gridCol w:w="283"/>
        <w:gridCol w:w="7831"/>
        <w:gridCol w:w="146"/>
        <w:gridCol w:w="558"/>
      </w:tblGrid>
      <w:tr>
        <w:trPr/>
        <w:tc>
          <w:tcPr>
            <w:tcW w:w="87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Page</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
              <w:r>
                <w:rPr>
                  <w:rStyle w:val="InternetLink"/>
                  <w:rFonts w:ascii="Times New Roman" w:hAnsi="Times New Roman"/>
                  <w:b/>
                  <w:color w:val="0000FF"/>
                  <w:sz w:val="17"/>
                  <w:u w:val="single"/>
                </w:rPr>
                <w:t>PART I</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17"/>
                  <w:u w:val="single"/>
                </w:rPr>
                <w:t>Business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4</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1A.</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17"/>
                  <w:u w:val="single"/>
                </w:rPr>
                <w:t>Risk Factors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39</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1B.</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17"/>
                  <w:u w:val="single"/>
                </w:rPr>
                <w:t>Unresolved Staff Comments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83</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1C.</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17"/>
                  <w:u w:val="single"/>
                </w:rPr>
                <w:t>Cybersecurity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83</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17"/>
                  <w:u w:val="single"/>
                </w:rPr>
                <w:t>Properties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84</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17"/>
                  <w:u w:val="single"/>
                </w:rPr>
                <w:t>Legal Proceedings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84</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4.</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
              <w:r>
                <w:rPr>
                  <w:rStyle w:val="InternetLink"/>
                  <w:rFonts w:ascii="Times New Roman" w:hAnsi="Times New Roman"/>
                  <w:color w:val="0000FF"/>
                  <w:sz w:val="17"/>
                  <w:u w:val="single"/>
                </w:rPr>
                <w:t>Mine Safety Disclosures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
              <w:r>
                <w:rPr>
                  <w:rStyle w:val="InternetLink"/>
                  <w:rFonts w:ascii="Times New Roman" w:hAnsi="Times New Roman"/>
                  <w:b/>
                  <w:color w:val="0000FF"/>
                  <w:sz w:val="17"/>
                  <w:u w:val="single"/>
                </w:rPr>
                <w:t>PART II</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17"/>
                  <w:u w:val="single"/>
                </w:rPr>
                <w:t>Market for Registrant’s Common Equity, Related Stockholder Matters and Issuer Purchases of Equity Securities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85</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17"/>
                  <w:u w:val="single"/>
                </w:rPr>
                <w:t>[Reserved]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86</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7.</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17"/>
                  <w:u w:val="single"/>
                </w:rPr>
                <w:t>Management’s Discussion and Analysis of Financial Condition and Results of Operations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87</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7A.</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17"/>
                  <w:u w:val="single"/>
                </w:rPr>
                <w:t>Quantitative and Qualitative Disclosures About Market Risk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101</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17"/>
                  <w:u w:val="single"/>
                </w:rPr>
                <w:t>Financial Statements and Supplementary Data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101</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9.</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
              <w:r>
                <w:rPr>
                  <w:rStyle w:val="InternetLink"/>
                  <w:rFonts w:ascii="Times New Roman" w:hAnsi="Times New Roman"/>
                  <w:color w:val="0000FF"/>
                  <w:sz w:val="17"/>
                  <w:u w:val="single"/>
                </w:rPr>
                <w:t>Changes in and Disagreements With Accountants on Accounting and Financial Disclosure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101</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9A.</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
              <w:r>
                <w:rPr>
                  <w:rStyle w:val="InternetLink"/>
                  <w:rFonts w:ascii="Times New Roman" w:hAnsi="Times New Roman"/>
                  <w:color w:val="0000FF"/>
                  <w:sz w:val="17"/>
                  <w:u w:val="single"/>
                </w:rPr>
                <w:t>Controls and Procedures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101</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9B.</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
              <w:r>
                <w:rPr>
                  <w:rStyle w:val="InternetLink"/>
                  <w:rFonts w:ascii="Times New Roman" w:hAnsi="Times New Roman"/>
                  <w:color w:val="0000FF"/>
                  <w:sz w:val="17"/>
                  <w:u w:val="single"/>
                </w:rPr>
                <w:t>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104</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9C.</w:t>
            </w:r>
          </w:p>
        </w:tc>
        <w:tc>
          <w:tcPr>
            <w:tcW w:w="28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
              <w:r>
                <w:rPr>
                  <w:rStyle w:val="InternetLink"/>
                  <w:rFonts w:ascii="Times New Roman" w:hAnsi="Times New Roman"/>
                  <w:color w:val="0000FF"/>
                  <w:sz w:val="17"/>
                  <w:u w:val="single"/>
                </w:rPr>
                <w:t>Disclosure Regarding Foreign Jurisdictions that Prevent Inspections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104</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_">
              <w:r>
                <w:rPr>
                  <w:rStyle w:val="InternetLink"/>
                  <w:rFonts w:ascii="Times New Roman" w:hAnsi="Times New Roman"/>
                  <w:b/>
                  <w:color w:val="0000FF"/>
                  <w:sz w:val="17"/>
                  <w:u w:val="single"/>
                </w:rPr>
                <w:t>PART III</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10.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17"/>
                  <w:u w:val="single"/>
                </w:rPr>
                <w:t>Directors, Executive Officers and Corporate Governance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105</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11.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17"/>
                  <w:u w:val="single"/>
                </w:rPr>
                <w:t>Executive Compensation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105</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12.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of">
              <w:r>
                <w:rPr>
                  <w:rStyle w:val="InternetLink"/>
                  <w:rFonts w:ascii="Times New Roman" w:hAnsi="Times New Roman"/>
                  <w:color w:val="0000FF"/>
                  <w:sz w:val="17"/>
                  <w:u w:val="single"/>
                </w:rPr>
                <w:t>Security Ownership of Certain Beneficial Owners and Management and Related Stockholder Matters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105</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13.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17"/>
                  <w:u w:val="single"/>
                </w:rPr>
                <w:t>Certain Relationships and Related Transactions, and Director Independence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105</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14.</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
              <w:r>
                <w:rPr>
                  <w:rStyle w:val="InternetLink"/>
                  <w:rFonts w:ascii="Times New Roman" w:hAnsi="Times New Roman"/>
                  <w:color w:val="0000FF"/>
                  <w:sz w:val="17"/>
                  <w:u w:val="single"/>
                </w:rPr>
                <w:t>Principal Accounting Fees and Services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_">
              <w:r>
                <w:rPr>
                  <w:rStyle w:val="InternetLink"/>
                  <w:rFonts w:ascii="Times New Roman" w:hAnsi="Times New Roman"/>
                  <w:b/>
                  <w:color w:val="0000FF"/>
                  <w:sz w:val="17"/>
                  <w:u w:val="single"/>
                </w:rPr>
                <w:t>PART IV</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15.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17"/>
                  <w:u w:val="single"/>
                </w:rPr>
                <w:t>Exhibits and Financial Statement Schedules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106</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rFonts w:ascii="Times New Roman" w:hAnsi="Times New Roman"/>
                <w:color w:val="000000"/>
                <w:sz w:val="17"/>
              </w:rPr>
            </w:pPr>
            <w:r>
              <w:rPr>
                <w:rFonts w:ascii="Times New Roman" w:hAnsi="Times New Roman"/>
                <w:color w:val="000000"/>
                <w:sz w:val="17"/>
              </w:rPr>
              <w:t>Item 16.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17"/>
                  <w:u w:val="single"/>
                </w:rPr>
                <w:t>Form 10-K Summary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F-1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aps/>
          <w:color w:val="000000"/>
          <w:sz w:val="18"/>
        </w:rPr>
        <w:t>Summary of the Material Risks Associated with Our Business</w:t>
      </w:r>
      <w:r>
        <w:rPr>
          <w:rFonts w:ascii="Times New Roman" w:hAnsi="Times New Roman"/>
          <w:caps/>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have never successfully completed any large-scale, pivotal clinical trials, and we may be unable to do so for any product candidates we develop. Clinical product development involves a lengthy and expensive process, with an uncertain outcome. We may incur additional costs or experience delays in completing, or ultimately be unable to complete, the development and commercialization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If we experience delays or difficulties in the enrollment of patients in clinical trials, our receipt of necessary regulatory approvals could be delayed or prevented.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current or future clinical trials may reveal significant adverse events not seen in our preclinical or nonclinical studies or early clinical data and may result in a safety profile that would inhibit regulatory approval or market acceptance of any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face substantial competition, which may result in others discovering, developing or commercializing products before or more successfully than we do.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rely on third parties to conduct our ongoing clinical trials of our product candidates and expect to rely on third parties to conduct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are a biopharmaceutical company with a limited operating history. We have incurred significant operating losses since our inception and anticipate that we will incur continued losses for the foreseeable future. We have no products approved for commercial sale and have not generated any revenue from product sales.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will need to raise substantial additional funding. If we are unable to raise capital when needed, we would be forced to delay, reduce or eliminate some of our product development programs or commercialization efforts.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will be impaired.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18"/>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This Annual Report on Form 10-K contains express or implied "forward-looking statements," within the meaning of the Private Securities Litigation Reform Act of 1995,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on Form 10-K include, but are not limited to, implied or express, statements about:</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initiation, enrollment, timing, progress, results, and cost of our product candidates and research and development programs and our current and future preclinical and clinical studies, including statements regarding the timing of initiation and completion of studies or trials and related preparatory work, the period during which the results of the trials will become available;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identification of research priorities, reallocation of resources among programs and application of a risk-mitigated strategy to efficiently discover and develop product candidates, including by applying learnings from one program to other programs and from one modality to our other modalities, as well as the potential expected benefits therefrom;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potential safety and efficacy of our product candidates and the therapeutic implications of clinical and preclinical data;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manufacture of our drug substances, delivery vehicles, and product candidates for preclinical use, for clinical trials and on a larger scale for commercial use, if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relationships with our third-party strategic collaborators and their ability to continue research and development activities relating to our development candidates and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funding for our operations necessary to complete further development and commercialization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plans to seek regulatory approval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pricing and reimbursement of our product candidates, if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implementation of our business model, and strategic plans for our business, product candidates, and technology;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of protection for intellectual property rights covering our product candidates and technology;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estimates of our future expenses, revenues, capital requirements, and our needs for additional financing;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potential benefits of strategic collaboration agreements with collaborators with development, regulatory and commercialization expertise;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future agreements with third parties in connection with the commercialization of product candidates and any other approved product;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size and growth potential of the markets for our product candidates, and our ability to serve those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financial performance;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rate and degree of market acceptance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regulatory developments in the United States and foreign countries;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contract with third-party suppliers and manufacturers and their ability to perform adequately;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produce our products or product candidates with advantages in turnaround times or manufacturing cost;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competing therapies that are or may become available;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attract and retain key scientific or management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laws and regulations on our business and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developments relating to our competitors and our industry;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effect of public health epidemics or outbreaks of an infectious disease and ongoing geopolitical conflicts, including mitigation efforts and economic effects, on any of the foregoing or other aspects of our business operations, including but not limited to our preclinical studies and current and future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 economic and market conditions, including, among others, inflation, interest rates, tax rates economic uncertainty, the actual or perceived failure or financial difficulties of additional financial institutions and economic and trade sanctions, including their effect on our results of operations;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other risks and uncertainties, including those listed under the caption "Risk Factors."</w:t>
      </w:r>
    </w:p>
    <w:p>
      <w:pPr>
        <w:pStyle w:val="TextBody"/>
        <w:bidi w:val="0"/>
        <w:spacing w:before="240" w:after="283"/>
        <w:jc w:val="left"/>
        <w:rPr>
          <w:rFonts w:ascii="Times New Roman" w:hAnsi="Times New Roman"/>
          <w:sz w:val="20"/>
        </w:rPr>
      </w:pPr>
      <w:r>
        <w:rPr>
          <w:rFonts w:ascii="Times New Roman" w:hAnsi="Times New Roman"/>
          <w:color w:val="000000"/>
          <w:sz w:val="18"/>
        </w:rPr>
        <w:t>In some cases, you can identify forward-looking statements by terminology such as "may," "can," "should," "expects," "intends," "plans," "anticipates," "believes," "estimates," "forecasts," "goal," "likely," "predicts," "potential," "projects," "will," "might," "could," "continue," or the negative of these terms or other comparable terminology. These statements are only predictions. All statements other than statements of historical facts are statements that could be deemed forward-looking statements.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above under "Summary of the Material Risks Associated with Our Business," those listed below under the section titled "Risk Factors" and elsewhere in this Annual Report on Form 10-K.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on Form 10-K and the documents that we reference in this Annual Report on Form 10-K and have filed with the Securities and Exchange Commission, or the SEC, as exhibits hereto completely and with the understanding that our actual future results may be materially different from any future results expressed or implied by these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This Annual Report on Form 10-K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Annual Report on Form 10-K, their estimates, in particular as they relate to projections, involve numerous assumptions, are subject to risks and uncertainties and are subject to change based on various factors, including those discussed under the section titled "Risk Factors" and elsewhere in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18"/>
        </w:rPr>
      </w:pPr>
      <w:bookmarkStart w:id="3" w:name="part_i_"/>
      <w:bookmarkEnd w:id="3"/>
      <w:r>
        <w:rPr>
          <w:rFonts w:ascii="Times New Roman" w:hAnsi="Times New Roman"/>
          <w:b/>
          <w:color w:val="000000"/>
          <w:sz w:val="18"/>
        </w:rPr>
        <w:t>PART I</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Except where the context otherwise requires or where otherwise indicated, the terms "Relay Therapeutics," "we," "us," "our," "our company," the "Company," and "our business" refer to Relay Therapeutics, Inc. and its consolidated subsidiaries.</w:t>
      </w:r>
    </w:p>
    <w:p>
      <w:pPr>
        <w:pStyle w:val="TextBody"/>
        <w:bidi w:val="0"/>
        <w:spacing w:before="240" w:after="283"/>
        <w:jc w:val="left"/>
        <w:rPr>
          <w:rFonts w:ascii="Times New Roman" w:hAnsi="Times New Roman"/>
          <w:sz w:val="20"/>
        </w:rPr>
      </w:pPr>
      <w:bookmarkStart w:id="4" w:name="item_1_business"/>
      <w:bookmarkEnd w:id="4"/>
      <w:r>
        <w:rPr>
          <w:rFonts w:ascii="Times New Roman" w:hAnsi="Times New Roman"/>
          <w:b/>
          <w:color w:val="000000"/>
          <w:sz w:val="18"/>
        </w:rPr>
        <w:t>Item 1.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a clinical-stage precision medicine company transforming the drug discovery process by combining leading-edge computational and experimental technologies with the goal of bringing life-changing therapies to patients. As we believe we are among the first of a new breed of biotech created at the intersection of complementary techniques and technologies, we aim to push the boundaries of what’s possible in drug discovery. Our Dynamo platform integrates an array of leading-edge computational and experimental approaches designed to drug protein targets that have previously been intractable or inadequately addressed. Our initial focus is on enhancing small molecule therapeutic discovery in targeted oncology and genetic disease indications.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Precision medicine emerged as an approach for disease treatment as the understanding of the link between genetic alterations, protein dysfunction and diseases evolved. Precision medicine aims to specifically and potently drug genetically validated target proteins (i.e., genetic variants potentially implicated in biology of disease). However, some target proteins thus far have been intractable or inadequately addressed using conventional drug discovery tools. While conventional approaches are well-suited to solving some drug discovery problems such as orthosteric site kinase inhibitors, their reliance on static images of protein fragments limits their ability to gain accurate insights into the dynamic behavior of proteins in their natural state, which in turn limits their ability to discover medicines with exquisite specificity. Our approach pivots the understanding of protein targets from the industry-standard, static view, to a novel paradigm based on fundamental insights into protein motion. We then apply these novel insights into protein motion to drug discovery and design, which we term Motion-Based Drug Design®.</w:t>
      </w:r>
    </w:p>
    <w:p>
      <w:pPr>
        <w:pStyle w:val="TextBody"/>
        <w:bidi w:val="0"/>
        <w:spacing w:before="240" w:after="283"/>
        <w:jc w:val="left"/>
        <w:rPr>
          <w:rFonts w:ascii="Times New Roman" w:hAnsi="Times New Roman"/>
          <w:sz w:val="20"/>
        </w:rPr>
      </w:pPr>
      <w:r>
        <w:rPr>
          <w:rFonts w:ascii="Times New Roman" w:hAnsi="Times New Roman"/>
          <w:color w:val="000000"/>
          <w:sz w:val="18"/>
        </w:rPr>
        <w:t>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advancing a pipeline of medicine candidates to address targets in precision oncology and genetic disease, including our lead product candidates discussed below.</w:t>
      </w:r>
      <w:r>
        <w:rPr>
          <w:rFonts w:ascii="Times New Roman" w:hAnsi="Times New Roman"/>
          <w:color w:val="000000"/>
          <w:sz w:val="20"/>
        </w:rPr>
        <w:t xml:space="preserve"> </w:t>
      </w:r>
    </w:p>
    <w:p>
      <w:pPr>
        <w:pStyle w:val="TextBody"/>
        <w:bidi w:val="0"/>
        <w:jc w:val="center"/>
        <w:rPr/>
      </w:pPr>
      <w:r>
        <w:rPr/>
        <w:t> </w:t>
      </w:r>
    </w:p>
    <w:p>
      <w:pPr>
        <w:pStyle w:val="TextBody"/>
        <w:bidi w:val="0"/>
        <w:jc w:val="center"/>
        <w:rPr/>
      </w:pPr>
      <w:r>
        <w:rPr/>
        <w:drawing>
          <wp:inline distT="0" distB="0" distL="0" distR="0">
            <wp:extent cx="5943600" cy="2619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619375"/>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_________________</w:t>
      </w:r>
    </w:p>
    <w:p>
      <w:pPr>
        <w:pStyle w:val="TextBody"/>
        <w:bidi w:val="0"/>
        <w:jc w:val="left"/>
        <w:rPr>
          <w:rFonts w:ascii="Times New Roman" w:hAnsi="Times New Roman"/>
          <w:i/>
          <w:color w:val="000000"/>
          <w:sz w:val="18"/>
        </w:rPr>
      </w:pPr>
      <w:r>
        <w:rPr>
          <w:rFonts w:ascii="Times New Roman" w:hAnsi="Times New Roman"/>
          <w:i/>
          <w:color w:val="000000"/>
          <w:sz w:val="18"/>
        </w:rPr>
        <w:t>Note: Unless otherwise indicated, patient numbers refer to total annual number of U.S. patients with late-line cancers compared to comprehensive annual incidence that may be amenable to treatment with our programs.</w:t>
      </w:r>
    </w:p>
    <w:p>
      <w:pPr>
        <w:pStyle w:val="TextBody"/>
        <w:bidi w:val="0"/>
        <w:jc w:val="left"/>
        <w:rPr>
          <w:rFonts w:ascii="Times New Roman" w:hAnsi="Times New Roman"/>
          <w:sz w:val="20"/>
        </w:rPr>
      </w:pPr>
      <w:r>
        <w:rPr>
          <w:rFonts w:ascii="Times New Roman" w:hAnsi="Times New Roman"/>
          <w:i/>
          <w:color w:val="000000"/>
          <w:sz w:val="18"/>
        </w:rPr>
        <w:t>1. Unless otherwise indicated, all breast cancer patient numbers refer to HR+/HER2- breast cancer tumors;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8"/>
        </w:rPr>
        <w:t>2. ~35k HR+/HER2- breast cancer patients expected to receive CDK 4/6 inhibitors in adjuvant setting, first-line setting, and second-line setting in 2024, per Decision Resources Breast Cancer Market Forecast report dated November 2023;</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18"/>
        </w:rPr>
        <w:t>3. HR+/HER2- US late-line breast cancer patients compared to HR+/HER2- U.S. incident breast cancer patients;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18"/>
        </w:rPr>
        <w:t>4. FGFR2 altered late-line solid tumors compared to comprehensive annual FGFR2 altered incident solid tumors including additional FGFR gene fusions and rearrangements resulting from truncation of the protein at exon 18 and all breast cancer patients with FGFR2 alterations;</w:t>
      </w:r>
      <w:r>
        <w:rPr>
          <w:rFonts w:ascii="Times New Roman" w:hAnsi="Times New Roman"/>
          <w:color w:val="000000"/>
          <w:sz w:val="20"/>
        </w:rPr>
        <w:t xml:space="preserve"> </w:t>
      </w:r>
    </w:p>
    <w:p>
      <w:pPr>
        <w:pStyle w:val="TextBody"/>
        <w:bidi w:val="0"/>
        <w:jc w:val="left"/>
        <w:rPr>
          <w:rFonts w:ascii="Times New Roman" w:hAnsi="Times New Roman"/>
          <w:i/>
          <w:color w:val="000000"/>
          <w:sz w:val="18"/>
        </w:rPr>
      </w:pPr>
      <w:r>
        <w:rPr>
          <w:rFonts w:ascii="Times New Roman" w:hAnsi="Times New Roman"/>
          <w:i/>
          <w:color w:val="000000"/>
          <w:sz w:val="18"/>
        </w:rPr>
        <w:t>5. SHP2 combo only includes KRAS G12C in lung and colorectal, EGFR mutations in lung, and ALK fusions in lung;</w:t>
      </w:r>
    </w:p>
    <w:p>
      <w:pPr>
        <w:pStyle w:val="TextBody"/>
        <w:bidi w:val="0"/>
        <w:jc w:val="left"/>
        <w:rPr>
          <w:rFonts w:ascii="Times New Roman" w:hAnsi="Times New Roman"/>
          <w:i/>
          <w:color w:val="000000"/>
          <w:sz w:val="18"/>
        </w:rPr>
      </w:pPr>
      <w:r>
        <w:rPr>
          <w:rFonts w:ascii="Times New Roman" w:hAnsi="Times New Roman"/>
          <w:i/>
          <w:color w:val="000000"/>
          <w:sz w:val="18"/>
        </w:rPr>
        <w:t>6. As a backup to RLY-2608, we also developed a second chemically distinct pan-mutant PI3Kα inhibitor, RLY-5836, but have now deprioritized those efforts in order to focus our resources on advancing RLY-2608.</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color w:val="000000"/>
          <w:sz w:val="18"/>
        </w:rPr>
        <w:t>RLY-2608.</w:t>
      </w:r>
      <w:r>
        <w:rPr>
          <w:color w:val="00000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pPr>
      <w:r>
        <w:rPr>
          <w:rFonts w:ascii="Times New Roman" w:hAnsi="Times New Roman"/>
          <w:color w:val="000000"/>
          <w:sz w:val="18"/>
          <w:u w:val="single"/>
        </w:rPr>
        <w:t>ReDiscover Trial</w:t>
      </w:r>
      <w:r>
        <w:rPr>
          <w:rFonts w:ascii="Times New Roman" w:hAnsi="Times New Roman"/>
          <w:color w:val="000000"/>
          <w:sz w:val="18"/>
        </w:rPr>
        <w:t>. RLY-2608 is the lead program in our efforts to discover and develop mutant selective inhibitors of PI3Kα. In December 2021, we dosed the first patient in a first-in-human clinical trial for RLY-2608, the first known allosteric, pan-mutant and isoform-selective phosphoinostide 3 kinase alpha, or PI3Kα, inhibitor in clinical development, or the ReDiscover Trial. In April 2022, we initiated the second arm of the dose escalation part of this trial, evaluating RLY-2608 in combination with fulvestrant for patients with HR+, HER2–, PI3Kα-mutated, locally advanced or metastatic breast cancer. In July 2023, we initiated a dose expansion cohort in patients with PI3Kα-mutant, HR+, HER2- locally advanced or metastatic breast cancer, with patients receiving a 600 mg twice daily, or BID, dose of RLY-2608 in combination with fulvestrant. In the fourth quarter of 2023, we initiated two additional dose expansion cohorts of RLY-2608 in combination with fulvestrant – a second 600 mg BID cohort as well as one at 400 mg BID. In the fourth quarter of 2023, we also initiated a triplet combination arm with RLY-2608, fulvestrant and the cyclin dependent kinase 4/6, or CDK 4/6, inhibitor ribociclib.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pPr>
      <w:r>
        <w:rPr>
          <w:rFonts w:ascii="Times New Roman" w:hAnsi="Times New Roman"/>
          <w:color w:val="000000"/>
          <w:sz w:val="18"/>
          <w:u w:val="single"/>
        </w:rPr>
        <w:t>Clinical Data</w:t>
      </w:r>
      <w:r>
        <w:rPr>
          <w:rFonts w:ascii="Times New Roman" w:hAnsi="Times New Roman"/>
          <w:color w:val="000000"/>
          <w:sz w:val="18"/>
        </w:rPr>
        <w:t>. We believe that, overall, while the interim clinical data from the ReDiscover Trial disclosed to date are preliminary, the data support selective target engagement across doses and mutation types with an encouraging interim safety and tolerability profile.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color w:val="000000"/>
          <w:sz w:val="18"/>
        </w:rPr>
        <w:t>Lirafugratinib (RLY-4008).</w:t>
      </w:r>
      <w:r>
        <w:rPr>
          <w:color w:val="00000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pPr>
      <w:r>
        <w:rPr>
          <w:rFonts w:ascii="Times New Roman" w:hAnsi="Times New Roman"/>
          <w:color w:val="000000"/>
          <w:sz w:val="18"/>
          <w:u w:val="single"/>
        </w:rPr>
        <w:t>ReFocus Trial</w:t>
      </w:r>
      <w:r>
        <w:rPr>
          <w:rFonts w:ascii="Times New Roman" w:hAnsi="Times New Roman"/>
          <w:color w:val="000000"/>
          <w:sz w:val="18"/>
        </w:rPr>
        <w:t>. Lirafugratinib, or RLY-4008, is a potent, selective and oral small molecule inhibitor of fibroblast growth factor receptor 2, or FGFR2. In the third quarter of 2020, we initiated a first-in-human clinical trial for lirafugratinib, or the ReFocus Trial, which is a two-part global trial in patients with FGFR2-altered tumors. The first part of the trial, or the dose escalation, is complete, and the second part of the trial, or the dose expansion, is ongoing at a 70 mg once daily, or QD, recommended Phase 2 dose. The dose expansion part of the trial includes four cholangiocarcinoma, or CCA, arms and three tumor agnostic (non-CCA) arms. With full enrollment of our pivotal cohort in patients with FGFR2-fusion CCA who have not previously received an FGFR inhibitor and sufficient enrollment of patients across the tumor agnostic arms that we believe will enable us to generate meaningful data, we have closed enrollment for the ReFocus Trial to allow the relevant data to mature and inform our future clinical development decisions.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pPr>
      <w:r>
        <w:rPr>
          <w:rFonts w:ascii="Times New Roman" w:hAnsi="Times New Roman"/>
          <w:color w:val="000000"/>
          <w:sz w:val="18"/>
          <w:u w:val="single"/>
        </w:rPr>
        <w:t>Clinical Data</w:t>
      </w:r>
      <w:r>
        <w:rPr>
          <w:rFonts w:ascii="Times New Roman" w:hAnsi="Times New Roman"/>
          <w:color w:val="000000"/>
          <w:sz w:val="18"/>
        </w:rPr>
        <w:t>. We believe that while the interim clinical data from the ReFocus Trial disclosed to date are preliminary, the data show interim efficacy signals in the CCA pan-FGFR, or FGFRi, treatment-naïve, FGFR2-fusion CCA cohort and non-CCA solid tumor expansion cohorts and further support our hypothesis that selective inhibition of FGFR2 can improve the treatment for patients with FGFR2-driven tumors. Additionally, the safety analysis from the interim clinical data disclosed to date for the CCA cohorts and tumor agnostic cohorts has been generally consistent. Most treatment emergent adverse events were expected FGFR2 on-target, low-grade, monitorable, manageable and largely reversible.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color w:val="000000"/>
          <w:sz w:val="18"/>
        </w:rPr>
        <w:t>Migoprotafib (GDC-1971, formerly known as RLY-1971).</w:t>
      </w:r>
      <w:r>
        <w:rPr>
          <w:color w:val="000000"/>
        </w:rPr>
        <w:t xml:space="preserve"> </w:t>
      </w:r>
      <w:r>
        <w:rPr>
          <w:rFonts w:ascii="Times New Roman" w:hAnsi="Times New Roman"/>
          <w:color w:val="000000"/>
          <w:sz w:val="18"/>
        </w:rPr>
        <w:t xml:space="preserve">In the first quarter of 2020, we initiated a Phase 1a clinical trial for RLY-1971, our inhibitor of Src homology region 2 domain-containing phosphatase-2, or SHP2, as a monotherapy in patients with advanced or metastatic solid tumors. We completed enrollment of this trial in 2022. In December 2020, we entered into a global collaboration and license agreement with Genentech, Inc., a member of the Roche Group, or Genentech, for the development and commercialization of RLY-1971 (now referred to as migoprotafib, or GDC-1971), or the Genentech Agreement. Genentech initiated the cohort of migoprotafib in combination with GDC-6036, its KRAS G12C inhibitor, in a Phase 1b trial in July 2021. Genentech also initiated a Phase 1b trial of migoprotafib in combination with atezolizumab, its PD-L1 antibody, in August 2022, as well as a Phase 1b trial of migoprotafib in combination with either osimertinib or cetuximab, EGFR inhibitors, in July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While our initial focus is on precision oncology, we believe our Dynamo platform may also be broadly applied to other areas of precision medicine, such as genetic diseases. In addition to the clinical stage product candidates described above, we have more than seven active discovery stage programs across both precision oncology and genetic diseases. We are focused on using the novel insights derived from our approach to transform the lives of patients suffering from debilitating and life-threatening diseases through the discovery, development and commercialization of our therapies.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Our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mission is to leverage unique insights into protein motion to transform the lives of patients suffering from debilitating and life-threatening diseases through the discovery, development and commercialization of small molecule therapies. We believe that, by placing protein motion at the heart of Motion-Based Drug Design discovery, our unique Dynamo platform has the potential to address previously intractable or inadequately addressed precision medicine targets. To accomplish this, we intend to continue building a team that shares our commitment to patients, continue to enhance our platform and rapidly advance our precision medicine pipeline of product candidates with a focus on the highest value opportunities. The key elements of our strategy are to: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 xml:space="preserve">Rapidly advance our lead precision oncology programs through clinical development with the goal of reaching as many patients as possible. </w:t>
      </w:r>
      <w:r>
        <w:rPr>
          <w:rFonts w:ascii="Times New Roman" w:hAnsi="Times New Roman"/>
          <w:color w:val="000000"/>
          <w:sz w:val="18"/>
        </w:rPr>
        <w:t>We believe our lead precision oncology programs have the potential to treat a wide variety of cancers, either as monotherapy or in combination regimens. For example, we have prioritized development of the RLY-2608 triplet combination with the aim of reaching more breast cancer patients in earlier lines of treatment. We plan to continue to conduct our clinical studies in genetically-defined patient populations. To potentially mitigate development risks, we will continue to leverage learnings from recently approved precision oncology drugs to inform the clinical and regulatory pathways for our lead oncology programs. If we are successful in generating clinically meaningful and differentiated data for our programs, we plan to meet with regulatory authorities to discuss potential approval pathways.</w:t>
      </w:r>
    </w:p>
    <w:p>
      <w:pPr>
        <w:pStyle w:val="TextBody"/>
        <w:bidi w:val="0"/>
        <w:spacing w:before="240" w:after="283"/>
        <w:jc w:val="left"/>
        <w:rPr>
          <w:rFonts w:ascii="Times New Roman" w:hAnsi="Times New Roman"/>
          <w:sz w:val="20"/>
        </w:rPr>
      </w:pPr>
      <w:r>
        <w:rPr>
          <w:rFonts w:ascii="Times New Roman" w:hAnsi="Times New Roman"/>
          <w:b/>
          <w:color w:val="000000"/>
          <w:sz w:val="18"/>
        </w:rPr>
        <w:t>Continue to enhance our unique drug-discovery platform.</w:t>
      </w:r>
      <w:r>
        <w:rPr>
          <w:rFonts w:ascii="Times New Roman" w:hAnsi="Times New Roman"/>
          <w:color w:val="000000"/>
          <w:sz w:val="20"/>
        </w:rPr>
        <w:t xml:space="preserve"> </w:t>
      </w:r>
      <w:r>
        <w:rPr>
          <w:rFonts w:ascii="Times New Roman" w:hAnsi="Times New Roman"/>
          <w:color w:val="000000"/>
          <w:sz w:val="18"/>
        </w:rPr>
        <w:t>Our Dynamo platform uniquely integrates a broad range of leading-edge experimental and computational technologies and tools, providing us with fundamental insights into the conformational dynamics of target proteins. We have expanded our experimental and computation tools internally, including in-house automated chemical design, or ACD, degrader design, and DNA-encoded library, or DEL, long timescale molecular dynamics, or MD, and machine learning, or ML, capabilities, which has resulted in a highly integrated platform that can be deployed in our research and development efforts primarily using internal resources. We believe we have validated our Dynamo platform and approach with the encouraging interim clinical data for RLY-2608 and lirafugratinib that we have announced over the course of 2021 to 2023. We also believe we have built significant advantage by accumulating extensive curated clean data sets across the continuum of drug discovery that span both computational and experimental domains. We are committed to continuously integrating new computational and experimental tools, technologies and capabilities to enhance the power of our Dynamo platform. We intend to do this through a combination of internal innovation, external collaboration and other strategic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Harness the insights and data generated from our platform against intractable or inadequately addressed precision medicine targets, with current focus on oncology and genetic diseases.</w:t>
      </w:r>
      <w:r>
        <w:rPr>
          <w:rFonts w:ascii="Times New Roman" w:hAnsi="Times New Roman"/>
          <w:color w:val="000000"/>
          <w:sz w:val="20"/>
        </w:rPr>
        <w:t xml:space="preserve"> </w:t>
      </w:r>
      <w:r>
        <w:rPr>
          <w:rFonts w:ascii="Times New Roman" w:hAnsi="Times New Roman"/>
          <w:color w:val="000000"/>
          <w:sz w:val="18"/>
        </w:rPr>
        <w:t>We are committed to deploying our Dynamo platform against genetically validated targets, taking on some of the toughest technical drug discovery challenges and creating novel medicines against those targets that can rapidly attain clinical proof-of-concept and address significant unmet medical needs. Our initial focus is on precision oncology where there are clear genetic driver alterations in the tumor genome, and genetic disease where the causal mutations are present at birth. However, we believe our platform also has potential to address targets in genetically-defined subpopulations of more common diseases in other therapeutic areas.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Selectively enter into strategic collaborations to maximize the value of our platform and pipeline.</w:t>
      </w:r>
      <w:r>
        <w:rPr>
          <w:rFonts w:ascii="Times New Roman" w:hAnsi="Times New Roman"/>
          <w:color w:val="000000"/>
          <w:sz w:val="20"/>
        </w:rPr>
        <w:t xml:space="preserve"> </w:t>
      </w:r>
      <w:r>
        <w:rPr>
          <w:rFonts w:ascii="Times New Roman" w:hAnsi="Times New Roman"/>
          <w:color w:val="000000"/>
          <w:sz w:val="18"/>
        </w:rPr>
        <w:t>We intend to build a fully integrated biopharmaceutical company and independently pursue the development and commercialization of our key product candidates. Given our potential to generate novel product candidates addressing a wide variety of therapeutic indications, we may enter into strategic partnerships around certain targets, product candidates, disease areas or geographies if we believe these collaborations could accelerate the development and commercialization of our product candidates and allow us to realize additional potential in our product candidates and our platform. For example, in December 2020, we entered into the Genentech Agreement, a global collaboration and license agreement with Genentech for the development and commercialization of migoprotafib. Outside of this collaboration, we currently retain full development and commercialization rights to our current pipeline of precision medicine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Our Dynamo</w:t>
      </w:r>
      <w:r>
        <w:rPr>
          <w:rFonts w:ascii="Times New Roman" w:hAnsi="Times New Roman"/>
          <w:b/>
          <w:color w:val="000000"/>
          <w:sz w:val="12"/>
        </w:rPr>
        <w:t>TM</w:t>
      </w:r>
      <w:r>
        <w:rPr>
          <w:rFonts w:ascii="Times New Roman" w:hAnsi="Times New Roman"/>
          <w:color w:val="000000"/>
          <w:sz w:val="20"/>
        </w:rPr>
        <w:t xml:space="preserve"> </w:t>
      </w:r>
      <w:r>
        <w:rPr>
          <w:rFonts w:ascii="Times New Roman" w:hAnsi="Times New Roman"/>
          <w:b/>
          <w:color w:val="000000"/>
          <w:sz w:val="18"/>
        </w:rPr>
        <w:t>Platform</w:t>
      </w:r>
    </w:p>
    <w:p>
      <w:pPr>
        <w:pStyle w:val="TextBody"/>
        <w:bidi w:val="0"/>
        <w:spacing w:before="240" w:after="283"/>
        <w:jc w:val="left"/>
        <w:rPr>
          <w:rFonts w:ascii="Times New Roman" w:hAnsi="Times New Roman"/>
          <w:sz w:val="20"/>
        </w:rPr>
      </w:pPr>
      <w:r>
        <w:rPr>
          <w:rFonts w:ascii="Times New Roman" w:hAnsi="Times New Roman"/>
          <w:color w:val="000000"/>
          <w:sz w:val="18"/>
        </w:rPr>
        <w:t>Dynamo was built to capitalize on experimental and computational techniques to develop medicines against protein targets with greater specificity and potency. Using our Dynamo platform, we pivot from industry standard approaches, which are based on static structures and often rely on incomplete protein fragments, to a novel drug-discovery paradigm based on fundamental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insights into protein motion, which we term Motion-Based Drug Design®. We leverage insights from our platform to develop novel, motion-based hypotheses for how to drug target proteins. We can then more rapidly identify and optimize effective lead compounds by integrating powerful experimental and computational tools to sample a much broader range of chemical space than is possible using conventional approaches, which are labor intensive and require significant experimental effort.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confluence of three forces —the proliferation of readily available genomic data, the evolution of experimental techniques, and advances in computational power and speed —led to the founding of Relay Therapeutics and the establishment of our Dynamo platform. We believe we are uniquely positioned to consolidate these advances and, when combined with our world-class team of experimental and computational experts and experience to-date, to integrate these solutions in Motion-Based Drug Design.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platform integrates a broad and tailored array of leading-edge experimental and computational approaches to gain fundamental insights into protein function (</w:t>
      </w:r>
      <w:r>
        <w:rPr>
          <w:rFonts w:ascii="Times New Roman" w:hAnsi="Times New Roman"/>
          <w:b/>
          <w:color w:val="000000"/>
          <w:sz w:val="18"/>
        </w:rPr>
        <w:t>Figure 1</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Figure 1: The Dynamo platform is an integration of our tools and team.</w:t>
      </w:r>
    </w:p>
    <w:p>
      <w:pPr>
        <w:pStyle w:val="TextBody"/>
        <w:bidi w:val="0"/>
        <w:spacing w:before="240" w:after="283"/>
        <w:jc w:val="center"/>
        <w:rPr/>
      </w:pPr>
      <w:r>
        <w:rPr/>
        <w:drawing>
          <wp:inline distT="0" distB="0" distL="0" distR="0">
            <wp:extent cx="5943600" cy="2771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2771775"/>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We deploy the power of our Dynamo platform in three key phases of Motion-Based Drug Design discovery (</w:t>
      </w:r>
      <w:r>
        <w:rPr>
          <w:rFonts w:ascii="Times New Roman" w:hAnsi="Times New Roman"/>
          <w:b/>
          <w:color w:val="000000"/>
          <w:sz w:val="18"/>
        </w:rPr>
        <w:t>Figure 2</w:t>
      </w:r>
      <w:r>
        <w:rPr>
          <w:rFonts w:ascii="Times New Roman" w:hAnsi="Times New Roman"/>
          <w:color w:val="000000"/>
          <w:sz w:val="18"/>
        </w:rPr>
        <w:t>). We first understand how to drug the protein by developing a detailed mechanistic understanding of the dynamic behavior of the target protein and by identifying pockets where binding of a small molecule can impact protein function, which allows us to generate a target modulation hypothesis. Our platform then aids in efficient hit identification, or the identification of chemical starting points through an integrated system of experimental and virtual screens. This enables rapid lead optimization until a development candidate is selected by computationally prioritizing compounds for experimental evaluation. As each cycle generates new learnings for both our team and our underlying machine learning models, our successful iteration of this process continuously improves our understanding of protein motion which leads to a more effective and efficient drug discovery process.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8"/>
        </w:rPr>
        <w:t>Figure 2: Dynamo can be deployed across the various stages of drug discovery to provide novel insights with the goal of accelerating drug discovery.</w:t>
      </w:r>
      <w:r>
        <w:rPr>
          <w:rFonts w:ascii="Times New Roman" w:hAnsi="Times New Roman"/>
          <w:color w:val="000000"/>
          <w:sz w:val="20"/>
        </w:rPr>
        <w:t xml:space="preserve"> </w:t>
      </w:r>
    </w:p>
    <w:p>
      <w:pPr>
        <w:pStyle w:val="TextBody"/>
        <w:bidi w:val="0"/>
        <w:spacing w:before="240" w:after="283"/>
        <w:jc w:val="center"/>
        <w:rPr/>
      </w:pPr>
      <w:r>
        <w:rPr/>
        <w:drawing>
          <wp:inline distT="0" distB="0" distL="0" distR="0">
            <wp:extent cx="5943600" cy="2667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2667000"/>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Our deep integration of experimental and computation capabilities provides synergistic benefits. One example of this synergy is our application of machine learning to datasets from DNA-encoded library screens, which enables us to sample the highly diverse chemical space of DNA-encoded libraries with minimal effort, and then use the resulting datasets to train machine learning models to identify commercially-available, drug-like small molecule compounds that can be purchased for testing. Likewise, we have developed our own proprietary free energy perturbation methods that enable us to prospectively evaluate small molecule ligands in a high throughput fashion, as well as combining molecular dynamics simulations on cloud-based GPU hardware with machine learning to gain deep insight into how protein motion can give rise to potent and selective binders.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Our Product Pipeline and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While our Dynamo platform could potentially be applied to a wide range of disease-associated protein targets, we focus on precision medicine targets, currently specifically in oncology and genetic diseases, for which alterations in specific genes are known to cause disease. The genetic diseases we pursue include cancers with clear genetic driver alterations in the tumor genome, as well as monogenic diseases where the causal mutations are present at birth.</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one ongoing strategic partnership, specifically our collaboration with Genentech for the development and commercialization of migoprotafib. Other than migoprotafib, we retain full development and commercialization rights to our current pipeline of precision medicine programs.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See "—Overview" above for a table that summarizes our current portfolio of product candidates and programs.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Clinical Stage Programs</w:t>
      </w:r>
    </w:p>
    <w:p>
      <w:pPr>
        <w:pStyle w:val="TextBody"/>
        <w:bidi w:val="0"/>
        <w:spacing w:before="240" w:after="283"/>
        <w:jc w:val="left"/>
        <w:rPr>
          <w:rFonts w:ascii="Times New Roman" w:hAnsi="Times New Roman"/>
          <w:sz w:val="20"/>
        </w:rPr>
      </w:pPr>
      <w:r>
        <w:rPr>
          <w:rFonts w:ascii="Times New Roman" w:hAnsi="Times New Roman"/>
          <w:color w:val="000000"/>
          <w:sz w:val="18"/>
        </w:rPr>
        <w:t>We have three product candidates that are in clinical development: RLY-2608, lirafugratinib (RLY-4008) and migoprotafib (GDC-1971, and formerly known as RLY-1971).</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18"/>
        </w:rPr>
        <w:t>RLY-2608 and our mutant-PI3K</w:t>
      </w:r>
      <w:r>
        <w:rPr>
          <w:rFonts w:ascii="Times New Roman" w:hAnsi="Times New Roman"/>
          <w:color w:val="000000"/>
          <w:sz w:val="18"/>
        </w:rPr>
        <w:t>α</w:t>
      </w:r>
      <w:r>
        <w:rPr>
          <w:rFonts w:ascii="Times New Roman" w:hAnsi="Times New Roman"/>
          <w:color w:val="000000"/>
          <w:sz w:val="20"/>
        </w:rPr>
        <w:t xml:space="preserve"> </w:t>
      </w:r>
      <w:r>
        <w:rPr>
          <w:rFonts w:ascii="Times New Roman" w:hAnsi="Times New Roman"/>
          <w:i/>
          <w:color w:val="000000"/>
          <w:sz w:val="18"/>
        </w:rPr>
        <w:t>inhibitor program</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RLY-2608 is the lead program in our efforts to discover and develop mutant selective inhibitors of PI3Kα. PI3Kα is the most frequently mutated kinase in all cancers, with oncogenic mutations detected in about 14% of patients with solid tumors. Traditionally, the development of PI3Kα inhibitors has focused on the active, or orthosteric, site. The therapeutic index of orthosteric inhibitors is limited by the lack of clinically meaningful selectivity for mutant versus wild-type PI3Kα and off-isoform activity. Toxicity related to inhibition of wild-type PI3Kα and other PI3K isoforms results in sub-optimal inhibition of mutant PI3Kα with reductions in dose intensity and frequent discontinuation. The Dynamo platform enabled the discovery of RLY-2608,</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what we believe to be the first known allosteric, pan-mutant, and isoform-selective PI3Kα inhibitor designed to overcome these limitations. By solving the full-length cryo-electron microscopy, or Cryo-EM, structure of PI3Kα and performing computational long time-scale molecular dynamic simulations to elucidate conformational differences between wild-type and mutant PI3Kα, we were able to leverage these insights to support the design of RLY-2608.</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dosed the first patient in the ReDiscover Trial in December 2021 and, in April 2022, initiated the second arm of the dose escalation part of this trial, evaluating RLY-2608 in combination with fulvestrant for patients with HR+, HER2–, PI3Kα-mutated, locally advanced or metastatic breast cancer. In July 2023, we initiated the first dose expansion cohort with RLY-2608 600 mg BID in combination with fulvestrant, and in the fourth quarter of 2023, we initiated two additional dose expansion cohorts with RLY-2608 in combination with fulvestrant – a second 600 mg BID cohort as well as one at 400 mg BID. In the fourth quarter of 2023, we initiated dosing in the triplet combination arm of the study with RLY-2608 in combination with fulvestrant and ribociclib. We believe that, overall, while the interim clinical data from the ReDiscover Trial disclosed to date are preliminary, the data support selective target engagement across doses and mutation types with encouraging interim safety and tolerability, which is discussed in further detail below in "—Interim Clinical Data."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a backup to RLY-2608, we also developed a second chemically distinct pan-mutant PI3Kα inhibitor, RLY-5836, but have now deprioritized those efforts in order to focus our resources on advancing RLY-2608.</w:t>
      </w:r>
    </w:p>
    <w:p>
      <w:pPr>
        <w:pStyle w:val="TextBody"/>
        <w:bidi w:val="0"/>
        <w:spacing w:before="240" w:after="283"/>
        <w:jc w:val="left"/>
        <w:rPr>
          <w:rFonts w:ascii="Times New Roman" w:hAnsi="Times New Roman"/>
          <w:sz w:val="20"/>
        </w:rPr>
      </w:pPr>
      <w:r>
        <w:rPr>
          <w:rFonts w:ascii="Times New Roman" w:hAnsi="Times New Roman"/>
          <w:color w:val="000000"/>
          <w:sz w:val="18"/>
        </w:rPr>
        <w:t>We believe RLY-2608 has the potential to address a significant portion of the approximately 150,000 patients with HR+, HER2- breast cancer with a PI3Kα mutation per year in the United States, one of the largest patient populations for a precision oncology medicine (</w:t>
      </w:r>
      <w:r>
        <w:rPr>
          <w:rFonts w:ascii="Times New Roman" w:hAnsi="Times New Roman"/>
          <w:b/>
          <w:color w:val="000000"/>
          <w:sz w:val="18"/>
        </w:rPr>
        <w:t>Figure 3</w:t>
      </w:r>
      <w:r>
        <w:rPr>
          <w:rFonts w:ascii="Times New Roman" w:hAnsi="Times New Roman"/>
          <w:color w:val="000000"/>
          <w:sz w:val="18"/>
        </w:rPr>
        <w:t>).</w:t>
      </w:r>
    </w:p>
    <w:p>
      <w:pPr>
        <w:pStyle w:val="TextBody"/>
        <w:bidi w:val="0"/>
        <w:spacing w:before="240" w:after="283"/>
        <w:jc w:val="left"/>
        <w:rPr>
          <w:rFonts w:ascii="Times New Roman" w:hAnsi="Times New Roman"/>
          <w:sz w:val="20"/>
        </w:rPr>
      </w:pPr>
      <w:r>
        <w:rPr>
          <w:rFonts w:ascii="Times New Roman" w:hAnsi="Times New Roman"/>
          <w:b/>
          <w:color w:val="000000"/>
          <w:sz w:val="18"/>
        </w:rPr>
        <w:t>Figure 3: PI3Kα addressable patient populations.</w:t>
      </w:r>
      <w:r>
        <w:rPr>
          <w:rFonts w:ascii="Times New Roman" w:hAnsi="Times New Roman"/>
          <w:color w:val="000000"/>
          <w:sz w:val="20"/>
        </w:rPr>
        <w:t xml:space="preserve"> </w:t>
      </w:r>
    </w:p>
    <w:p>
      <w:pPr>
        <w:pStyle w:val="TextBody"/>
        <w:bidi w:val="0"/>
        <w:spacing w:before="240" w:after="283"/>
        <w:jc w:val="center"/>
        <w:rPr/>
      </w:pPr>
      <w:r>
        <w:rPr/>
        <w:drawing>
          <wp:inline distT="0" distB="0" distL="0" distR="0">
            <wp:extent cx="5943600" cy="25146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2514600"/>
                    </a:xfrm>
                    <a:prstGeom prst="rect">
                      <a:avLst/>
                    </a:prstGeom>
                  </pic:spPr>
                </pic:pic>
              </a:graphicData>
            </a:graphic>
          </wp:inline>
        </w:drawing>
      </w:r>
      <w:r>
        <w:rPr/>
        <w:t> </w:t>
      </w:r>
    </w:p>
    <w:p>
      <w:pPr>
        <w:pStyle w:val="TextBody"/>
        <w:pBdr>
          <w:bottom w:val="single" w:sz="6" w:space="1" w:color="000000"/>
        </w:pBdr>
        <w:bidi w:val="0"/>
        <w:spacing w:before="240" w:after="283"/>
        <w:jc w:val="left"/>
        <w:rPr/>
      </w:pPr>
      <w:r>
        <w:rPr/>
        <w:t> </w:t>
      </w:r>
    </w:p>
    <w:p>
      <w:pPr>
        <w:pStyle w:val="TextBody"/>
        <w:bidi w:val="0"/>
        <w:jc w:val="left"/>
        <w:rPr>
          <w:rFonts w:ascii="Times New Roman" w:hAnsi="Times New Roman"/>
          <w:sz w:val="20"/>
        </w:rPr>
      </w:pPr>
      <w:r>
        <w:rPr>
          <w:rFonts w:ascii="Times New Roman" w:hAnsi="Times New Roman"/>
          <w:i/>
          <w:color w:val="000000"/>
          <w:sz w:val="18"/>
        </w:rPr>
        <w:t>Sources: 3</w:t>
      </w:r>
      <w:r>
        <w:rPr>
          <w:rFonts w:ascii="Times New Roman" w:hAnsi="Times New Roman"/>
          <w:i/>
          <w:color w:val="000000"/>
          <w:sz w:val="12"/>
        </w:rPr>
        <w:t xml:space="preserve">rd </w:t>
      </w:r>
      <w:r>
        <w:rPr>
          <w:rFonts w:ascii="Times New Roman" w:hAnsi="Times New Roman"/>
          <w:i/>
          <w:color w:val="000000"/>
          <w:sz w:val="18"/>
        </w:rPr>
        <w:t>party data; Global Data HER2-/HR+ Breast Cancer Global Patient Forecast, October 2023;</w:t>
      </w:r>
    </w:p>
    <w:p>
      <w:pPr>
        <w:pStyle w:val="TextBody"/>
        <w:bidi w:val="0"/>
        <w:jc w:val="left"/>
        <w:rPr>
          <w:rFonts w:ascii="Times New Roman" w:hAnsi="Times New Roman"/>
          <w:i/>
          <w:color w:val="000000"/>
          <w:sz w:val="18"/>
        </w:rPr>
      </w:pPr>
      <w:r>
        <w:rPr>
          <w:rFonts w:ascii="Times New Roman" w:hAnsi="Times New Roman"/>
          <w:i/>
          <w:color w:val="000000"/>
          <w:sz w:val="18"/>
        </w:rPr>
        <w:t>1. Includes prevalent PI3Kα mutated HR+/HER2- patients receiving therapy in Neo/Adjuvant setting (includes incident patients in 2023 receiving endocrine or non-endocrine therapy in Neo/Adjuvant settings (~50k), and patients diagnosed in previous years with local/regional disease receiving sequential endocrine therapy in 2023 (~69k)), and prevalent PI3Kα mutated HR+/HER2- metastatic patients receiving therapy in 1L or 2L setting.</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Role of PI3Kα in cellular proliferation and differentiation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Mutations at amino acid H1047 of PI3Kα are among the most common kinase mutations in cancer and are believed to be a primary driver of carcinogenesis. There are no approved therapies that selectively target mutant versions of PI3Kα. Inhibitors that are not mutant-selective are associated with dose-limiting toxicities resulting in frequent discontinuations that restrict their therapeutic potential. Additionally, these inhibitors can also inhibit other isoforms of PI3K, including PI3Kδ, which can result in further toxicity, such as gastrointestinal toxicity. Our belief is that selectively targeting mutant PI3Kα only could result in improved target inhibition and increased clinical efficacy.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Leveraging our structural biology capabilities, we solved what we believe to be the first full-length structure of PI3Kα using Cryo-EM and utilized a range of experimental techniques to understand both H1047R mutant and wild-type conformations. We used this rich experimental data set to power molecular dynamics simulations of H1047R mutant PI3Kα to identify a series of dynamic structural changes caused by the mutation, which were not elucidated by prior structural studies of either H1047R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mutant or wild-type PI3Kα. RLY-2608 was designed to exploit these dynamic differences and bind to a novel allosteric site to achieve heightened mutant selectivity.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Limitations of current PI3Kα inhibitors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Traditionally, the development of PI3Kα inhibitors has focused on the active, or orthosteric site. This site and its location make selectivity for PI3Kα over other PI3K isoforms and for mutant PI3Kα over wild-type PI3Kα difficult, and they do not enable pan-mutant coverage. Though these existing inhibitors have shown clinical activity in breast cancer as both monotherapy and in combination with hormonal therapy, as well as anecdotal monotherapy responses in patients with PI3Kα mutations in other tumor types, the therapeutic index of such orthosteric inhibitors is limited by the lack of clinically meaningful selectivity for mutant versus wild-type PI3Kα and off-isoform activity. Toxicity related to inhibition of wild-type PI3Kα and other PI3K isoforms results in sub-optimal inhibition of mutant PI3Kα with reductions in dose intensity and frequent discontinuation (</w:t>
      </w:r>
      <w:r>
        <w:rPr>
          <w:rFonts w:ascii="Times New Roman" w:hAnsi="Times New Roman"/>
          <w:b/>
          <w:color w:val="000000"/>
          <w:sz w:val="18"/>
        </w:rPr>
        <w:t>Figure 4</w:t>
      </w:r>
      <w:r>
        <w:rPr>
          <w:rFonts w:ascii="Times New Roman" w:hAnsi="Times New Roman"/>
          <w:color w:val="000000"/>
          <w:sz w:val="18"/>
        </w:rPr>
        <w:t>). These agents are generally limited by high rates of severe hyperglycemia, which is an on-target toxicity, and by gastrointestinal toxicity, which may be related to inhibition of other PI3K family members, including PI3Kδ.</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RLY-2608, what we believe to be the first known allosteric, pan-mutant, and isoform-selective PI3Kα inhibitor, was designed to overcome these limitations.</w:t>
      </w:r>
    </w:p>
    <w:p>
      <w:pPr>
        <w:pStyle w:val="TextBody"/>
        <w:bidi w:val="0"/>
        <w:spacing w:before="240" w:after="283"/>
        <w:jc w:val="left"/>
        <w:rPr>
          <w:rFonts w:ascii="Times New Roman" w:hAnsi="Times New Roman"/>
          <w:sz w:val="20"/>
        </w:rPr>
      </w:pPr>
      <w:r>
        <w:rPr>
          <w:rFonts w:ascii="Times New Roman" w:hAnsi="Times New Roman"/>
          <w:b/>
          <w:color w:val="000000"/>
          <w:sz w:val="18"/>
        </w:rPr>
        <w:t>Figure 4: Existing inhibitors have limited therapeutic windows.</w:t>
      </w:r>
      <w:r>
        <w:rPr>
          <w:rFonts w:ascii="Times New Roman" w:hAnsi="Times New Roman"/>
          <w:color w:val="000000"/>
          <w:sz w:val="20"/>
        </w:rPr>
        <w:t xml:space="preserve"> </w:t>
      </w:r>
    </w:p>
    <w:p>
      <w:pPr>
        <w:pStyle w:val="TextBody"/>
        <w:bidi w:val="0"/>
        <w:spacing w:before="240" w:after="283"/>
        <w:jc w:val="center"/>
        <w:rPr/>
      </w:pPr>
      <w:r>
        <w:rPr/>
        <w:drawing>
          <wp:inline distT="0" distB="0" distL="0" distR="0">
            <wp:extent cx="5943600" cy="24479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2447925"/>
                    </a:xfrm>
                    <a:prstGeom prst="rect">
                      <a:avLst/>
                    </a:prstGeom>
                  </pic:spPr>
                </pic:pic>
              </a:graphicData>
            </a:graphic>
          </wp:inline>
        </w:drawing>
      </w:r>
      <w:r>
        <w:rPr/>
        <w:t> </w:t>
      </w:r>
    </w:p>
    <w:p>
      <w:pPr>
        <w:pStyle w:val="TextBody"/>
        <w:pBdr>
          <w:bottom w:val="single" w:sz="6" w:space="1" w:color="000000"/>
        </w:pBdr>
        <w:bidi w:val="0"/>
        <w:spacing w:before="240" w:after="283"/>
        <w:jc w:val="left"/>
        <w:rPr/>
      </w:pPr>
      <w:r>
        <w:rPr/>
        <w:t> </w:t>
      </w:r>
    </w:p>
    <w:p>
      <w:pPr>
        <w:pStyle w:val="TextBody"/>
        <w:bidi w:val="0"/>
        <w:jc w:val="left"/>
        <w:rPr>
          <w:rFonts w:ascii="Times New Roman" w:hAnsi="Times New Roman"/>
          <w:i/>
          <w:color w:val="000000"/>
          <w:sz w:val="18"/>
        </w:rPr>
      </w:pPr>
      <w:r>
        <w:rPr>
          <w:rFonts w:ascii="Times New Roman" w:hAnsi="Times New Roman"/>
          <w:i/>
          <w:color w:val="000000"/>
          <w:sz w:val="18"/>
        </w:rPr>
        <w:t>* NR = Not Reported</w:t>
      </w:r>
    </w:p>
    <w:p>
      <w:pPr>
        <w:pStyle w:val="TextBody"/>
        <w:bidi w:val="0"/>
        <w:jc w:val="left"/>
        <w:rPr>
          <w:rFonts w:ascii="Times New Roman" w:hAnsi="Times New Roman"/>
          <w:i/>
          <w:color w:val="000000"/>
          <w:sz w:val="18"/>
        </w:rPr>
      </w:pPr>
      <w:r>
        <w:rPr>
          <w:rFonts w:ascii="Times New Roman" w:hAnsi="Times New Roman"/>
          <w:i/>
          <w:color w:val="000000"/>
          <w:sz w:val="18"/>
        </w:rPr>
        <w:t>Note: fulv = fulvestrant; all referenced studies are for their patient populations which are analogous to ongoing breast cancer patient populations within RLY-2608 clinical trials; Alpelisib and fulvestrant are FDA approved, inavolisib and capivasertib are in Phase 3 clinical trials. These data are derived from different clinical trials at different points in time, with differences in trial design and patient populations. As a result, cross-trial comparisons cannot be made, and no head-to-head clinical trials have been conducted.</w:t>
      </w:r>
    </w:p>
    <w:p>
      <w:pPr>
        <w:pStyle w:val="TextBody"/>
        <w:bidi w:val="0"/>
        <w:jc w:val="left"/>
        <w:rPr>
          <w:rFonts w:ascii="Times New Roman" w:hAnsi="Times New Roman"/>
          <w:i/>
          <w:color w:val="000000"/>
          <w:sz w:val="18"/>
        </w:rPr>
      </w:pPr>
      <w:r>
        <w:rPr>
          <w:rFonts w:ascii="Times New Roman" w:hAnsi="Times New Roman"/>
          <w:i/>
          <w:color w:val="000000"/>
          <w:sz w:val="18"/>
        </w:rPr>
        <w:t>Sources: Alpelisib – 1. SOLAR-1: Andre 2019 N Engl J Med 380:1929, 2. Ph 1b: SABCS 2013 P2-16-14, 3. Ph 1b: SABCS 2014 PD5-5, 4. Ph 2 ByLIEVE: Rugo 2021 Lancet Oncol 22:489, SABCS 2021 #P1-18-03, ASCO 2023 #1078 (18mo follow-up), 5. Ph 1b mono: Annals of Oncol 25 2014 (suppl 4), 6. Ph 2 mono: Savas Cancer Discov 2022 Sep 12:2058, 7. Ph 1a mono: Juric 2018 J Clin Oncol 36:1291, Inavolisib – 8. ASCO 2022 #1052 (note: pooled rates across cohorts), 9. SABCS 2020 #PS11-11, 10. AACR 2020 CT109, 11. SABCS 2019 OT1-08-04, 12. SABCS 2019 P1-19-46, 13. SABCS 2021 #P5-17-05, Capivasertib – 14. Ph 1 mono: Banerji 2018 Clin Cancer Res 24:2050, ASCO 2015 #2500, 15. Ph 2 mono: SABCS 2019 P1-19-14, 16. Ph 1 combo: Smyth 2020 Clin Cancer Res 26:3947, 17. Ph 2 FAKTION: ASCO 2022 #1005, 18. Ph 3 CAPItello-291: SABCS 2022 #GS3-04, ESMO Breast 2023 #1870.</w:t>
      </w:r>
    </w:p>
    <w:p>
      <w:pPr>
        <w:pStyle w:val="TextBody"/>
        <w:bidi w:val="0"/>
        <w:spacing w:before="240" w:after="283"/>
        <w:jc w:val="left"/>
        <w:rPr>
          <w:rFonts w:ascii="Times New Roman" w:hAnsi="Times New Roman"/>
          <w:color w:val="000000"/>
          <w:sz w:val="18"/>
          <w:u w:val="single"/>
        </w:rPr>
      </w:pPr>
      <w:r>
        <w:rPr>
          <w:rFonts w:ascii="Times New Roman" w:hAnsi="Times New Roman"/>
          <w:color w:val="000000"/>
          <w:sz w:val="18"/>
          <w:u w:val="single"/>
        </w:rPr>
        <w:t>Our solution, RLY-2608</w:t>
      </w:r>
    </w:p>
    <w:p>
      <w:pPr>
        <w:pStyle w:val="TextBody"/>
        <w:bidi w:val="0"/>
        <w:spacing w:before="240" w:after="283"/>
        <w:jc w:val="left"/>
        <w:rPr>
          <w:rFonts w:ascii="Times New Roman" w:hAnsi="Times New Roman"/>
          <w:sz w:val="20"/>
        </w:rPr>
      </w:pPr>
      <w:r>
        <w:rPr>
          <w:rFonts w:ascii="Times New Roman" w:hAnsi="Times New Roman"/>
          <w:color w:val="000000"/>
          <w:sz w:val="18"/>
        </w:rPr>
        <w:t>Given the existence of mutations in PI3Kα with different biological mechanisms underlying aberrant activity, we believe the broadest opportunity is through the development of "pan-mutant" inhibitors of PI3Kα. Addressing the challenge of mutant selectivity required us to express and then solve the structure of the full-length PI3Kα protein. This structure, which to our knowledge had previously not been solved, represented a technical challenge because PI3Kα is a membrane-bound protein. This type of protein is typically difficult both to purify in large quantities and to crystallize. Nonetheless, we were able to obtain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structure of full-length PI3Kα using Cryo-EM. The three-dimensional structure of PI3Kα was determined by collecting data from two-dimensional electron microscopic projections of thin layers of protein. The resulting three-dimensional protein structure provided us with fundamental insights into the mechanism of activation of PI3Kα and the impact of mutations on its function. The integration of these structural insights with a combination of experimental and computational techniques has led to RLY-2608, the first molecule derived from these efforts and the first known allosteric, pan-mutant and isoform-selective PI3Kα inhibitor in clinical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preclinical models, we observed that RLY-2608 preferentially bound to mutant PI3Kα at a novel allosteric site discovered by the Dynamo platform, and RLY-2608 showed</w:t>
      </w:r>
      <w:r>
        <w:rPr>
          <w:rFonts w:ascii="Times New Roman" w:hAnsi="Times New Roman"/>
          <w:color w:val="000000"/>
          <w:sz w:val="20"/>
        </w:rPr>
        <w:t xml:space="preserve"> </w:t>
      </w:r>
      <w:r>
        <w:rPr>
          <w:rFonts w:ascii="Times New Roman" w:hAnsi="Times New Roman"/>
          <w:color w:val="000000"/>
          <w:sz w:val="18"/>
        </w:rPr>
        <w:t>mutant and isoform biochemical selectivity. Preclinical data also suggest that projected clinically relevant doses of RLY-2608 achieved tumor regression in PIK3CA mutant in vivo xenograft mouse models representing H1047R and E545K mutations with significantly reduced impact on glucose metabolism compared to non-mutant selective active site inhibitors. The preclinical data further suggest that, in preclinical models, RLY-2608 combined with standard of care therapies resulted in regressions in ER+/HER2- breast cancer.</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Figure 5: RLY-2608, the first known allosteric, pan-mutant and isoform-selective PI3Kα in clinical development.</w:t>
      </w:r>
    </w:p>
    <w:p>
      <w:pPr>
        <w:pStyle w:val="TextBody"/>
        <w:bidi w:val="0"/>
        <w:spacing w:before="240" w:after="283"/>
        <w:jc w:val="center"/>
        <w:rPr/>
      </w:pPr>
      <w:r>
        <w:rPr/>
        <w:drawing>
          <wp:inline distT="0" distB="0" distL="0" distR="0">
            <wp:extent cx="5943600" cy="28289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2828925"/>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RLY-2608 has the potential to address a significant portion of the approximately 150,000 patients with HR+, HER2- breast cancer with a PI3Kα mutation per year in the United States, one of the largest patient populations for a precision oncology medicine.</w:t>
      </w:r>
    </w:p>
    <w:p>
      <w:pPr>
        <w:pStyle w:val="TextBody"/>
        <w:bidi w:val="0"/>
        <w:spacing w:before="240" w:after="283"/>
        <w:jc w:val="left"/>
        <w:rPr>
          <w:rFonts w:ascii="Times New Roman" w:hAnsi="Times New Roman"/>
          <w:color w:val="000000"/>
          <w:sz w:val="18"/>
          <w:u w:val="single"/>
        </w:rPr>
      </w:pPr>
      <w:r>
        <w:rPr>
          <w:rFonts w:ascii="Times New Roman" w:hAnsi="Times New Roman"/>
          <w:color w:val="000000"/>
          <w:sz w:val="18"/>
          <w:u w:val="single"/>
        </w:rPr>
        <w:t>Our clinical development plan</w:t>
      </w:r>
    </w:p>
    <w:p>
      <w:pPr>
        <w:pStyle w:val="TextBody"/>
        <w:bidi w:val="0"/>
        <w:spacing w:before="240" w:after="283"/>
        <w:jc w:val="left"/>
        <w:rPr>
          <w:rFonts w:ascii="Times New Roman" w:hAnsi="Times New Roman"/>
          <w:sz w:val="20"/>
        </w:rPr>
      </w:pPr>
      <w:r>
        <w:rPr>
          <w:rFonts w:ascii="Times New Roman" w:hAnsi="Times New Roman"/>
          <w:color w:val="000000"/>
          <w:sz w:val="18"/>
        </w:rPr>
        <w:t>The ReDiscover Trial is designed to evaluate the safety, tolerability, pharmacokinetics, pharmacodynamics and preliminary antitumor activity of RLY-2608, and consists of three separate arms (</w:t>
      </w:r>
      <w:r>
        <w:rPr>
          <w:rFonts w:ascii="Times New Roman" w:hAnsi="Times New Roman"/>
          <w:b/>
          <w:color w:val="000000"/>
          <w:sz w:val="18"/>
        </w:rPr>
        <w:t>Figure 6</w:t>
      </w:r>
      <w:r>
        <w:rPr>
          <w:rFonts w:ascii="Times New Roman" w:hAnsi="Times New Roman"/>
          <w:color w:val="000000"/>
          <w:sz w:val="18"/>
        </w:rPr>
        <w:t>). The first arm is assessing RLY-2608 as a single agent for patients with unresectable or metastatic solid tumors with PI3Kα mutation, the second arm is evaluating RLY-2608 in combination with fulvestrant for patients with PI3Kα-mutant, HR+, HER2– locally advanced or metastatic breast cancer, and the third arm is evaluating the triplet combination of RLY-2608, fulvestrant and ribociclib in patients with PI3Kα-mutant, HR+, HER2– locally advanced or metastatic breast cancer. Each arm has two parts, a dose escalation (part 1) to determine the maximum tolerated dose and/or recommended Phase 2 dose, followed by a dose expansion (part 2) to evaluate RLY-2608 in genomically defined populations.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dose escalation part of the trial for RLY-2608 as a single agent enrolled patients with the following unresectable or metastatic solid tumors with a PI3Kα mutation per local assessment: (1) clear cell ovarian cancer; (2) head and neck squamous cell carcinoma; (3) cervical cancer; (4) other solid tumors; and (5) unresectable or metastatic solid tumors with PIK3CA double mutations defined as major (E542X, E545X, or H1047X), plus ≥1 additional PI3Kα mutations. In the dose escalation and expansion parts of the trial for RLY-2608 and fulvestrant and in the dose escalation part of the trial for RLY-2608, fulvestrant and ribociclib, men or postmenopausal women with HR+, HER2– advanced or metastatic breast cancer with PI3Kα mutations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continue to be enrolled in the following groups: (1) patients who have not received prior treatment with a PI3Kα inhibitor; and (2) patients who are intolerant to PI3Kα inhibitors.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Figure 6: ReDiscover Trial design.</w:t>
      </w:r>
    </w:p>
    <w:p>
      <w:pPr>
        <w:pStyle w:val="TextBody"/>
        <w:bidi w:val="0"/>
        <w:spacing w:before="240" w:after="283"/>
        <w:jc w:val="center"/>
        <w:rPr/>
      </w:pPr>
      <w:r>
        <w:rPr/>
        <w:drawing>
          <wp:inline distT="0" distB="0" distL="0" distR="0">
            <wp:extent cx="5943600" cy="26955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2695575"/>
                    </a:xfrm>
                    <a:prstGeom prst="rect">
                      <a:avLst/>
                    </a:prstGeom>
                  </pic:spPr>
                </pic:pic>
              </a:graphicData>
            </a:graphic>
          </wp:inline>
        </w:drawing>
      </w:r>
      <w:r>
        <w:rPr/>
        <w:t> </w:t>
      </w:r>
    </w:p>
    <w:p>
      <w:pPr>
        <w:pStyle w:val="TextBody"/>
        <w:bidi w:val="0"/>
        <w:spacing w:before="240" w:after="283"/>
        <w:jc w:val="left"/>
        <w:rPr>
          <w:rFonts w:ascii="Times New Roman" w:hAnsi="Times New Roman"/>
          <w:color w:val="000000"/>
          <w:sz w:val="18"/>
          <w:u w:val="single"/>
        </w:rPr>
      </w:pPr>
      <w:r>
        <w:rPr>
          <w:rFonts w:ascii="Times New Roman" w:hAnsi="Times New Roman"/>
          <w:color w:val="000000"/>
          <w:sz w:val="18"/>
          <w:u w:val="single"/>
        </w:rPr>
        <w:t>Interim Clinical Data</w:t>
      </w:r>
    </w:p>
    <w:p>
      <w:pPr>
        <w:pStyle w:val="TextBody"/>
        <w:bidi w:val="0"/>
        <w:spacing w:before="240" w:after="283"/>
        <w:jc w:val="left"/>
        <w:rPr>
          <w:rFonts w:ascii="Times New Roman" w:hAnsi="Times New Roman"/>
          <w:sz w:val="20"/>
        </w:rPr>
      </w:pPr>
      <w:r>
        <w:rPr>
          <w:rFonts w:ascii="Times New Roman" w:hAnsi="Times New Roman"/>
          <w:color w:val="000000"/>
          <w:sz w:val="18"/>
        </w:rPr>
        <w:t>In April 2023, we announced initial clinical data from the ReDiscover Trial with a cut-off date of March 9, 2023 that was presented at the American Association for Cancer Research Annual Meeting 2023. The initial clinical data demonstrated that RLY-2608 achieved selective target engagement at multiple predicted active doses with an encouraging initial safety and tolerability profile. RLY-2608 was generally well-tolerated in the 42 patients treated as of the March 9, 2023 data cut-off date.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In July 2023, we initiated a dose expansion cohort of the ReDiscover Trial in patients with PI3Kα-mutant, HR+, HER2– locally advanced or metastatic breast cancer, with patients receiving a 600 mg BID dose of RLY-2608 in combination with fulvestrant.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Selection of the 600 mg BID dose is supported by updated interim clinical data, which we announced in August 2023 and which had a cut-off date of July 24, 2023. These updated data were from 17 breast cancer patients treated with RLY-2608 600 mg BID in combination with fulvestrant and include:</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Interim clinical benefit rate, or CBR, of 86% (six of seven CBR-evaluable patients) (CBR is defined as the proportion of patients with stable disease, complete response, or partial response for at least 24 weeks);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Fifteen of 17 patients remained on treatment as of the cut-off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One of five efficacy-evaluable patients with measurable disease achieved a confirmed partial response, or PR, and remains on treatment as of the cut-off date (helical mutation);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Interim safety data that we believe is compelling for use in metastatic breast cancer combinations.</w:t>
      </w:r>
    </w:p>
    <w:p>
      <w:pPr>
        <w:pStyle w:val="TextBody"/>
        <w:bidi w:val="0"/>
        <w:jc w:val="left"/>
        <w:rPr>
          <w:rFonts w:ascii="Times New Roman" w:hAnsi="Times New Roman"/>
          <w:sz w:val="20"/>
        </w:rPr>
      </w:pPr>
      <w:r>
        <w:rPr>
          <w:rFonts w:ascii="Times New Roman" w:hAnsi="Times New Roman"/>
          <w:color w:val="000000"/>
          <w:sz w:val="18"/>
        </w:rPr>
        <w:t>We believe that, overall, while the updated interim clinical data announced in August 2023 are preliminary, the data continue to support selective target engagement across doses and mutation types with encouraging interim safety and tolerability.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18"/>
        </w:rPr>
        <w:t>Lirafugratinib (RLY-4008), a selective inhibitor of FGFR2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Lirafugratinib, or RLY-4008</w:t>
      </w:r>
      <w:r>
        <w:rPr>
          <w:rFonts w:ascii="Times New Roman" w:hAnsi="Times New Roman"/>
          <w:i/>
          <w:color w:val="000000"/>
          <w:sz w:val="18"/>
        </w:rPr>
        <w:t xml:space="preserve">, </w:t>
      </w:r>
      <w:r>
        <w:rPr>
          <w:rFonts w:ascii="Times New Roman" w:hAnsi="Times New Roman"/>
          <w:color w:val="000000"/>
          <w:sz w:val="18"/>
        </w:rPr>
        <w:t>is a potent, selective and oral small molecule inhibitor of FGFR2, a receptor tyrosine kinase that is frequently altered in certain cancers. FGFR2 is one of four members of the FGFR family, a set of closely related proteins with highly similar protein sequences and properties. Lirafugratinib is currently being evaluated in the ReFocus Trial in patients with advanced or metastatic FGFR2-altered solid tumors. The ReFocus Trial is a two-part global trial in patients with FGFR2-altered tumors. The first part of the trial, or the dose escalation, is complete, and the second part of the trial, or the dose expansion, is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ongoing at a 70 mg once daily, or QD, recommended Phase 2 dose. The dose expansion part of the trial includes four CCA arms and three non-CCA. With full enrollment of our pivotal cohort in patients with FGFR2-fusion CCA who have not previously received an FGFR inhibitor and sufficient enrollment of patients across the tumor agnostic arms that we believe will enable us to generate meaningful data, we have closed enrollment for the ReFocus Trial to allow the relevant data to mature and inform our future clinical development decisions.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believe that while the interim clinical data from the ReFocus Trial disclosed to date are preliminary, the data show interim efficacy signals in the CCA FGFRi treatment-naïve, FGFR2-fusion CCA cohort and non-CCA solid tumor expansion cohorts and further support our hypothesis that selective inhibition of FGFR2 can improve the treatment for patients with FGFR2-driven tumors. Additionally, the safety analysis from the interim clinical data disclosed to date for the CCA cohorts and tumor agnostic cohorts has been generally consistent. Most treatment emergent adverse events were expected FGFR2 on-target, low-grade, monitorable, manageable and largely reversible. The interim clinical data from the ReFocus Trial are discussed in further detail below in "—Interim Clinical Data."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believe FGFR2-mediated cancers affect approximately 11,000 late-line patients annually in the United States. In the future, if lirafugratinib advances to earlier lines of treatment, we believe it could potentially address approximately 35,000 patients annually in the United States. These numbers reflect the inclusion of patients with additional FGFR2 gene fusions and rearrangements that result from truncation of the protein at exon 18 based on recently published research suggesting that patients with these truncations should be considered for FGFR-targeted therapies.</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Role of FGFR in cellular proliferation and differentiation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Each of the FGFRs has an important role in normal physiology and the inhibition of FGFR2 is a well-validated pathway in disrupting cancer proliferation and growth. To our knowledge, to date, four non-selective pan-FGFR inhibitors have been approved, with three on the market (erdafitinib, pemigatinib and futibatinib) and one removed from the market (infigratinib), and several are in clinical development. However, these inhibitors as a class cause several dose-limiting, FGFR2-unrelated toxicities in patients leading to dose reductions and altered dosing schedules. One of the most common dose-limiting toxicities of these agents is hyperphosphatemia (buildup of excess phosphate in the bloodstream), which causes soft tissue mineralization and requires active management. Hyperphosphatemia has been shown to be driven by inhibition of another member of the FGFR family known as FGFR1.</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believe that the toxicity attributable to inhibition of other FGFR family members, and other closely related kinases, limits the ability of the non-selective pan-FGFR inhibitors to achieve optimal and durable inhibition of FGFR2, limiting the efficacy of these agents in patients with FGFR2-altered tumors. In addition to the lack of selectivity, these inhibitors are unable to overcome on-target resistance, which has been observed in patients treated with non-selective pan-FGFR inhibitors. Our belief is that a selective inhibitor of FGFR2 that retains activity against resistance mutations will enable improved clinical efficacy.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Limitations of current FGFR inhibitors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Non-selective pan-FGFR inhibitors produced by other companies have demonstrated clinical proof-of-concept in patients with CCA bearing FGFR2 gene fusions. These gene fusions result in a constitutively active FGFR2, which promotes oncogenic transformation. Genetic alterations in FGFR2, including gene fusions, amplifications, and point mutations, are also found in other solid tumor indications.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Patients with genetic alterations in FGFR2, primarily gene fusions in CCA, have been treated with FGFR inhibitors in investigational clinical trials. To date, these trials provide support for the critical role of FGFR2 for tumor survival with a response rate of up to 42% (</w:t>
      </w:r>
      <w:r>
        <w:rPr>
          <w:rFonts w:ascii="Times New Roman" w:hAnsi="Times New Roman"/>
          <w:b/>
          <w:color w:val="000000"/>
          <w:sz w:val="18"/>
        </w:rPr>
        <w:t>Figure 7)</w:t>
      </w:r>
      <w:r>
        <w:rPr>
          <w:rFonts w:ascii="Times New Roman" w:hAnsi="Times New Roman"/>
          <w:color w:val="000000"/>
          <w:sz w:val="18"/>
        </w:rPr>
        <w:t>. A key limiting factor for existing FGFR therapies is that, as a class, they are associated with dose-limiting side effects such as hyperphosphatemia, which has been shown to be caused by FGFR1 inhibition, and diarrhea, which has been shown to be caused by FGFR4 inhibition. Additionally, we believe a selective inhibitor of FGFR2 with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broad activity against acquired resistance mutations is necessary to address a significant unmet need in patients with FGFR2-altered tumors.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Figure 7: Hyperphosphatemia and diarrhea are dose-limiting adverse events associated with non-selective FGFR inhibitors.</w:t>
      </w:r>
    </w:p>
    <w:p>
      <w:pPr>
        <w:pStyle w:val="TextBody"/>
        <w:bidi w:val="0"/>
        <w:spacing w:before="240" w:after="283"/>
        <w:jc w:val="center"/>
        <w:rPr/>
      </w:pPr>
      <w:r>
        <w:rPr/>
        <w:drawing>
          <wp:inline distT="0" distB="0" distL="0" distR="0">
            <wp:extent cx="5943600" cy="23241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943600" cy="2324100"/>
                    </a:xfrm>
                    <a:prstGeom prst="rect">
                      <a:avLst/>
                    </a:prstGeom>
                  </pic:spPr>
                </pic:pic>
              </a:graphicData>
            </a:graphic>
          </wp:inline>
        </w:drawing>
      </w:r>
      <w:r>
        <w:rPr/>
        <w:t>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_____________</w:t>
      </w:r>
    </w:p>
    <w:p>
      <w:pPr>
        <w:pStyle w:val="TextBody"/>
        <w:bidi w:val="0"/>
        <w:jc w:val="left"/>
        <w:rPr>
          <w:rFonts w:ascii="Times New Roman" w:hAnsi="Times New Roman"/>
          <w:i/>
          <w:color w:val="000000"/>
          <w:sz w:val="18"/>
        </w:rPr>
      </w:pPr>
      <w:r>
        <w:rPr>
          <w:rFonts w:ascii="Times New Roman" w:hAnsi="Times New Roman"/>
          <w:i/>
          <w:color w:val="000000"/>
          <w:sz w:val="18"/>
        </w:rPr>
        <w:t>Note: These data are derived from different clinical trials at different points in time, with differences in trial design and patient populations. As a result, cross-trial comparisons cannot be made, and no head-to-head clinical trials have been conducted.</w:t>
      </w:r>
    </w:p>
    <w:p>
      <w:pPr>
        <w:pStyle w:val="TextBody"/>
        <w:bidi w:val="0"/>
        <w:jc w:val="left"/>
        <w:rPr>
          <w:rFonts w:ascii="Times New Roman" w:hAnsi="Times New Roman"/>
          <w:sz w:val="20"/>
        </w:rPr>
      </w:pPr>
      <w:r>
        <w:rPr>
          <w:rFonts w:ascii="Times New Roman" w:hAnsi="Times New Roman"/>
          <w:i/>
          <w:color w:val="000000"/>
          <w:sz w:val="18"/>
        </w:rPr>
        <w:t>1. Sources: Pemigatinib – prescribing information; futibatinib – prescribing Information; erdafitinib – prescribing information; (note: AEs are reflective of respective label indications);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18"/>
        </w:rPr>
        <w:t>2. From pemigatinib NDA review documents: “Pemigatinib 13.5 mg daily provided 76% inhibition of ex vivo phosphorylated FGFR2α at trough”; and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i/>
          <w:color w:val="000000"/>
          <w:sz w:val="18"/>
        </w:rPr>
        <w:t>3. Reflects reported ORRs in key randomized studies evaluating NCCN recommended regimens for recurrent/metastatic patients (second/third line or later) for the following tumor types: HR+ breast cancer, gastric cancer, pancreatic cancer, NSCLC, ovarian cancer, and head and neck.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Our solution, lirafugratinib (RLY-4008)</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Lirafugratinib is an oral, irreversible, small molecule inhibitor of FGFR2 designed to inhibit FGFR2 with high potency while minimizing inhibition of other FGFR family members. In our initial assessment of the challenge of obtaining a highly selective inhibitor of FGFR2, we determined that there is a high degree of structural similarity between FGFR1 and FGFR2 when comparing static X-ray crystal structures. This similarity precluded the development of a structure-based selectivity hypothesis using conventional approaches.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therefore set out to identify motion-based differences between FGFR2 and other FGFR family members by applying our expertise in computational modeling and experimental structural analyses. We discovered that there were segments of FGFR2 which displayed differential dynamics compared to the corresponding segments of FGFR1 (</w:t>
      </w:r>
      <w:r>
        <w:rPr>
          <w:rFonts w:ascii="Times New Roman" w:hAnsi="Times New Roman"/>
          <w:b/>
          <w:color w:val="000000"/>
          <w:sz w:val="18"/>
        </w:rPr>
        <w:t>Figure 8</w:t>
      </w:r>
      <w:r>
        <w:rPr>
          <w:rFonts w:ascii="Times New Roman" w:hAnsi="Times New Roman"/>
          <w:color w:val="000000"/>
          <w:sz w:val="18"/>
        </w:rPr>
        <w:t>). We predicted these dynamic differences could be exploited to achieve selective inhibition of FGFR2.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8"/>
        </w:rPr>
        <w:t>Figure 8: Using MD simulations, we predicted that a segment in FGFR1 was more dynamic than FGFR2, as represented by the schematic below where the segment opens “Up” more frequently in FGFR1 compared to FGFR2.</w:t>
      </w:r>
      <w:r>
        <w:rPr>
          <w:rFonts w:ascii="Times New Roman" w:hAnsi="Times New Roman"/>
          <w:color w:val="000000"/>
          <w:sz w:val="20"/>
        </w:rPr>
        <w:t xml:space="preserve"> </w:t>
      </w:r>
    </w:p>
    <w:p>
      <w:pPr>
        <w:pStyle w:val="TextBody"/>
        <w:bidi w:val="0"/>
        <w:spacing w:before="240" w:after="283"/>
        <w:jc w:val="center"/>
        <w:rPr/>
      </w:pPr>
      <w:r>
        <w:rPr/>
        <w:drawing>
          <wp:inline distT="0" distB="0" distL="0" distR="0">
            <wp:extent cx="5943600" cy="26193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2619375"/>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We embarked on a process using computational methods such as long timescale molecular dynamics simulations, virtual docking and specialized experimental techniques to design, select, synthesize, and evaluate inhibitors. Our discovery process culminated with the selection of lirafugratinib as a product candidate based on its ability to meet our predetermined criteria for potency, selectivity and activity in animal models.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preclinical studies have shown that lirafugratinib displayed selectivity not only within the FGFR family, but across the kinome generally, in contrast to the pan-FGFR inhibitors that are all equipotent against FGFR 1, 2 and 3, as well as many other off-target kinases, which narrow their therapeutic window (</w:t>
      </w:r>
      <w:r>
        <w:rPr>
          <w:rFonts w:ascii="Times New Roman" w:hAnsi="Times New Roman"/>
          <w:b/>
          <w:color w:val="000000"/>
          <w:sz w:val="18"/>
        </w:rPr>
        <w:t>Figure 9</w:t>
      </w:r>
      <w:r>
        <w:rPr>
          <w:rFonts w:ascii="Times New Roman" w:hAnsi="Times New Roman"/>
          <w:color w:val="000000"/>
          <w:sz w:val="18"/>
        </w:rPr>
        <w:t>).</w:t>
      </w:r>
    </w:p>
    <w:p>
      <w:pPr>
        <w:pStyle w:val="TextBody"/>
        <w:bidi w:val="0"/>
        <w:spacing w:before="240" w:after="283"/>
        <w:jc w:val="left"/>
        <w:rPr>
          <w:rFonts w:ascii="Times New Roman" w:hAnsi="Times New Roman"/>
          <w:sz w:val="20"/>
        </w:rPr>
      </w:pPr>
      <w:r>
        <w:rPr>
          <w:rFonts w:ascii="Times New Roman" w:hAnsi="Times New Roman"/>
          <w:b/>
          <w:color w:val="000000"/>
          <w:sz w:val="18"/>
        </w:rPr>
        <w:t>Figure 9: Lirafugratinib is a highly selective and irreversible inhibitor.</w:t>
      </w:r>
      <w:r>
        <w:rPr>
          <w:rFonts w:ascii="Times New Roman" w:hAnsi="Times New Roman"/>
          <w:color w:val="000000"/>
          <w:sz w:val="20"/>
        </w:rPr>
        <w:t xml:space="preserve"> </w:t>
      </w:r>
    </w:p>
    <w:p>
      <w:pPr>
        <w:pStyle w:val="TextBody"/>
        <w:bidi w:val="0"/>
        <w:spacing w:before="240" w:after="283"/>
        <w:jc w:val="center"/>
        <w:rPr/>
      </w:pPr>
      <w:r>
        <w:rPr/>
        <w:drawing>
          <wp:inline distT="0" distB="0" distL="0" distR="0">
            <wp:extent cx="5943600" cy="24479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943600" cy="2447925"/>
                    </a:xfrm>
                    <a:prstGeom prst="rect">
                      <a:avLst/>
                    </a:prstGeom>
                  </pic:spPr>
                </pic:pic>
              </a:graphicData>
            </a:graphic>
          </wp:inline>
        </w:drawing>
      </w:r>
      <w:r>
        <w:rPr/>
        <w:t> </w:t>
      </w:r>
    </w:p>
    <w:p>
      <w:pPr>
        <w:pStyle w:val="TextBody"/>
        <w:bidi w:val="0"/>
        <w:jc w:val="left"/>
        <w:rPr/>
      </w:pPr>
      <w:r>
        <w:rPr/>
        <w:t>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_____________</w:t>
      </w:r>
    </w:p>
    <w:p>
      <w:pPr>
        <w:pStyle w:val="TextBody"/>
        <w:bidi w:val="0"/>
        <w:jc w:val="left"/>
        <w:rPr>
          <w:rFonts w:ascii="Times New Roman" w:hAnsi="Times New Roman"/>
          <w:i/>
          <w:color w:val="000000"/>
          <w:sz w:val="18"/>
        </w:rPr>
      </w:pPr>
      <w:r>
        <w:rPr>
          <w:rFonts w:ascii="Times New Roman" w:hAnsi="Times New Roman"/>
          <w:i/>
          <w:color w:val="000000"/>
          <w:sz w:val="18"/>
        </w:rPr>
        <w:t>These kinome scans are based on a single experiment that tested each compound run at 500nM against 468 targets in the absence of adenosine triphosphate (ATP) and without preincubation.</w:t>
      </w:r>
    </w:p>
    <w:p>
      <w:pPr>
        <w:pStyle w:val="TextBody"/>
        <w:bidi w:val="0"/>
        <w:jc w:val="left"/>
        <w:rPr>
          <w:rFonts w:ascii="Times New Roman" w:hAnsi="Times New Roman"/>
          <w:i/>
          <w:color w:val="000000"/>
          <w:sz w:val="18"/>
        </w:rPr>
      </w:pPr>
      <w:r>
        <w:rPr>
          <w:rFonts w:ascii="Times New Roman" w:hAnsi="Times New Roman"/>
          <w:i/>
          <w:color w:val="000000"/>
          <w:sz w:val="18"/>
        </w:rPr>
        <w:t>Source: KINOMEscan by Eurofins DiscoverX.</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u w:val="single"/>
        </w:rPr>
        <w:t>Our clinical development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lirafugratinib clinical development plan seeks to leverage the unique potential for enhanced tolerability and broad FGFR2 mutational coverage to rapidly generate proof-of-concept in molecularly defined patient subsets.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Lirafugratinib is currently being evaluated in the ReFocus Trial in patients with FGFR2-altered tumors. The ReFocus Trial is designed to evaluate the safety, tolerability, pharmacokinetics, pharmacodynamics and anti-tumor efficacy of lirafugratinib in several parts, including dose escalation (part 1) and dose expansion (part 2). The dose escalation part of the trial has been completed and the dose expansion part of the trial is ongoing at a 70 mg QD recommended Phase 2 dose. The dose expansion part of the trial includes four CCA arms and three tumor agnostic, or non-CCA, arms.</w:t>
      </w:r>
    </w:p>
    <w:p>
      <w:pPr>
        <w:pStyle w:val="TextBody"/>
        <w:bidi w:val="0"/>
        <w:spacing w:before="240" w:after="283"/>
        <w:jc w:val="left"/>
        <w:rPr>
          <w:rFonts w:ascii="Times New Roman" w:hAnsi="Times New Roman"/>
          <w:sz w:val="20"/>
        </w:rPr>
      </w:pPr>
      <w:r>
        <w:rPr>
          <w:rFonts w:ascii="Times New Roman" w:hAnsi="Times New Roman"/>
          <w:color w:val="000000"/>
          <w:sz w:val="18"/>
        </w:rPr>
        <w:t>The ReFocus Trial has seven different cohorts based on FGFR2 alteration and tumor type (</w:t>
      </w:r>
      <w:r>
        <w:rPr>
          <w:rFonts w:ascii="Times New Roman" w:hAnsi="Times New Roman"/>
          <w:b/>
          <w:color w:val="000000"/>
          <w:sz w:val="18"/>
        </w:rPr>
        <w:t>Figure 10</w:t>
      </w:r>
      <w:r>
        <w:rPr>
          <w:rFonts w:ascii="Times New Roman" w:hAnsi="Times New Roman"/>
          <w:color w:val="000000"/>
          <w:sz w:val="18"/>
        </w:rPr>
        <w:t>). Enrollment is complete in the pivotal expansion cohort in patients with FGFR2-fusion CCA who have not previously received an FGFR inhibitor. With full enrollment of our pivotal cohort and sufficient enrollment of patients across the tumor agnostic arms that we believe will enable us to generate meaningful data, we have closed enrollment for the ReFocus Trial to allow the relevant data to mature and inform our future clinical development decisions.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Figure 10: ReFocus Trial design.</w:t>
      </w:r>
    </w:p>
    <w:p>
      <w:pPr>
        <w:pStyle w:val="TextBody"/>
        <w:bidi w:val="0"/>
        <w:spacing w:before="240" w:after="283"/>
        <w:jc w:val="center"/>
        <w:rPr/>
      </w:pPr>
      <w:r>
        <w:rPr/>
        <w:drawing>
          <wp:inline distT="0" distB="0" distL="0" distR="0">
            <wp:extent cx="5943600" cy="26479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943600" cy="2647950"/>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18"/>
          <w:u w:val="single"/>
        </w:rPr>
      </w:pPr>
      <w:r>
        <w:rPr>
          <w:rFonts w:ascii="Times New Roman" w:hAnsi="Times New Roman"/>
          <w:color w:val="000000"/>
          <w:sz w:val="18"/>
          <w:u w:val="single"/>
        </w:rPr>
        <w:t>Interim clinical data</w:t>
      </w:r>
    </w:p>
    <w:p>
      <w:pPr>
        <w:pStyle w:val="TextBody"/>
        <w:bidi w:val="0"/>
        <w:spacing w:before="240" w:after="283"/>
        <w:jc w:val="left"/>
        <w:rPr>
          <w:rFonts w:ascii="Times New Roman" w:hAnsi="Times New Roman"/>
          <w:sz w:val="20"/>
        </w:rPr>
      </w:pPr>
      <w:r>
        <w:rPr>
          <w:rFonts w:ascii="Times New Roman" w:hAnsi="Times New Roman"/>
          <w:color w:val="000000"/>
          <w:sz w:val="18"/>
        </w:rPr>
        <w:t>In October 2021, we announced initial clinical data from the ReFocus Trial, which suggested robust inhibition of FGFR2 in the first 49 subjects treated as of the September 9, 2021 data cut-off date across all solid tumors.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September 2022, we announced interim clinical data for lirafugratinib from the FGFRi treatment-naïve, FGFR2-fusion CCA patients in the ReFocus Trial that was presented at the European Society for Medical Oncology, or ESMO, Congress 2022. The interim clinical data were based on an August 1, 2022 cut-off date from both the dose escalation and dose expansion phases of the ReFocus Trial. The interim clinical data included a safety database of 195 patients, with 89 patients treated at a 70 mg QD dose, of which 17 were FGFRi treatment-naïve, FGFR2-fusion CCA patients eligible for efficacy evaluation (patients with measurable disease who had opportunity for two or more tumor assessments to confirm response or discontinued treatment with less than two tumor assessments). This interim clinical data showed confirmed objective response rates, or cORRs, between 58% and 82% in patients treated at specified dose levels and schedules. Most treatment emergent adverse events were expected FGFR2 on-target, low-grade, monitorable, manageable and largely reversible.</w:t>
      </w:r>
    </w:p>
    <w:p>
      <w:pPr>
        <w:pStyle w:val="TextBody"/>
        <w:bidi w:val="0"/>
        <w:spacing w:before="240" w:after="283"/>
        <w:jc w:val="left"/>
        <w:rPr>
          <w:rFonts w:ascii="Times New Roman" w:hAnsi="Times New Roman"/>
          <w:sz w:val="20"/>
        </w:rPr>
      </w:pPr>
      <w:r>
        <w:rPr>
          <w:rFonts w:ascii="Times New Roman" w:hAnsi="Times New Roman"/>
          <w:color w:val="000000"/>
          <w:sz w:val="18"/>
        </w:rPr>
        <w:t>In October 2023, we announced initial clinical data for lirafugratinib from the non-CCA tumor agnostic arms of the ReFocus Trial, with a cut-off date of August 23, 2023, which were presented at the 2023 AACR-NCI-EORTC International Conference on Molecular Targets and Cancer Therapeutics. As of the August 23, 2023 cut-off date, the three non-CCA tumor agnostic arms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trial had enrolled 84 FGFR inhibitor-naïve patients who were efficacy evaluable across 18 tumor types, including 26 patients with FGFR2 fusions, 34 patients with FGFR2 amplifications and 24 patients with FGFR2 mutations. Across these arms of the trial, enrolled patients had received a median of approximately three prior lines of therapy, with the vast majority (94%) having received prior chemotherapy/ADC and nearly half (45%) having received prior targeted therapies. In patients with non-CCA FGFR2 fusions, there was consistent activity across a range of tumor types. The interim clinical data showed encouraging initial FGFR2-fusion tumor-agnostic signal with promising durability. There were also early tumor-agnostic signals of activity in patients with a range of non-CCA FGFR2-amplified tumor types and FGFR2 mutations. The interim clinical data showed objective response rates, or ORRs, between 13% and 35% across non-CCA FGFR2 fusions, amplifications and mutations. The safety analysis from the non-CCA tumor agnostic cohorts, as of the August 23, 2023 cut-off date, was generally consistent with the analysis we disclosed at the ESMO Congress 2022.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believe that, while the interim clinical data from the ReFocus Trial disclosed to date are preliminary, the data show interim efficacy signals in the FGFRi treatment-naïve, FGFR2-fusion CCA cohort and non-CCA solid tumor expansion cohorts and support our hypothesis that selective inhibition of FGFR2 can improve the treatment for patients with FGFR2-driven tumors.</w:t>
      </w:r>
    </w:p>
    <w:p>
      <w:pPr>
        <w:pStyle w:val="TextBody"/>
        <w:bidi w:val="0"/>
        <w:spacing w:before="240" w:after="283"/>
        <w:jc w:val="left"/>
        <w:rPr>
          <w:rFonts w:ascii="Times New Roman" w:hAnsi="Times New Roman"/>
          <w:sz w:val="20"/>
        </w:rPr>
      </w:pPr>
      <w:r>
        <w:rPr>
          <w:rFonts w:ascii="Times New Roman" w:hAnsi="Times New Roman"/>
          <w:i/>
          <w:color w:val="000000"/>
          <w:sz w:val="18"/>
        </w:rPr>
        <w:t>Migoprotafib (GDC-1971, and formerly known as RLY-1971), an inhibitor of SHP2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Migoprotafib, or GDC-1971, is an oral, small molecule inhibitor of the protein tyrosine phosphatase SHP2 that binds and stabilizes SHP2 in its inactive conformation. SHP2 promotes cancer cell survival and growth through the RAS pathway by transducing signals downstream from RTKs. Additionally, activating SHP2 mutations results in enhanced signaling in the absence of ligand stimulation and has been identified as oncogenic drivers in a range of tumors. As a critical signaling node and regulator, SHP2 drives cancer cell proliferation and plays a key role in the way cancer cells develop resistance to targeted therapies. We believe that inhibition of SHP2 could block a common path that cancer cells exploit to avoid killing by other antitumor agents, thus overcoming or delaying the onset of resistance to those therapies. Our preclinical data for migoprotafib showed minimal inhibition of targets other than SHP2. Migoprotafib has bioavailability suitable for oral dosing, was metabolically stable, and demonstrated favorable pharmacokinetic properties in preclinical </w:t>
      </w:r>
      <w:r>
        <w:rPr>
          <w:rFonts w:ascii="Times New Roman" w:hAnsi="Times New Roman"/>
          <w:i/>
          <w:color w:val="000000"/>
          <w:sz w:val="18"/>
        </w:rPr>
        <w:t>in vivo</w:t>
      </w:r>
      <w:r>
        <w:rPr>
          <w:rFonts w:ascii="Times New Roman" w:hAnsi="Times New Roman"/>
          <w:color w:val="000000"/>
          <w:sz w:val="20"/>
        </w:rPr>
        <w:t xml:space="preserve"> </w:t>
      </w:r>
      <w:r>
        <w:rPr>
          <w:rFonts w:ascii="Times New Roman" w:hAnsi="Times New Roman"/>
          <w:color w:val="000000"/>
          <w:sz w:val="18"/>
        </w:rPr>
        <w:t>models. As SHP2 is involved in signaling for numerous oncogenes, including EGFR, KRAS G12C and ALK, combination therapy with migoprotafib represents a potential significant therapeutic opportunity.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the first quarter of 2020, we initiated a Phase 1a clinical trial for migoprotafib as a monotherapy in patients with advanced or metastatic solid tumors. We completed enrollment of this trial in 2022. In December 2020, we entered into the Genentech Agreement, a global collaboration and license agreement with Genentech for the clinical development and commercialization of migoprotafib. Pursuant to the Genentech Agreement, future development for migoprotafib, including the potential to conduct multiple combination studies, is governed by a joint development team between us and Genentech. Genentech initiated the cohort of migoprotafib in combination with GDC-6036, its KRAS G12C inhibitor, in a Phase 1b trial in July 2021. Genentech also initiated a Phase 1b trial of migoprotafib in combination with atezolizumab, its PD-L1 antibody, in August 2022, as well as a Phase 1b trial of migoprotafib in combination with either osimertinib or cetuximab, EGFR inhibitors, in July 2023. Given the range of cancers that are related to SHP2 dependence, we believe migoprotafib has the potential to serve as a combination backbone therapy.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estimate there are approximately 36,000 patients annually in the United States with advanced lung cancer or colorectal cancer who might benefit from a combination of migoprotafib with another targeted inhibitor. In the future, if migoprotafib advances to earlier lines of combination treatment for lung cancer or colorectal cancer, we believe it could be applied in the treatment of up to approximately 69,000 patients annually in the United States.</w:t>
      </w:r>
    </w:p>
    <w:p>
      <w:pPr>
        <w:pStyle w:val="TextBody"/>
        <w:bidi w:val="0"/>
        <w:spacing w:before="240" w:after="283"/>
        <w:jc w:val="left"/>
        <w:rPr>
          <w:rFonts w:ascii="Times New Roman" w:hAnsi="Times New Roman"/>
          <w:sz w:val="20"/>
        </w:rPr>
      </w:pPr>
      <w:r>
        <w:rPr>
          <w:rFonts w:ascii="Times New Roman" w:hAnsi="Times New Roman"/>
          <w:b/>
          <w:i/>
          <w:color w:val="000000"/>
          <w:sz w:val="18"/>
        </w:rPr>
        <w:t>Our Discovery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deploying our Dynamo platform to advance discovery stage programs across both precision oncology and genetic diseases. As with our lead programs, our precision oncology programs leverage insights into protein conformational dynamics to address high-value, genetically validated oncogenes that previously have been intractable to, or inadequately addressed by, conventional drug-discovery approaches. With respect to our genetic disease programs, we are also leveraging the power of our Dynamo platform to address genetically validated targets in monogenic diseases where genetic alterations lead to disease-causing defects in protein conformational dynamics. In addition to the three clinical candidates described above, we have more than seven active discovery stage programs across both precision oncology and genetic diseases.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Competition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biotechnology and pharmaceutical industries are characterized by rapid innovation of new technologies, fierce competition and strong defense of intellectual property. While we believe that our platform and our knowledge, experience and scientific resources provide us with competitive advantages, we face competition from major pharmaceutical and biotechnology companies, academic institutions, governmental agencies and public and private research institutions, among others.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We compete in the segments of the pharmaceutical, biotechnology, and other related markets that address experimentally and computationally driven structure-based drug design in cancer and genetic diseases. There are other companies focusing on structure-based drug design to develop therapies in the fields of cancer and other diseases. These companies include divisions of large pharmaceutical companies and biotechnology companies of various sizes. Any product candidates that we successfully develop and commercialize will compete with currently approved therapies and new therapies that may become available in the future from segments of the pharmaceutical, biotechnology and other related markets that pursue precision medicines. Key product features that would affect our ability to effectively compete with other therapeutics include the efficacy, safety and convenience of our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believe principal competitive factors to our business include, among other things, the rich protein structural data sets we are able to generate, the power and accuracy of our computations and predictions, ability to integrate experimental and computational capabilities, ability to successfully transition research programs into clinical development, ability to raise capital, and the scalability of the platform, pipeline, and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While there are many pharmaceutical and biotechnology companies that use some of the same tools that we use in our platform, we believe we compete favorably on the basis of these factors. The effort and investment required to develop a highly integrated experimental and computational platform similar to ours will hinder new entrants that are unable to invest the necessary capital and time and lack the breadth and depth of technical expertise required to develop competing capabilities. Our ability to remain competitive will largely depend on our ability to continue to augment our integrated experimental and computational platform and demonstrate success in our drug discovery efforts.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we will need to develop our product candidates in collaboration with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any of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RLY-2608 and our mutant-PI3K</w:t>
      </w:r>
      <w:r>
        <w:rPr>
          <w:rFonts w:ascii="Times New Roman" w:hAnsi="Times New Roman"/>
          <w:b/>
          <w:color w:val="000000"/>
          <w:sz w:val="18"/>
        </w:rPr>
        <w:t>α</w:t>
      </w:r>
      <w:r>
        <w:rPr>
          <w:rFonts w:ascii="Times New Roman" w:hAnsi="Times New Roman"/>
          <w:color w:val="000000"/>
          <w:sz w:val="20"/>
        </w:rPr>
        <w:t xml:space="preserve"> </w:t>
      </w:r>
      <w:r>
        <w:rPr>
          <w:rFonts w:ascii="Times New Roman" w:hAnsi="Times New Roman"/>
          <w:b/>
          <w:i/>
          <w:color w:val="000000"/>
          <w:sz w:val="18"/>
        </w:rPr>
        <w:t>inhibitor program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expect that RLY-2608 will compete against approved medicines, Piqray (alpelisib), a non-selective PI3Kα inhibitor marketed by Novartis for the treatment of PI3Kα mutated HR+, HER2- advanced or metastatic breast cancer and Truqap (capivasertib), an AKT inhibitor marketed by AstraZeneca for the treatment of metastatic breast cancer with a PIK3CA, AKT1 or PTEN alteration. We are aware of other companies developing therapeutics that target both wild-type and mutant PI3Kα, including, but not limited to, Roche Holding AG through its subsidiary Genentech, Celcuity Inc and Totus Medicines. In addition, Loxo Oncology, a subsidiary of Eli Lilly and Company, as well as Scorpion Therapeutics and OnKure, have clinical development programs for mutant-selective PI3Kα inhibitors.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Lirafugratinib (RLY-4008)</w:t>
      </w:r>
    </w:p>
    <w:p>
      <w:pPr>
        <w:pStyle w:val="TextBody"/>
        <w:bidi w:val="0"/>
        <w:spacing w:before="240" w:after="283"/>
        <w:jc w:val="left"/>
        <w:rPr>
          <w:rFonts w:ascii="Times New Roman" w:hAnsi="Times New Roman"/>
          <w:sz w:val="20"/>
        </w:rPr>
      </w:pPr>
      <w:r>
        <w:rPr>
          <w:rFonts w:ascii="Times New Roman" w:hAnsi="Times New Roman"/>
          <w:color w:val="000000"/>
          <w:sz w:val="18"/>
        </w:rPr>
        <w:t>While there are currently no approved products that selectively target FGFR2, we are aware of other companies developing therapeutics that selectively target FGFR2, including, but not limited to, Amgen, Russian Pharmaceutical Technologies and Cogent Biosciences. Specifically, we expect lirafugratinib to compete with approved non-selective inhibitors of the FGFR receptor family that are being tested in patients with FGFR2 alterations, including but not limited to, Incyte Corporation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(pemigatinib), Janssen Pharmaceuticals, Inc. (erdafitinib), and Otsuka Holdings Co., Ltd. through its subsidiary Taiho Pharmaceutical Co., Ltd. (futibatinib). Additionally, Eisai Co., Ltd. (tasurgratinib), InnoCare Pharma Limited (gunagratinib), and Tyra Biosciences, Inc. (TYRA-200) also have non-selective FGFR inhibitors in clinical development.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Migoprotafib (GDC-1971)</w:t>
      </w:r>
    </w:p>
    <w:p>
      <w:pPr>
        <w:pStyle w:val="TextBody"/>
        <w:bidi w:val="0"/>
        <w:spacing w:before="240" w:after="283"/>
        <w:jc w:val="left"/>
        <w:rPr>
          <w:rFonts w:ascii="Times New Roman" w:hAnsi="Times New Roman"/>
          <w:sz w:val="20"/>
        </w:rPr>
      </w:pPr>
      <w:r>
        <w:rPr>
          <w:rFonts w:ascii="Times New Roman" w:hAnsi="Times New Roman"/>
          <w:color w:val="000000"/>
          <w:sz w:val="18"/>
        </w:rPr>
        <w:t>While there are currently no approved products targeting SHP2, we are aware of other companies in clinical trials developing therapeutics that target SHP2, including, but not limited to, Revolution Medicines, Inc., Novartis International AG, BridgeBio, Jacobio Pharmaceuticals, Inc., Pfizer Inc., and InnoCare Pharma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Our Collaborations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License Agreements and Strategic Collaborations</w:t>
      </w:r>
    </w:p>
    <w:p>
      <w:pPr>
        <w:pStyle w:val="TextBody"/>
        <w:bidi w:val="0"/>
        <w:spacing w:before="240" w:after="283"/>
        <w:jc w:val="left"/>
        <w:rPr>
          <w:rFonts w:ascii="Times New Roman" w:hAnsi="Times New Roman"/>
          <w:sz w:val="20"/>
        </w:rPr>
      </w:pPr>
      <w:r>
        <w:rPr>
          <w:rFonts w:ascii="Times New Roman" w:hAnsi="Times New Roman"/>
          <w:i/>
          <w:color w:val="000000"/>
          <w:sz w:val="18"/>
        </w:rPr>
        <w:t>Collaboration and License Agreement with D. E. Shaw Research, LLC</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August 17, 2016, we entered into a Collaboration and License Agreement with D. E. Shaw Research, which has since been amended to extend the term and otherwise modify certain of the provisions thereof. We refer to this agreement, as amended and restated from time to time, as the DESRES Agreement. Under the DESRES Agreement, we agreed to collaborate with D. E. Shaw Research to research certain biological targets through the use of D. E. Shaw Research computational modeling capabilities focused on analysis of protein motion, with an aim to develop and commercialize compounds and products directed to such targets. After completing the computational modeling with D. E. Shaw Research and naming a compound development candidate, we develop and commercialize such compounds and products. D. E. Shaw Research has no involvement with the clinical development or potential commercialization of these compounds and products, regardless of any co-ownership rights pursuant to the terms of the DESRES Agreement, and instead receives solely milestone and royalty payments as described below.</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 the DESRES Agreement, there are three categories of targets: Category 1 Targets, Category 2 Targets and Category 3 Targets. We and D. E. Shaw Research agreed on a list of Category 1 Targets and Category 2 Targets as part of the DESRES Agreement. Category 1 Targets are targets that, among other things, we collaborate on with D. E. Shaw Research, D. E. Shaw Research has exclusivity obligations with respect to, and we may owe royalties on; Category 2 Targets are targets in connection with the potential re-categorization of which into a Category 1 Target, we may, among other things, perform certain non-clinical research and development; and Category 3 Targets are all targets other than Category 1 Targets and Category 2 Targets. There are mechanisms for re-categorizing targets, and we and D. E. Shaw Research have re-categorized a number of targets since we entered into the collaboration. Our rights and obligations, and D. E. Shaw Research’s rights and obligations, with respect to targets vary by the category of each target. However, the parties only conduct collaborative activities together for Category 1 Targets, and we are limited to a certain number of Category 1 Targets in any collaboration year. The sum of the number of Category 1 Targets and the number of Category 2 Targets is capped at twenty. The targets associated with all of our current programs in clinical development are Category 1 Targets under the DESRES Agreement.</w:t>
      </w:r>
    </w:p>
    <w:p>
      <w:pPr>
        <w:pStyle w:val="TextBody"/>
        <w:bidi w:val="0"/>
        <w:spacing w:before="240" w:after="283"/>
        <w:jc w:val="left"/>
        <w:rPr>
          <w:rFonts w:ascii="Times New Roman" w:hAnsi="Times New Roman"/>
          <w:sz w:val="20"/>
        </w:rPr>
      </w:pPr>
      <w:r>
        <w:rPr>
          <w:rFonts w:ascii="Times New Roman" w:hAnsi="Times New Roman"/>
          <w:color w:val="000000"/>
          <w:sz w:val="18"/>
        </w:rPr>
        <w:t>Work product that we jointly develop with D. E. Shaw Research is initially co-owned with them. Specifically, intellectual property rights covering the composition of matter for migoprotafib and</w:t>
      </w:r>
      <w:r>
        <w:rPr>
          <w:rFonts w:ascii="Times New Roman" w:hAnsi="Times New Roman"/>
          <w:color w:val="000000"/>
          <w:sz w:val="20"/>
        </w:rPr>
        <w:t xml:space="preserve"> </w:t>
      </w:r>
      <w:r>
        <w:rPr>
          <w:rFonts w:ascii="Times New Roman" w:hAnsi="Times New Roman"/>
          <w:color w:val="000000"/>
          <w:sz w:val="18"/>
        </w:rPr>
        <w:t>lirafugratinib were initially co-owned by D. E. Shaw Research and us under this arrangement, but are currently solely owned by us. We have the right to have patents claiming certain product candidates (including one claiming migoprotafib) assigned to us upon issuance of those patents. For each Category 1 Target, there is a limit to the number of core compounds and total compounds, including derivatives of core compounds, that can be designated as solely owned by us, subject to certain adjustments. Each of we and D. E. Shaw Research grants to the other a perpetual, irrevocable, non-exclusive license for jointly held intellectual property, subject to certain exclusions.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During the initial research term, which is expected to last until August 2025, unless extended by mutual agreement, D. E. Shaw Research will not, and will cause its subsidiaries not to, research any Category 1 Target (or grant certain rights with respect to such target) with the aim of pursuing any compound designed to interact with or bind to such Category 1 Target, subject to some exceptions. Following the end of the initial research term, D. E. Shaw Research will be similarly restricted with respect to any target that was a Category 1 Target at the end of the initial research term, subject to some exceptions. However, D. E. Shaw Research will not be bound by such exclusivity provisions with respect to a particular Category 1 Target if we, and parties acting on our behalf, stop using commercially reasonable efforts to research, develop or commercialize any products against such Category 1 Target. Further, D. E. Shaw Research will be released from such exclusivity obligations with respect to a particular Category 1 Target if, at least 24 months after the end of the initial research term, D. E. Shaw Research informs us that D. E. Shaw Research will forgo all future payments with respect to such Category 1 Target.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During the initial research term, neither D. E. Shaw Research nor we will, and we will each cause our subsidiaries not to, research a Category 2 Target (or grant certain rights with respect to such target) with the aim of pursuing any compound designed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to interact with or bind to such Category 2 Target, subject to some exceptions. These exclusivity restrictions do not extend past the initial research term.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There is no exclusivity with respect to Category 3 Targets.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Through December 31, 2023, we have made cash payments to D. E. Shaw Research totaling $44.3 million in the aggregate. On a product-by-product basis, we have also agreed to pay D. E. Shaw Research milestone payments upon the achievement of certain development and regulatory milestone events for products we develop under the DESRES Agreement that are directed to a Category 1 Target or any target that was a Category 1 Target. Our SHP2, FGFR2 and PI3K programs are each directed to Category 1 Targets. Such payments for achievement of development and regulatory milestones total up to $7.3 million in the aggregate for each of the first three products we develop, and up to $6.3 million in the aggregate for each product we develop after the first three.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Additionally, we have agreed to pay D. E. Shaw Research, on a product-by-product basis, with respect to products directed to Category 1 Targets or any target that was a Category 1 Target, royalties in the low single digits on worldwide net sales of products that we commercialize directed to the targets selected for development under the DESRES Agreement, subject to certain reductions. Royalties are payable on a product-by-product and country-by-country basis until the later of twelve years after first commercial sale in such country or the expiration of all applicable regulatory exclusivities in such country. On a product-by-product basis, we also agreed to pay D. E. Shaw Research sales milestone payments up to $36.0 million in the aggregate based on sales of each product directed to a Category 1 Target or any target that was a Category 1 Target. Further, if we enter into transactions granting third parties rights to a Category 1 Target or a compound or product directed to a Category 1 Target or any target that was a Category 1 Target such as our collaboration with Genentech for migoprotafib discussed below, but subject to certain exclusions, we will share with D. E. Shaw Research a percentage of the proceeds of such transactions ranging from the low- to high-single digits, depending on the stage of development of compounds or products directed to such target at the time we enter into such transaction. We also initially agreed to pay D. E. Shaw Research an annual collaboration fee of $7.9 million in August of each year during the initial research term, and such fee was increased by mutual agreement of the parties to $9.9 million in May of 2021. Such increased fee is payable each year between 2021 and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Unless earlier terminated, the DESRES Agreement will continue at least until the end of the initial research term and thereafter on a target-by-target basis until all payment obligations have expired. D. E. Shaw Research has the right to terminate the DESRES Agreement due to non-payment. We and D. E. Shaw Research each have the right to terminate the DESRES Agreement due to an uncured material breach by the other party, or in the event the other party becomes insolvent or enters into bankruptcy or dissolution proceedings. Our payment obligations to D. E. Shaw Research survive termination of the DESRES Agreement. If D. E. Shaw Research terminates the DESRES Agreement, the exclusivity obligations will terminate. If we terminate the DESRES Agreement, D. E. Shaw Research remains bound by its exclusivity obligations with respect to certain targets until, on a target-by-target basis, there are no further payment obligations due to D. E. Shaw Research in respect of such targets.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Collaboration and License Agreement with Genentech</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December 11, 2020, we entered into a Collaboration and License Agreement with Genentech, Inc. and F. Hoffmann-La Roche Ltd, collectively referred to as Genentech, which was amended on February 2, 2022, to modify certain terms thereof. We refer to this agreement, as amended from time to time, as the Genentech Agreement. Pursuant to the Genentech Agreement, we and Genentech will collaborate on the development and commercialization of migoprotafib.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Genentech will be responsible for conducting any additional clinical development of migoprotafib, including in any combination trials with Genentech’s compound, GDC-6036, that directly binds to and inhibits KRAS G12C, or other compounds. Genentech initiated the cohort of migoprotafib in combination with GDC-6036, its KRAS G12C inhibitor, in a Phase 1b trial in July 2021. Genentech also initiated a Phase 1b trial of migoprotafib in combination with atezolizumab, its PD-L1 antibody, in August 2022, as well as a Phase 1b trial of migoprotafib in combination with either osimertinib or cetuximab, EGFR inhibitors, in July 2023.</w:t>
      </w:r>
    </w:p>
    <w:p>
      <w:pPr>
        <w:pStyle w:val="TextBody"/>
        <w:bidi w:val="0"/>
        <w:spacing w:before="240" w:after="283"/>
        <w:jc w:val="left"/>
        <w:rPr>
          <w:rFonts w:ascii="Times New Roman" w:hAnsi="Times New Roman"/>
          <w:sz w:val="20"/>
        </w:rPr>
      </w:pPr>
      <w:r>
        <w:rPr>
          <w:rFonts w:ascii="Times New Roman" w:hAnsi="Times New Roman"/>
          <w:color w:val="000000"/>
          <w:sz w:val="18"/>
        </w:rPr>
        <w:t>We retain the right to develop migoprotafib or certain other small molecule inhibitors of SHP2 developed under the Genentech Agreement, or a Licensed Candidate, or pharmaceutical product containing a Licensed Candidate, or a Licensed Product, in combination with any of our compounds targeting PI3Kα, including RLY-2608, or FGFR2, including lirafugratinib, which we refer to as a Relay Combination Product.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Genentech has the sole right and responsibility to commercialize Licensed Products, in any and all combinations, except that we have the right to co-promote a Licensed Product solely as part of our commercialization of Relay Combination Products. Genentech will be solely responsible for all regulatory matters for all Licensed Candidates and Licensed Products other than with respect to Relay Combination Products.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 the terms of the Genentech Agreement, we received $75.0 million in an upfront payment in 2021, as well as $45.0 million in milestone payments from Genentech through the date of this Annual Report on Form 10-K. We are eligible to receive up to an aggregate of $675.0 million in additional payments upon the achievement of other specified development, commercialization, and sales-based milestones for migoprotafib worldwide, as well as tiered royalties ranging from low-to-mid teens on annual worldwide net sales of migoprotafib, on a country-by-country basis, subject to reduction in certain circumstances. We are also eligible to receive additional royalties in the event of regulatory approval of migoprotafib and Genentech’s compound, GDC-6036, that directly binds to and inhibits KRAS G12C, in combination. During the year ended December 31, 2023, we did not elect to exercise our option to participate in a U.S. profit/cost share with Genentech.</w:t>
      </w:r>
    </w:p>
    <w:p>
      <w:pPr>
        <w:pStyle w:val="TextBody"/>
        <w:bidi w:val="0"/>
        <w:spacing w:before="240" w:after="283"/>
        <w:jc w:val="left"/>
        <w:rPr>
          <w:rFonts w:ascii="Times New Roman" w:hAnsi="Times New Roman"/>
          <w:sz w:val="20"/>
        </w:rPr>
      </w:pPr>
      <w:r>
        <w:rPr>
          <w:rFonts w:ascii="Times New Roman" w:hAnsi="Times New Roman"/>
          <w:color w:val="000000"/>
          <w:sz w:val="18"/>
        </w:rPr>
        <w:t>Under the Genentech Agreement, we granted an exclusive, worldwide, royalty-bearing license to Genentech, with the right to sublicense, to develop and commercialize migoprotafib. Between the parties, Genentech has the first right, but not the obligation, to file, prosecute and maintain any patents licensed to it pursuant to the Genentech Agreement, as well as to enforce infringement of or defend claims against such patents that relate to Licensed Candidates and Licensed Products. The parties will share any liabilities or damages arising from the enforcement of such patents or any third-party patent claims.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Other than with respect to Relay Combination Products and other activities in accordance with the Genentech Agreement, we may not, directly or indirectly, conduct any activities related to the research, development, manufacture or commercialization of any SHP2 inhibitor. During the first three years of the term of the Genentech Agreement, Genentech will cause its research and early development organization not to sponsor or conduct a registrational trial for a SHP2 inhibitor other than a Licensed Product.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Unless earlier terminated, the Genentech Agreement will remain in effect until the expiration of all Genentech’s royalty payment obligations to us. The parties may terminate the Genentech Agreement for the other party’s material breach or insolvency or, on a country-by-country basis, the failure to obtain merger control under applicable antitrust laws. Additionally, Genentech may terminate the Genentech Agreement for convenience, and we may terminate the Genentech Agreement for certain patent challenges by Genentech or if Genentech has not conducted any research, development, manufacturing, or commercialization activities with respect to any Licensed Candidate or Licensed Product for a specified period.</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Other Collaborations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While we have invested extensively in our in-house capabilities and know-how, we selectively work with key collaborators and field experts on certain emerging experimental and computational tools and techniques we use in our drug discovery process. Most of our experimental collaborations are focused on the technologies we use to visualize protein structure at the atomic level.</w:t>
      </w:r>
    </w:p>
    <w:p>
      <w:pPr>
        <w:pStyle w:val="TextBody"/>
        <w:bidi w:val="0"/>
        <w:spacing w:before="240" w:after="283"/>
        <w:jc w:val="left"/>
        <w:rPr>
          <w:rFonts w:ascii="Times New Roman" w:hAnsi="Times New Roman"/>
          <w:sz w:val="20"/>
        </w:rPr>
      </w:pPr>
      <w:r>
        <w:rPr>
          <w:rFonts w:ascii="Times New Roman" w:hAnsi="Times New Roman"/>
          <w:color w:val="000000"/>
          <w:sz w:val="18"/>
        </w:rPr>
        <w:t>In September 2022, we engaged Foundation Medicine, Inc. to develop its FoundationOne®CDx as a companion diagnostic for lirafugratinib, which we have been using to identify patients with FGFR2 fusions, amplifications and mutations and select rearrangements in CCA who may be appropriate for treatment with lirafugratinib.</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Intellectual Property</w:t>
      </w:r>
    </w:p>
    <w:p>
      <w:pPr>
        <w:pStyle w:val="TextBody"/>
        <w:bidi w:val="0"/>
        <w:spacing w:before="240" w:after="283"/>
        <w:jc w:val="left"/>
        <w:rPr>
          <w:rFonts w:ascii="Times New Roman" w:hAnsi="Times New Roman"/>
          <w:sz w:val="20"/>
        </w:rPr>
      </w:pPr>
      <w:r>
        <w:rPr>
          <w:rFonts w:ascii="Times New Roman" w:hAnsi="Times New Roman"/>
          <w:color w:val="000000"/>
          <w:sz w:val="18"/>
        </w:rPr>
        <w:t>We seek to protect the intellectual property and proprietary technology that we consider important to our business, including by pursuing patent applications that cover our product candidates and methods of using the same, as well as any other relevant inventions and improvements that we believe to be commercially important to the development of our business. We also rely on trade secrets, know-how and continuing technological innovation to develop and maintain our proprietary and intellectual property position. 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with other biotechnology and pharmaceutical companies, our ability to maintain and solidify our proprietary and intellectual property position for our product candidates and technologies will depend on our success in obtaining effective patent claims and enforcing those claims if granted. However, our pending provisional and PCT patent applications, and any patent applications that we may in the future file or license from third parties, may not result in the issuance of patents and any issued patents we may obtain do not guarantee us the right to practice our technology or commercialize our product candidates. We also cannot predict the breadth of claims that may be allowed or enforced in any patents we may own or in-license in the future. Any issued patents that we currently own or may own or in-license in the future may be challenged, invalidated, circumvented or have the scope of their claims narrowed.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 protection such patent would afford the respective product and any competitive advantage such patent may provide.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The term of individual patents depends upon the date of filing of the patent application, the date of patent issuance and the legal term of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United States Patent and Trademark Office, or USPTO, in examining and granting a patent, or may be shortened if a patent is terminally disclaimed over an earlier expiring patent. The term of a patent claiming a new drug product may also be eligible for a limited patent term extension when FDA approval is granted, provided statutory and regulatory requirements are met.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The restoration period cannot be longer than five years, and the restoration period may not extend the patent term beyond 14 years from the date of FDA approval.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 In the future, if our product candidates receive approval by the FDA, we expect to apply for patent term extensions on one issued patent covering each of those products, depending upon the length of the clinical studies for each product and other factors. There can be no assurance that patents will issue from our current or future pending patent applications, or that we will benefit from any patent term extension or favorable adjustments to the terms of any patents we may own or in-license in the future. In addition,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The patent term may be inadequate to protect our competitive position on our products for an adequate amount of time.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RLY-2608</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we co-owned with D.E. Shaw Research pending U.S. and foreign patent applications, covering our lead PI3K program, which are directed to the composition of matter for the drug candidates of the program, including RLY-2608, analogs thereof, as well as methods of making and using these compounds. Any U.S. or foreign patents that may issue from this patent family, if granted and all appropriate maintenance fees paid, would be scheduled to expire in 2041, excluding any additional term for patent term adjustment or patent term extension, if applicable.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we wholly owned pending PCT and foreign patent applications relating to RLY-2608 isotopolog composition of matter, methods of treatment, solid forms and methods of manufacture. Any U.S. or foreign patents that may issue from this patent family, if granted and all appropriate maintenance fees paid, would be scheduled to expire in 2042, excluding any additional term for patent term adjustment or patent term extension, if applicable.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Lirafugratinib (RLY-4008)</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we co-owned with D. E. Shaw Research pending U.S. and foreign patent applications which relate to our FGFR2 inhibitors. Any U.S. or foreign patents that may issue from this patent family, if granted and all appropriate maintenance fees paid, would be scheduled to expire in 2040, excluding any additional term for patent term adjustment or patent term extension, if applicable.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2023, we wholly owned pending U.S. and foreign patent applications relating to lirafugratinib salts composition of matter, methods of treatment, solid forms and methods of manufacture. Any U.S. or foreign patents that may issue from this patent family, if granted and all appropriate maintenance fees paid, would be scheduled to expire in 2041, excluding any additional term for patent term adjustment or patent term extension, if applicable.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Migoprotafib (GDC-1971)</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we wholly own a U.S. patent which relates to migoprotafib composition of matter, that, if all appropriate maintenance fees are paid, is scheduled to expire in 2039, excluding any additional term for patent term adjustment or patent term extension, if applicable. As of December 31, 2023, we co-owned with D.E. Shaw Research pending U.S. and foreign patent applications covering our SHP2 program, which are directed to the composition of matter for drug candidates of the program, analogs thereof, as well as methods of making and using these compounds. Any U.S. or foreign patents that may issue from this patent family, if granted and all appropriate maintenance fees paid, would be scheduled to expire in 2039, excluding any additional term for patent term adjustment or patent term extension, if applicable. As of December 31, 2023, we wholly owned pending non-provisional patent applications which relate to migoprotafib, solid forms and methods of manufacture. Any U.S. or foreign patent that may issue from these patent applications would be scheduled to expire in 2040, excluding any additional term for patent term adjustment or patent term extension, if applicable.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Pursuant to the Genentech Agreement, we have granted an exclusive, worldwide, royalty-bearing license to Genentech, with the right to sublicense, develop and commercialize migoprotafib and any other SHP2 inhibitors developed under the Genentech Agreement. Genentech has the first right, but not the obligation, to file, prosecute and maintain any patents licensed to it, as well as to enforce infringement of or defend claims against such patents that relate to migoprotafib or other SHP2 inhibitors. See "—Our Collaborations—License Agreements and Strategic Collaborations—Collaboration and License Agreement with Genentech" for more information on the Genentech Agreement.</w:t>
      </w:r>
    </w:p>
    <w:p>
      <w:pPr>
        <w:pStyle w:val="TextBody"/>
        <w:bidi w:val="0"/>
        <w:spacing w:before="240" w:after="283"/>
        <w:jc w:val="left"/>
        <w:rPr>
          <w:rFonts w:ascii="Times New Roman" w:hAnsi="Times New Roman"/>
          <w:sz w:val="20"/>
        </w:rPr>
      </w:pPr>
      <w:r>
        <w:rPr>
          <w:rFonts w:ascii="Times New Roman" w:hAnsi="Times New Roman"/>
          <w:color w:val="000000"/>
          <w:sz w:val="18"/>
        </w:rPr>
        <w:t>Patent prosecution is a lengthy process, during which the scope of the claims initially submitted for examination by the USPTO or other foreign jurisdiction are often significantly narrowed by the time they issue, if they issue at all. Any U.S. or foreign patent issuing from these provisional, PCT, or foreign patent applications (assuming they are timely converted into non-provisional applications, and such non-provisional applications are granted as issued patents) would be scheduled to expire twenty years from their earliest non-provisional priority filing date, excluding any additional term for patent term adjustment or patent term extension, and assuming national phase entries are timely made based upon the pending PCT application, and payment of all applicable maintenance or annuity fees. Any of our pending PCT patent applications are not eligible to become issued patents until, among other things, we file national stage patent applications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Our provisional patent applications may never result in issued patents and are not eligible to become issued patents until, among other things, we file a non-provisional patent application and/or PCT patent application within 12 months of filing the related provisional patent application. If we do not timely file non-provisional patent applications, we may lose our priority date with respect to our provisional patent applications and any patent protection on the inventions disclosed in our provisional patent applications. While we intend to timely file non-provisional and national stage patent applications relating to our provisional and PCT patent applications, we cannot predict whether any of our current or future patent applications for any of our product candidates or technology, will issue as patents. If we do not successfully obtain patent protection, or, even if we do obtain patent protection, if the scope of the patent protection we, Genentech, or our potential licensors, obtain with respect to any of our product candidates or technology is not sufficiently broad, we will be unable to prevent others from using our technology or from developing or commercializing technology and products similar or identical to ours or other competing products and technologies.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patent applications, we rely on unpatented trade secrets, know-how and continuing technological innovation to develop and maintain our competitive position. However, trade secrets and confidential know-how are difficult to protect. In particular, we anticipate that with respect to the building of our compound library, our trade secrets and know-how will over time be disseminated within the industry through independent development and public presentations describing the methodology.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consultants,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that we will have executed such agreements with all applicable employees and contractors, or that these agreements will afford us adequate protection of our intellectual property and proprietary information rights. In addition, our trade secrets and/or confidential know-how may become known or be independently developed by a third party or misused by any collaborator to whom we disclose such information. These agreements may also be breached, and we may not have an adequate remedy for any such breach.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For more information regarding the risks related to our intellectual property, please see "Risk Factors—Risks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Subject to receiving marketing approvals, we expect to commence commercialization activities by building a focused sales and marketing organization in the United States to sell our products. We believe that such an organization will be able to address the community of oncologists who are the key specialists in treating the patient populations for which our product candidates are being developed. Outside the United States, we expect to enter into distribution and other marketing arrangements with third parties for any of our product candidates that obtain 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8"/>
        </w:rPr>
        <w:t>Manufacturing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do not have any manufacturing facilities or personnel. We currently rely, and expect to continue to rely, on third parties for the manufacture of our product candidates undergoing preclinical testing, as well as for clinical testing and commercial manufacture if our product candidates receive 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All of our drug candidates are small molecules and are manufactured in synthetic processes from available or custom-made starting materials. The chemistry appears amenable to scale-up and we rely on the specialized equipment of third parties to manufacture our product candidates. We expect to continue to develop product candidates that can be produced cost-effectively at contract manufacturing facilities.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Governmental Regulation</w:t>
      </w:r>
    </w:p>
    <w:p>
      <w:pPr>
        <w:pStyle w:val="TextBody"/>
        <w:bidi w:val="0"/>
        <w:spacing w:before="240" w:after="283"/>
        <w:jc w:val="left"/>
        <w:rPr>
          <w:rFonts w:ascii="Times New Roman" w:hAnsi="Times New Roman"/>
          <w:sz w:val="20"/>
        </w:rPr>
      </w:pPr>
      <w:r>
        <w:rPr>
          <w:rFonts w:ascii="Times New Roman" w:hAnsi="Times New Roman"/>
          <w:color w:val="000000"/>
          <w:sz w:val="18"/>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and contract manufacturers, are and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the United States, where we are initially focusing our drug development, the FDA regulates drug products under the Federal Food, Drug, and Cosmetic Act, or FD&amp;C Act, as amended, its implementing regulations and other laws.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The process required by the FDA before our product candidates are approved as drugs for therapeutic indications and may be marketed in the United States generally involves the following: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completion of extensive preclinical studies in accordance with applicable regulations, including studies conducted in accordance with good laboratory practice, or GLP,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completion of the manufacture, under current Good Manufacturing Practices, or cGMP, conditions, of the drug substance and drug product that the sponsor intends to use in human clinical trials along with required analytical and stability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submission to the FDA of an investigational new drug application, or IND, which must become effective before clinical trials may begin;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approval by an institutional review board, or IRB, or independent ethics committee at each clinical trial site before each trial may be initiated;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submission to the FDA of a New Drug Application, or an NDA;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a determination by the FDA within 60 days of its receipt of an NDA, to accept the filing for review;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potentially, satisfactory completion of FDA audit of the clinical trial sites that generated the data in support of the NDA;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payment of user fees for FDA review of the NDA;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FDA review and approval of the NDA, including consideration of the views of any FDA advisory committee, prior to any commercial marketing or sale of the drug in the United States. </w:t>
      </w:r>
    </w:p>
    <w:p>
      <w:pPr>
        <w:pStyle w:val="TextBody"/>
        <w:bidi w:val="0"/>
        <w:spacing w:before="240" w:after="283"/>
        <w:jc w:val="left"/>
        <w:rPr>
          <w:rFonts w:ascii="Times New Roman" w:hAnsi="Times New Roman"/>
          <w:sz w:val="20"/>
        </w:rPr>
      </w:pPr>
      <w:r>
        <w:rPr>
          <w:rFonts w:ascii="Times New Roman" w:hAnsi="Times New Roman"/>
          <w:b/>
          <w:i/>
          <w:color w:val="000000"/>
          <w:sz w:val="18"/>
        </w:rPr>
        <w:t>Preclinical studies and clinical trials for drugs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Before testing any drug in humans, the product candidate must undergo rigorous preclinical testing. Preclinical studies include laboratory evaluations of drug chemistry, formulation and stability, as well as</w:t>
      </w:r>
      <w:r>
        <w:rPr>
          <w:rFonts w:ascii="Times New Roman" w:hAnsi="Times New Roman"/>
          <w:color w:val="000000"/>
          <w:sz w:val="20"/>
        </w:rPr>
        <w:t xml:space="preserv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and animal studies to assess safety and in some cases to establish the rationale for therapeutic use. The conduct of preclinical studies is subject to federal and state regulation,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The FDA must notify the trial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the FDA are corrected.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trial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sponsor who wishes to conduct a clinical trial outside of the United States may, but need not, obtain FDA authorization to conduct the clinical trial under an IND. If a foreign clinical trial is not conducted under an IND, the FDA will nevertheless accept the results of the study in support of an NDA if the study was conducted in accordance with GCP requirements, and the FDA is able to validate the data through an onsite inspection if deemed necessary.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Clinical trials to evaluate therapeutic indications to support NDAs for marketing approval are typically conducted in three sequential phases, which may overlap.</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Phase 1</w:t>
      </w:r>
      <w:r>
        <w:rPr>
          <w:color w:val="000000"/>
        </w:rPr>
        <w:t>—</w:t>
      </w:r>
      <w:r>
        <w:rPr>
          <w:rFonts w:ascii="Times New Roman" w:hAnsi="Times New Roman"/>
          <w:color w:val="000000"/>
          <w:sz w:val="18"/>
        </w:rPr>
        <w:t xml:space="preserve">Phase 1 clinical trials involve initial introduction of the investigational product into healthy human 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Phase 2</w:t>
      </w:r>
      <w:r>
        <w:rPr>
          <w:color w:val="000000"/>
        </w:rPr>
        <w:t>—</w:t>
      </w:r>
      <w:r>
        <w:rPr>
          <w:rFonts w:ascii="Times New Roman" w:hAnsi="Times New Roman"/>
          <w:color w:val="000000"/>
          <w:sz w:val="18"/>
        </w:rPr>
        <w:t xml:space="preserve">Phase 2 clinical trials typically involve administration of the investigational product to a limited patient population with a specified disease or condition to evaluate the drug’s potential efficacy, to determine the optimal dosages and dosing schedule and to identify possible adverse side effects and safety risks.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18"/>
        </w:rPr>
        <w:t>Phase 3</w:t>
      </w:r>
      <w:r>
        <w:rPr>
          <w:color w:val="000000"/>
        </w:rPr>
        <w:t>—</w:t>
      </w:r>
      <w:r>
        <w:rPr>
          <w:rFonts w:ascii="Times New Roman" w:hAnsi="Times New Roman"/>
          <w:color w:val="000000"/>
          <w:sz w:val="18"/>
        </w:rPr>
        <w:t xml:space="preserve">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In March 2022, the FDA released a final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the FDA. Expansion cohort trials can potentially bring efficiency to drug development and reduce development costs and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w:t>
      </w:r>
      <w:r>
        <w:rPr>
          <w:rFonts w:ascii="Times New Roman" w:hAnsi="Times New Roman"/>
          <w:color w:val="000000"/>
          <w:sz w:val="20"/>
        </w:rPr>
        <w:t xml:space="preserve"> </w:t>
      </w:r>
      <w:r>
        <w:rPr>
          <w:rFonts w:ascii="Times New Roman" w:hAnsi="Times New Roman"/>
          <w:i/>
          <w:color w:val="000000"/>
          <w:sz w:val="18"/>
        </w:rPr>
        <w:t xml:space="preserve">in vitro </w:t>
      </w:r>
      <w:r>
        <w:rPr>
          <w:rFonts w:ascii="Times New Roman" w:hAnsi="Times New Roman"/>
          <w:color w:val="000000"/>
          <w:sz w:val="18"/>
        </w:rPr>
        <w:t>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U.S. marketing approval for drugs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package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The FDA must approve an NDA before a drug may be marketed in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FDA reviews all submitted NDAs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drug is safe and effective for the indications sought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Further, under PDUFA, as amended,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or other risk-minimization tools.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Orphan drug designation and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Under the Orphan Drug Act, the FDA may grant orphan drug designation to a drug intended to treat a rare disease or condition, which is a disease or condition that affects fewer than 200,000 individuals in the United States, or if it affects 200,000 or more individuals in the United States, there is no reasonable expectation that the cost of developing and making the product available in the United States for the disease or condition will be recovered from sales of the product. Orphan drug designation must be requested before submitting an NDA.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a product that has orphan drug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drug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drug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Expedited development and review programs for drugs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more quickly than standard FDA review timelines typically permit.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new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once a marketing application is filed. Rolling review means that the agency may review portions of the marketing application before the sponsor submits the complete application. In addition, a new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pStyle w:val="TextBody"/>
        <w:bidi w:val="0"/>
        <w:spacing w:before="240" w:after="283"/>
        <w:jc w:val="left"/>
        <w:rPr>
          <w:rFonts w:ascii="Times New Roman" w:hAnsi="Times New Roman"/>
          <w:sz w:val="20"/>
        </w:rPr>
      </w:pPr>
      <w:r>
        <w:rPr>
          <w:rFonts w:ascii="Times New Roman" w:hAnsi="Times New Roman"/>
          <w:color w:val="000000"/>
          <w:sz w:val="18"/>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Biologics License Application is submitted, if the drug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Accelerated Approval is usually contingent on a sponsor’s agreement to conduct additional post-approval studies to verify and describe the product’s clinical benefit. As a condition of approval, the FDA may require that a sponsor of a drug receiving Accelerated Approval perform adequate and well-controlled post-marketing clinical trials with due diligence and, under the Food and Drug Omnibus Reform Act of 2022, or FDORA, the FDA is permitted to require, as appropriate, that such trials be underway prior to approval or within a specific time period after the date of approval for a product granted Accelerated Approval. Under FDORA, the FDA has increased authority for expedited procedures to withdraw approval of a drug or an indication approved if, for example, the confirmatory trial fails to verify the predicted clinical benefit of the product. In addition, for products being considered for Accelerated Approval, the FDA generally requires, unless otherwise informed by the agency, pre-approval of promotional materials, which could adversely impact the timing of the commercial launch of the product.</w:t>
      </w:r>
    </w:p>
    <w:p>
      <w:pPr>
        <w:pStyle w:val="TextBody"/>
        <w:bidi w:val="0"/>
        <w:spacing w:before="240" w:after="283"/>
        <w:jc w:val="left"/>
        <w:rPr>
          <w:rFonts w:ascii="Times New Roman" w:hAnsi="Times New Roman"/>
          <w:sz w:val="20"/>
        </w:rPr>
      </w:pPr>
      <w:r>
        <w:rPr>
          <w:rFonts w:ascii="Times New Roman" w:hAnsi="Times New Roman"/>
          <w:color w:val="000000"/>
          <w:sz w:val="18"/>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Pediatric information and pediatric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Under the Pediatric Research Equity Act, or PREA, as amended, certain NDAs and NDA supplements must contain data that can be used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drug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drug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provided that at the time pediatric exclusivity is granted there is not less than nine months of term remaining.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U.S. post-approval requirements for drugs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Manufacturers and other parties involved in the drug supply chain for prescription drug products and those supplying products, ingredients, and components of them, must also comply with product tracking and tracing requirements and are responsible for notifying the FDA of counterfeit, diverted, stolen and intentionally adulterated products or products that are otherwise unfit for distribution in the United States.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restrictions on the marketing or manufacturing of the product, complete withdrawal of the product from the market or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the issuance of safety alerts, Dear Healthcare Provider letters, press releases or other communications containing warnings or other safety information about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fines, warning letters or holds on post-approval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refusal of the FDA to approve applications or supplements to approved applications, or suspension or revocation of product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product seizure or detention, or refusal to permit the import or export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injunctions or the imposition of civil or criminal penalties;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consent decrees, corporate integrity agreements, debarment or exclusion from federal healthcare programs; or mandated modification of promotional materials and labeling and issuance of corrective information. </w:t>
      </w:r>
    </w:p>
    <w:p>
      <w:pPr>
        <w:pStyle w:val="TextBody"/>
        <w:bidi w:val="0"/>
        <w:spacing w:before="240" w:after="283"/>
        <w:jc w:val="left"/>
        <w:rPr>
          <w:rFonts w:ascii="Times New Roman" w:hAnsi="Times New Roman"/>
          <w:sz w:val="20"/>
        </w:rPr>
      </w:pPr>
      <w:r>
        <w:rPr>
          <w:rFonts w:ascii="Times New Roman" w:hAnsi="Times New Roman"/>
          <w:b/>
          <w:i/>
          <w:color w:val="000000"/>
          <w:sz w:val="18"/>
        </w:rPr>
        <w:t>Regulation of companion diagnostics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premarket approval application, or PMA.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In making a determination that the device is substantially equivalent to a predicate device, the FDA compares the proposed device to the predicate device and assesses whether the subject device is comparable to the predicate device with respect to intended use, technology, design and other features which could affect safety and effectiveness. If the FDA determines that the subject device is substantially equivalent to the predicate device, the subject device may be cleared for marketing. The 510(k) premarket notification pathway generally takes from three to twelve months from the date the application is completed, but can take significantly longer.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PMA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The FDA’s review of an initial PMA is required by statute to take between six to ten months, although the process typically takes longer, and may require several years to complete. If the FDA evaluations of both the PMA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On July 31, 2014, the FDA issued a final guidance document addressing the development and approval process for "In Vitro Companion Diagnostic Devices." According to the guidance document, for novel therapeutic products that depend on the use of a diagnostic test and where the diagnostic device could be essential for the safe and effective use of the corresponding therapeutic product,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document in July 2016 setting forth the principles for co-development of an in vitro companion diagnostic device with a therapeutic product. The draft guidance describes principles to guide the development and contemporaneous marketing authorization for the therapeutic product and its corresponding in vitro companion diagnostic.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Once cleared or approved, the companion diagnostic device must adhere to post-marketing requirements including the requirements of the FDA’s QSR, adverse event reporting, recalls and corrections along with product marketing requirements and limitations. Like drug makers, companion diagnostic makers are subject to unannounced FDA inspections at any time during which the FDA will conduct an audit of the product(s) and the company’s facilities for compliance with its authorities.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Other regulatory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Other healthcare 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obligations, exclusion from participation in federal and state healthcare programs, and responsible individuals may be subject to imprisonment.</w:t>
      </w:r>
    </w:p>
    <w:p>
      <w:pPr>
        <w:pStyle w:val="TextBody"/>
        <w:bidi w:val="0"/>
        <w:spacing w:before="240" w:after="283"/>
        <w:jc w:val="left"/>
        <w:rPr>
          <w:rFonts w:ascii="Times New Roman" w:hAnsi="Times New Roman"/>
          <w:sz w:val="20"/>
        </w:rPr>
      </w:pPr>
      <w:r>
        <w:rPr>
          <w:rFonts w:ascii="Times New Roman" w:hAnsi="Times New Roman"/>
          <w:b/>
          <w:i/>
          <w:color w:val="000000"/>
          <w:sz w:val="18"/>
        </w:rPr>
        <w:t>Insurance coverage and reimbursement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and net prices for our products may also be reduced by any future relaxation of laws that presently restrict imports of drugs from countries where they may be sold at lower prices than in the United States.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receive regulatory approval, less favorable coverage policies and reimbursement rates may be implemented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Current and future healthcare reform legislation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2010, the United States Congress enacted the Affordable Care Act, or ACA, which, among other things, includes changes to the coverage and payment for products under government health care programs. The ACA includes provisions of importance to our potential product candidates that:</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created an annual, nondeductible fee on any entity that manufactures or imports specified branded prescription drugs and biologic products, apportioned among these entities according to their market share in certain government healthcare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expanded eligibility criteria for Medicaid programs, thereby potentially increasing a manufacturer’s Medicaid rebate liability;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expanded manufacturers’ rebate liability under the Medicaid Drug Rebate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expanded the types of entities eligible for the 340B drug discount program;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created a Patient-Centered Outcomes Research Institute to oversee, identify priorities in, and conduct comparative clinical effectiveness research, along with funding for such research. </w:t>
      </w:r>
    </w:p>
    <w:p>
      <w:pPr>
        <w:pStyle w:val="TextBody"/>
        <w:bidi w:val="0"/>
        <w:spacing w:before="240" w:after="283"/>
        <w:jc w:val="left"/>
        <w:rPr>
          <w:rFonts w:ascii="Times New Roman" w:hAnsi="Times New Roman"/>
          <w:sz w:val="20"/>
        </w:rPr>
      </w:pPr>
      <w:r>
        <w:rPr>
          <w:rFonts w:ascii="Times New Roman" w:hAnsi="Times New Roman"/>
          <w:color w:val="000000"/>
          <w:sz w:val="18"/>
        </w:rPr>
        <w:t>Other legislative changes have been proposed and adopted in the United States since the ACA was enacted. In August 2011, the Budget Control Act of 2011, among other things, included aggregate reductions of Medicare payments to providers of 2% per fiscal year, which went into effect in April 2013 and, due to subsequent legislative amendments to the statute, will remain in effect through 2031 unless additional Congressional action is taken.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will be further reduced starting in 2025 absent further legislation.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Inflation Reduction Act of 2022, or the IRA, was signed into law in August 2022. The IRA includes several provisions that could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until January 1, 2032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Although the effects of the IRA on our business and the healthcare industry in general are not yet known, we are taking into consideration the potential impact of the IRA on our development and commercialization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President Biden has issued multiple executive orders that have sought to reduce prescription drug costs. In February 2023, the U.S. Department of Health and Human Services, or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In the European Union, or EU,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Compliance with other federal and state laws or requirements; changing legal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which we may be subject.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distribution of pharmaceutical products is subject to additional requirements and regulations, including extensive recordkeeping, licensing, storage and security requirements intended to prevent the unauthorized sale of pharmaceutical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Changes in regulations, statutes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Other U.S. environmental, health and safety laws and regulations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Government regulation of drugs outside of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To market any product outside of the United States, we would need to comply with numerous and varying regulatory requirements of other countries regarding safety and efficacy and governing, among other things, clinical trials, marketing authorization or identification of an alternate regulatory pathway, manufacturing, commercial sales and distribution of our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Clinical trial approval</w:t>
      </w:r>
    </w:p>
    <w:p>
      <w:pPr>
        <w:pStyle w:val="TextBody"/>
        <w:bidi w:val="0"/>
        <w:spacing w:before="240" w:after="283"/>
        <w:jc w:val="left"/>
        <w:rPr>
          <w:rFonts w:ascii="Times New Roman" w:hAnsi="Times New Roman"/>
          <w:sz w:val="20"/>
        </w:rPr>
      </w:pPr>
      <w:r>
        <w:rPr>
          <w:rFonts w:ascii="Times New Roman" w:hAnsi="Times New Roman"/>
          <w:color w:val="000000"/>
          <w:sz w:val="18"/>
        </w:rPr>
        <w:t>In April 2014, the EU adopted the new Clinical Trials Regulation, (EU) No 536/2014 (Clinical Trials Regulation) which replaced the current Clinical Trials Directive 2001/20/EC on January 31, 2022. The Clinical Trials Regulation is directly applicable in all the EU Member States (meaning no national implementing legislation is required). The Clinical Trials Regulation aims to simplify and streamline the approval of clinical trials in the EU. The main characteristics of the Clinical Trials Regulation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continues to be governed by the national law of the concerned EU Member State, however, overall related timelines are defined by the Clinical Trials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Drug Review and Approval</w:t>
      </w:r>
    </w:p>
    <w:p>
      <w:pPr>
        <w:pStyle w:val="TextBody"/>
        <w:bidi w:val="0"/>
        <w:spacing w:before="240" w:after="283"/>
        <w:jc w:val="left"/>
        <w:rPr>
          <w:rFonts w:ascii="Times New Roman" w:hAnsi="Times New Roman"/>
          <w:sz w:val="20"/>
        </w:rPr>
      </w:pPr>
      <w:r>
        <w:rPr>
          <w:rFonts w:ascii="Times New Roman" w:hAnsi="Times New Roman"/>
          <w:color w:val="000000"/>
          <w:sz w:val="18"/>
        </w:rPr>
        <w:t>In the EU, medicinal products must be authorized for marketing by using either the centralized authorization procedure or national authorization procedures.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18"/>
        </w:rPr>
        <w:t>Centralized authorization procedure</w:t>
      </w:r>
      <w:r>
        <w:rPr>
          <w:color w:val="000000"/>
        </w:rPr>
        <w:t>—</w:t>
      </w:r>
      <w:r>
        <w:rPr>
          <w:rFonts w:ascii="Times New Roman" w:hAnsi="Times New Roman"/>
          <w:color w:val="000000"/>
          <w:sz w:val="18"/>
        </w:rPr>
        <w:t xml:space="preserve">If pursuing marketing authorization of a product candidate for a therapeutic indication under the centralized procedure, following the opining of the EMA’s Committee for Medicinal Products for Human Use, or, CHMP, the European Commission issues a single marketing authorization valid across the EU and in the additional Member States of the European Economic Area (Iceland, Liechtenstein and Norway). The centralized procedure is compulsory for human medicines derived from biotechnology processes, advanced therapy medicinal products (i.e. gene therapy, somatic cell therapy and tissue engineered products), products that contain a new active substance indicated for the treatment of certain diseases, such as HIV/AIDS, cancer, neurodegenerative disorders, diabetes, autoimmune diseases and other immune dysfunctions and viral diseases, and products designated as orphan medicines. For medicines that do not fall within these categories, an applicant has the option of submitting an application for a centralized marketing authorization to the EMA, as long as the medicine concerned contains a new active substance not yet authorized in the EU, is a significant therapeutic, scientific or technical innovation, or if its authorization would be in the interest of public health in the EU. Under the centralized procedure the maximum timeframe for the evaluation of a marketing authorization application, or MAA, by the European Medicines Agency, or EMA, is 210 days, excluding clock stops, when additional written or oral information is to be provided by the applicant in response to questions asked by the CHMP. Where the CHMP gives a positive opinion, it provides the opinion together with supporting documentation to the European Commission, who makes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can revert to the standard time limit for the centralized procedure if it considers that it is no longer appropriate to conduct an accelerated assessment.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18"/>
        </w:rPr>
        <w:t>National authorization procedures</w:t>
      </w:r>
      <w:r>
        <w:rPr>
          <w:color w:val="000000"/>
        </w:rPr>
        <w:t>—</w:t>
      </w:r>
      <w:r>
        <w:rPr>
          <w:rFonts w:ascii="Times New Roman" w:hAnsi="Times New Roman"/>
          <w:color w:val="000000"/>
          <w:sz w:val="18"/>
        </w:rPr>
        <w:t xml:space="preserve">There are also two other possible routes to authorize products for therapeutic indications in several countries, which are available for products that fall outside the scope of the centralized procedure: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18"/>
        </w:rPr>
        <w:t>Decentralized procedure</w:t>
      </w:r>
      <w:r>
        <w:rPr>
          <w:color w:val="000000"/>
        </w:rPr>
        <w:t>—</w:t>
      </w:r>
      <w:r>
        <w:rPr>
          <w:rFonts w:ascii="Times New Roman" w:hAnsi="Times New Roman"/>
          <w:color w:val="000000"/>
          <w:sz w:val="18"/>
        </w:rPr>
        <w:t xml:space="preserve">Using the decentralized procedure, an applicant may apply for simultaneous authorization in more than one EU country of medicinal products that have not yet been authorized in any EU country and that do not fall within the mandatory scope of the centralized procedure.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18"/>
        </w:rPr>
        <w:t>Mutual recognition procedure</w:t>
      </w:r>
      <w:r>
        <w:rPr>
          <w:color w:val="000000"/>
        </w:rPr>
        <w:t>—</w:t>
      </w:r>
      <w:r>
        <w:rPr>
          <w:rFonts w:ascii="Times New Roman" w:hAnsi="Times New Roman"/>
          <w:color w:val="000000"/>
          <w:sz w:val="18"/>
        </w:rPr>
        <w:t xml:space="preserve">In the mutual recognition procedure, a medicine is first authorized in one EU Member State, in accordance with the national procedures of that country. Following this, additional marketing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rFonts w:ascii="Times New Roman" w:hAnsi="Times New Roman"/>
          <w:color w:val="000000"/>
          <w:sz w:val="18"/>
        </w:rPr>
        <w:t>authorizations can be sought from other EU countries in a procedure whereby the countries concerned recognize the validity of the original, national marketing authorization.</w:t>
      </w:r>
      <w:r>
        <w:rPr>
          <w:color w:val="00000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18"/>
        </w:rPr>
        <w:t>Periods of authorization and renewals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 authorized product. Once subsequently definitively renewed, the marketing authorization shall be valid for an unlimited period, unless the European Commission or the national competent authority decides, on justified grounds relating to pharmacovigilance, to proceed with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Drug and market exclusivity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the EU, innovative products for therapeutic indications that are authorized for marketing (i.e., reference products) qualify for eight years of data exclusivity and an additional two years of market exclusivity upon marketing authorization. The data exclusivity period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independent and data package of pharmaceutical tests, preclinical tests and clinical trials.</w:t>
      </w:r>
    </w:p>
    <w:p>
      <w:pPr>
        <w:pStyle w:val="TextBody"/>
        <w:bidi w:val="0"/>
        <w:spacing w:before="240" w:after="283"/>
        <w:jc w:val="left"/>
        <w:rPr>
          <w:rFonts w:ascii="Times New Roman" w:hAnsi="Times New Roman"/>
          <w:sz w:val="20"/>
        </w:rPr>
      </w:pPr>
      <w:r>
        <w:rPr>
          <w:rFonts w:ascii="Times New Roman" w:hAnsi="Times New Roman"/>
          <w:i/>
          <w:color w:val="000000"/>
          <w:sz w:val="18"/>
        </w:rPr>
        <w:t>Pediatric studies and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Prior to obtaining a marketing authorization in the EU, applicants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 provided an application for such extension is made at the same time as filing the SPC application for the product, or at any point up to two years before the SPC expires, even where the trial results are negative.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pStyle w:val="TextBody"/>
        <w:bidi w:val="0"/>
        <w:spacing w:before="240" w:after="283"/>
        <w:jc w:val="left"/>
        <w:rPr>
          <w:rFonts w:ascii="Times New Roman" w:hAnsi="Times New Roman"/>
          <w:sz w:val="20"/>
        </w:rPr>
      </w:pPr>
      <w:r>
        <w:rPr>
          <w:rFonts w:ascii="Times New Roman" w:hAnsi="Times New Roman"/>
          <w:i/>
          <w:color w:val="000000"/>
          <w:sz w:val="18"/>
        </w:rPr>
        <w:t>Orphan drug designation and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criteria for designating an “orphan medicinal product” in the EU are similar in principle to those in the United States. In the EU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the necessary investment in its development; and (3) there exists no satisfactory method of diagnosis, prevention or treatment of such condition authorized for marketing in the EU, or if such a method exists, the product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An orphan product can also obtain an additional two years of market exclusivity in the EU for pediatric studies conducted in compliance with a PIP.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(i) the second applicant can establish that its product, although similar, is safer, more effective or otherwise clinically superior to the authorized orphan product; (ii) the marketing authorization holder for the authorized orphan product consents to a second orphan medicinal product application; or (iii) the marketing authorization holder for the authorized orphan product cannot supply enough orphan medicinal product.</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Regulatory requirements after a marketing authorization has been obtained</w:t>
      </w:r>
    </w:p>
    <w:p>
      <w:pPr>
        <w:pStyle w:val="TextBody"/>
        <w:bidi w:val="0"/>
        <w:spacing w:before="240" w:after="283"/>
        <w:jc w:val="left"/>
        <w:rPr>
          <w:rFonts w:ascii="Times New Roman" w:hAnsi="Times New Roman"/>
          <w:sz w:val="20"/>
        </w:rPr>
      </w:pPr>
      <w:r>
        <w:rPr>
          <w:rFonts w:ascii="Times New Roman" w:hAnsi="Times New Roman"/>
          <w:color w:val="000000"/>
          <w:sz w:val="18"/>
        </w:rPr>
        <w:t>If an authorization for a medicinal product in the EU is obtained, the holder of the marketing authorization is required to comply with a range of requirements applicable to the manufacturing, marketing, promotion and sale of medicinal products. These include: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Compliance with the EU’s stringent pharmacovigilance or safety reporting rules must be ensured. These rules can impose post-authorization studies and additional monitoring obligations.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manufacturing of authorized medicinal products, for which a separate manufacturer’s license is mandatory, must also be conducted in strict compliance with the applicable EU laws, regulations and guidance, including Directive 2001/83/EC, Directive 2003/94/EC and Regulation (EC) No 726/2004.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aforementioned EU rules are generally applicable in the European Economic Area, or EEA, which consists of the EU Member States, plus Norway, Liechtenstein and Iceland.</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Brexit and the regulatory framework in the United Kingdom</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June 23, 2016, the electorate in the United Kingdom, or UK, voted in favor of leaving the EU, commonly referred to as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Except in respect of the new EU Clinical Trials Regulation, the regulatory regime in Great Britain for medicines therefore largely aligns with EU regulations, however, it is possible that these regimes will diverge more significantly in the future now that Great Britain’s regulatory system is independent from the EU and the TCA does not provide for mutual recognition of UK and EU pharmaceutical legislation.</w:t>
      </w:r>
    </w:p>
    <w:p>
      <w:pPr>
        <w:pStyle w:val="TextBody"/>
        <w:bidi w:val="0"/>
        <w:spacing w:before="240" w:after="283"/>
        <w:jc w:val="left"/>
        <w:rPr>
          <w:rFonts w:ascii="Times New Roman" w:hAnsi="Times New Roman"/>
          <w:sz w:val="20"/>
        </w:rPr>
      </w:pPr>
      <w:r>
        <w:rPr>
          <w:rFonts w:ascii="Times New Roman" w:hAnsi="Times New Roman"/>
          <w:color w:val="000000"/>
          <w:sz w:val="18"/>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Medicines and Healthcare products Regulatory Agency, or MHRA, the UK medicines regulator, will be responsible for approving all medicinal products destined for the UK market (i.e., Great Britain and Northern Ireland), and the EMA will no longer have any role in approving medicinal products destined for Northern Ireland. A single UK-wide MA will be granted by the MHRA for all medicinal products to be sold in the UK, enabling products to be sold in a single pack and under a single authorization throughout the UK. The Windsor Framework was approved by the European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Union-United Kingdom Joint Committee on March 24, 2023, and the UK government and the EU will therefore enact legislative measures to bring it into law. On June 9, 2023, the MHRA announced that the medicines aspects of the Windsor Framework will apply starting on January 1, 2025.</w:t>
      </w:r>
    </w:p>
    <w:p>
      <w:pPr>
        <w:pStyle w:val="TextBody"/>
        <w:bidi w:val="0"/>
        <w:spacing w:before="240" w:after="283"/>
        <w:jc w:val="left"/>
        <w:rPr>
          <w:rFonts w:ascii="Times New Roman" w:hAnsi="Times New Roman"/>
          <w:sz w:val="20"/>
        </w:rPr>
      </w:pPr>
      <w:r>
        <w:rPr>
          <w:rFonts w:ascii="Times New Roman" w:hAnsi="Times New Roman"/>
          <w:b/>
          <w:i/>
          <w:color w:val="000000"/>
          <w:sz w:val="18"/>
        </w:rPr>
        <w:t>Government regulation of the processing of personal data collected outside of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continue to enroll subjects in our ongoing or future clinical trials in the EEA and UK, we will continue to be subject to additional data protection restrictions. The collection and use of personal data in the EEA, is governed by the General Data Protection Regulation, or the GDPR, which became effective on May 25, 2018. The GDPR applies to the processing of personal data of data subjects in the EEA by any company established in the EEA and to companies established outside the EEA to the extent they process personal data in connection with the offering of goods or services to data subjects in the EEA or the monitoring of the behavior of data subjects in the EEA. The GDPR sets forth data protection obligations for data controllers of personal data, including stringent requirements relating to notifying data subjects about how their personal data are being handled and how they can exercise their data protection rights, ensuring there is a valid legal basis to process personal data (if this is consent, the requirements for obtaining consent carry a higher threshold), requirements to conduct privacy impact assessments for certain “high risk” processing, requirements to appoint a data protection officer where sensitive personal data are processed on a “large scale,” limitations on retention of personal data, mandatory data breach notification in certain circumstances, requirements to ensure appropriate technical measures are in place to safeguard personal data, and “privacy by design” requirements, and also creates direct obligations on service providers acting as data processors.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GDPR imposes strict rules on the transfer of personal data outside of the EEA to countries that do not ensure an adequate level of protection. Failure to comply with the requirements of the GDPR and the related national data protection laws of the EEA, which may deviate slightly from the GDPR, may result in fines of up to 4% of a company’s global revenues for the preceding financial year, or €20,000,000, 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may be required to put in place additional controls and processes to ensure compliance with the new data protection rules. Further to the UK’s exit from the EU on January 31, 2020, the GDPR ceased to apply in the UK but the UK incorporated the GDPR (as it existed on December 31, 2020 but subject to certain UK specific amendments) into UK law, referred to as the UK GDPR. The UK GDPR and the UK Data Protection Act 2018 set forth the UK’s data protection regime, which is independent from but currently still aligned to the EU’s GDPR. Non-compliance with the UK GDPR may result in monetary penalties of up to £17.5 million or 4% of worldwide revenue, whichever is higher.</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Human Capital Resources</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we had 323 full-time employees. 140 of our employees have M.D. or Ph.D. degrees. Within our workforce, 80% of employees are engaged in research and development and 20% are engaged in business development, finance, legal, and general management and administration. None of our employees are represented by labor unions or covered by collective bargaining agreements. We consider our relationship with our employees to be good.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believe that our people are among our greatest assets and that a diverse and inclusive organization is more innovative and higher performing. We are committed to increasing representation of under-represented populations at our company, particularly in leadership roles. As of December 31, 2023, among our employees, 47% were female and 53% were male. Among our leadership (which we define as employees at the vice president level and above), approximately 30% were female. As of December 31, 2023, 29% of our employees and 24% of our leadership identify as being from diverse racial and ethnic groups. On our Board of Directors, five of our eight directors are women and/or from a diverse racial and ethnic group.</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part of our efforts to create a diverse and equitable workplace, our diversity, equity, belonging and inclusion leaders, consisting of employees from various functions and positions, provide strategic guidance, senior leader support and an operating budget to fund initiatives related to diversity, equity, belonging and inclusion. In 2023, we deepened our commitment to diversity, equity, belonging and inclusion with company-wide programming including employee-led panels, themed trivia, and other opportunities for team members to celebrate and share cultural heritage.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two employee resource groups, which are led by our employees and focus on a specific community. Both organizations work in parallel to make our company the most inclusive organization possible, and to give back to the communities in and surrounding Cambridge, Massachusetts, where our primary office and laboratory space is located.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our workforce grows, we’re not only focused on recruiting top talent from a diverse range of backgrounds, industries and experiences, but also focused on retaining, developing and promoting our current employees. While the competition for talent remains strong as the number of biotechnology and pharmaceutical companies in the Cambridge area increases, we believe we can attract and retain the talent we need to be successful. We maintain a robust onboarding program to ensure all new hires are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grounded in our business and culture and we conduct periodic talent reviews to identify high performing and high potential talent within the organization. This data is used to inform specific development opportunities for current and future leaders, create custom leadership training, drive meaningful development conversations and enable succession planning for key roles. Additionally, all employees have access to a dedicated career coach to help foster continuous growth.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regularly host company-wide sessions (virtual and onsite) where our employees brainstorm ideas, provide feedback on corporate initiatives, share scientific breakthroughs and recognize each other’s contributions and accomplishments. Instead of an annual employee survey, we conduct quarterly pulse checks to create a feedback-to-action loop, respond in a more timely fashion, celebrate team milestones and continue to leverage our strengths. These quarterly employee surveys help us measure employee engagement and inform future talent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Corporate Information</w:t>
      </w:r>
    </w:p>
    <w:p>
      <w:pPr>
        <w:pStyle w:val="TextBody"/>
        <w:bidi w:val="0"/>
        <w:spacing w:before="240" w:after="283"/>
        <w:jc w:val="left"/>
        <w:rPr>
          <w:rFonts w:ascii="Times New Roman" w:hAnsi="Times New Roman"/>
          <w:sz w:val="20"/>
        </w:rPr>
      </w:pPr>
      <w:r>
        <w:rPr>
          <w:rFonts w:ascii="Times New Roman" w:hAnsi="Times New Roman"/>
          <w:color w:val="000000"/>
          <w:sz w:val="18"/>
        </w:rPr>
        <w:t>We were incorporated under the laws of the State of Delaware on May 4, 2015 under the name Allostery, Inc. In December 2015, we changed our name to Relay Therapeutics, Inc. Our principal corporate office is located at 399 Binney Street, 2</w:t>
      </w:r>
      <w:r>
        <w:rPr>
          <w:rFonts w:ascii="Times New Roman" w:hAnsi="Times New Roman"/>
          <w:color w:val="000000"/>
          <w:sz w:val="12"/>
        </w:rPr>
        <w:t>nd</w:t>
      </w:r>
      <w:r>
        <w:rPr>
          <w:rFonts w:ascii="Times New Roman" w:hAnsi="Times New Roman"/>
          <w:color w:val="000000"/>
          <w:sz w:val="20"/>
        </w:rPr>
        <w:t xml:space="preserve"> </w:t>
      </w:r>
      <w:r>
        <w:rPr>
          <w:rFonts w:ascii="Times New Roman" w:hAnsi="Times New Roman"/>
          <w:color w:val="000000"/>
          <w:sz w:val="18"/>
        </w:rPr>
        <w:t>Floor, Cambridge, MA 02139, and our telephone number is (617) 370-8837. Our website address is www.relaytx.com. Our website and the information contained on, or that can be accessed through, the website will not be deemed to be incorporated by reference in, and are not considered part of, this Annual Report on Form 10-K.</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Available Information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website address is www.relaytx.com. 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&amp; Media" portion of our website free of charge as soon as reasonably practicable after we electronically file such material with, or furnish it to, the SEC. Information on our website is not part of this Annual Report on Form 10-K or any of our other filings with the SEC unless specifically incorporated herein or therein by reference. In addition, our filings with the SEC may be accessed through the SEC’s Interactive Data Electronic Applications system at www.sec.gov. All statements made in any of our filings with the SEC or documents available on our website,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code of conduct, corporate governance guidelines and the charters of our Audit Committee, Research and Development Committee, Compensation Committee and Nominating and Corporate Governance Committee are available through the "Investors &amp; Media" portion of our website.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bookmarkStart w:id="5" w:name="item_1a_risk_factors"/>
      <w:bookmarkEnd w:id="5"/>
      <w:r>
        <w:rPr>
          <w:rFonts w:ascii="Times New Roman" w:hAnsi="Times New Roman"/>
          <w:b/>
          <w:color w:val="000000"/>
          <w:sz w:val="18"/>
        </w:rPr>
        <w:t>Item 1A. Risk Factors.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Investing in our common stock involves a high degree of risk. You should carefully consider the risks described below, as well as the other information in this Annual Report on Form 10-K, including our consolidated financial statements and the related notes and "Management’s Discussion and Analysis of Financial Condition and Results of Operations," before deciding whether to invest in our common stock. We believe the risks described below include risks that are material to us as well as other risks that may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materially harm our business, financial condition, results of operations and growth prospects and could result in a complete loss of your investment. Consequently, you should not consider the following to be a complete discussion of all potential risks or uncertainties.</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Clinical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never successfully completed any large-scale, pivotal clinical trials, and we may be unable to do so for any product candidates we develop.</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not yet demonstrated our ability to successfully complete any large-scale, pivotal clinical trials, obtain regulatory approvals, manufacture a commercial scale product, or arrange for a third party to do so on our behalf, or conduct sales and marketing activities necessary for successful commercialization. We have three product candidates in clinical development. We may not be able to file INDs for any of our other product candidates on the timelines we expect, if at all. For example, we may experience manufacturing delays or delays with IND-enabling studies. Moreover, we cannot be sure that once we have submitted an IND, the FDA will allow further clinical trials to begin, or that, once begun, issues will not arise that require us to suspend or terminate clinical trials. The FDA or other regulatory authorities may impose a clinical hold before or after a trial begins for a number of reasons outlined in FDA regulations, including if the FDA believes the study drug raises a significant risk of illness or injury. If the FDA imposes a clinical hold, trials may not commence or recommence without FDA authorization and then only under terms authorized by the FDA. Accordingly, the submission of an IND does not mean the FDA will allow clinical trials to begin and, if and when clinical trials do commence under an active IND, issues may arise that require suspension or termination of such trials. Further, commencing each of these clinical trials is subject to finalizing the trial design based on discussions with the FDA and other regulatory authorities. Any guidance we receive from the FDA or other regulatory authorities is subject to change. Regulatory authorities could change their position, including, on the acceptability of our trial designs or the clinical endpoints selected, which may require us to complete additional clinical trials or impose stricter approval conditions than we currently expect. Successful completion of our clinical trials is a prerequisite to submitting a new drug application, or NDA, to the FDA and a Marketing Authorization Application, or MAA, to the EMA for each product candidate and, consequently, the ultimate approval and commercial marketing of each product candidate. We have ongoing first-in-human clinical trials, but we do not know whether any of our future clinical trials will begin on time or be completed on schedule, if at all.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be delayed in obtaining marketing approval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not obtain marketing approval at all;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approval for indications or patient populations that are not as broad as intended or desired;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be subject to post-marketing requirements;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have the product removed from the market after obtaining marketing approval. </w:t>
      </w:r>
    </w:p>
    <w:p>
      <w:pPr>
        <w:pStyle w:val="TextBody"/>
        <w:bidi w:val="0"/>
        <w:spacing w:before="240" w:after="283"/>
        <w:jc w:val="left"/>
        <w:rPr>
          <w:rFonts w:ascii="Times New Roman" w:hAnsi="Times New Roman"/>
          <w:sz w:val="20"/>
        </w:rPr>
      </w:pPr>
      <w:r>
        <w:rPr>
          <w:rFonts w:ascii="Times New Roman" w:hAnsi="Times New Roman"/>
          <w:b/>
          <w:i/>
          <w:color w:val="000000"/>
          <w:sz w:val="18"/>
        </w:rPr>
        <w:t>Clinical product development involves a lengthy and expensive process, with an uncertain outcome.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It is impossible to predict when or if any of our product candidates will prove effective and safe in humans or will receive regulatory approval. Before obtaining marketing approval from regulatory authorities for the sale of any product candidate, we must complete preclinical studies and then conduct the required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and other nonclinical studies and clinical trials have nonetheless failed to obtain marketing approval of their product candidates. Our preclinical and other nonclinical studies and future clinical trials may not be 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From time to time, we may publish interim, top-line or preliminary data from our clinical trials. Interim data from clinical trials are subject to the risk that one or more of the clinical outcomes may materially change as more participants enroll and as data mature. Preliminary or top-line data also remain subject to cleaning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incur additional costs or experience delays in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product candidates,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regulators or institutional review boards, or IRBs, or ethics committees may not authorize us or our investigators to commence a clinical trial or conduct a clinical trial at a prospective trial site;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existing clinical trial sites may drop out of the clinical trial, which may require that we add new clinical trial sites or investigators;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clinical trials of our product candidates may produce negative or inconclusive results, and we may decide, or regulators may require us, to conduct additional nonclinical studies or clinical trials or we may decide to abandon product development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third-party contractors may fail to comply with regulatory requirements or meet their contractual obligations to us in a timely manner, or at all, or may deviate from the clinical trial protocol;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elect to, or regulators or IRBs or ethics committees may require us or our investigators to, suspend or terminate clinical research for various reasons, including noncompliance with regulatory requirements or a finding that the participants are being exposed to unacceptable health risks;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 of clinical trials of our product candidates may be greater than we anticipate;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not be able to adequately project the timing and quantity of our product candidates or other materials necessary to conduct clinical trials of our product candidates or the supply or quality of these materials may be insufficient or inadequate;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product candidates may have undesirable side effects or other unexpected characteristics, causing us or our investigators, regulators or IRBs or ethics committees to suspend or terminate the clinical trials, or reports may arise from nonclinical studies or clinical testing of other therapies that raise safety or efficacy concerns about our product candidates. </w:t>
      </w:r>
    </w:p>
    <w:p>
      <w:pPr>
        <w:pStyle w:val="TextBody"/>
        <w:bidi w:val="0"/>
        <w:spacing w:before="240" w:after="283"/>
        <w:jc w:val="left"/>
        <w:rPr>
          <w:rFonts w:ascii="Times New Roman" w:hAnsi="Times New Roman"/>
          <w:sz w:val="20"/>
        </w:rPr>
      </w:pPr>
      <w:r>
        <w:rPr>
          <w:rFonts w:ascii="Times New Roman" w:hAnsi="Times New Roman"/>
          <w:color w:val="000000"/>
          <w:sz w:val="18"/>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a suspension or termination or clinical hold due to a number of factors, including failure to conduct the clinical trial in accordance with regulatory requirements or our clinical protocols, inspection of the clinical trial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operations or clinical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development costs will also increase if we experience delays in preclinical studies, clinical trials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Any delays in our preclinical or current or future clinical development programs may harm our business, financial condition and prospects significantly.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experience delays or difficulties in the enrollment of patients in clinical trials, our receipt of necessary regulatory approvals could be delayed or prevented.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will be deploying our drug discovery platform across a broad target space, our ability to enroll eligible patients may be limited or may result in slower enrollment than we anticipate.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to the competitive clinical trial environment, the eligibility criteria of our planned clinical trials will further limit the pool of available study participants as we will require that patients have specific characteristics that we can measure to assure their cancer is either severe enough or not too advanced to include them in a study. Additionally, the process of finding patients may prove costly. We also may not be able to identify, recruit and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engaged and may continue to engage third parties to develop companion diagnostics for use in our clinical trials, but such third parties may not be successful in developing such companion diagnostics, furthering the difficulty in identifying patients with the targeted genetic mutations for our clinical trials. Further, if we are required to develop companion diagnostics and are unable to include patients with the targeted genetic mutations, this could compromise our ability to seek participation in the FDA’s expedited review and development programs, including Breakthrough Therapy Designation and Fast Track Designation, or otherwise to seek to accelerate clinical development and regulatory timelines. The FDA has indicated that if we continue RLY-2608 and lirafugratinib in a specific biomarker-defined population, a companion diagnostic device will be required to ensure their safe and effective use. Although we have engaged Foundation Medicine, Inc. to develop its FoundationOne®CDx as a companion diagnostic for lirafugratinib, if any of our current or future third-party companion diagnostic partners is unable or unwilling to obtain or maintain regulatory approval for a companion diagnostic for any of our product candidates, regulatory approval for such product candidates, if obtained at all, may be delayed.</w:t>
      </w:r>
    </w:p>
    <w:p>
      <w:pPr>
        <w:pStyle w:val="TextBody"/>
        <w:bidi w:val="0"/>
        <w:spacing w:before="240" w:after="283"/>
        <w:jc w:val="left"/>
        <w:rPr>
          <w:rFonts w:ascii="Times New Roman" w:hAnsi="Times New Roman"/>
          <w:sz w:val="20"/>
        </w:rPr>
      </w:pPr>
      <w:r>
        <w:rPr>
          <w:rFonts w:ascii="Times New Roman" w:hAnsi="Times New Roman"/>
          <w:color w:val="000000"/>
          <w:sz w:val="18"/>
        </w:rPr>
        <w:t>Clinical trial enrollment may be affected by other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severity of the disease under investigation;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eligibility criteria for the clinical trial in question;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availability of an appropriate genomic screening test;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perceived risks and benefits of the product candidate under study;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resources and efforts required to facilitate timely enrollment in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availability of approved products that treat the same indications as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patient referral practices of physicians;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ability to monitor patients adequately during and after treatment;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proximity and availability of clinical trial sites for prospective patients;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factors we may not be able to control that may limit patients, principal investigators or staff or clinical site availability, such as uncertain geopolitical conditions or current or future pandemics. </w:t>
      </w:r>
    </w:p>
    <w:p>
      <w:pPr>
        <w:pStyle w:val="TextBody"/>
        <w:bidi w:val="0"/>
        <w:spacing w:before="240" w:after="283"/>
        <w:jc w:val="left"/>
        <w:rPr>
          <w:rFonts w:ascii="Times New Roman" w:hAnsi="Times New Roman"/>
          <w:sz w:val="20"/>
        </w:rPr>
      </w:pPr>
      <w:r>
        <w:rPr>
          <w:rFonts w:ascii="Times New Roman" w:hAnsi="Times New Roman"/>
          <w:b/>
          <w:i/>
          <w:color w:val="000000"/>
          <w:sz w:val="18"/>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positive data from our preclinical or early clinical studies of our product candidates may not necessarily be predictive of the results of later clinical studies and any future clinical trials of our product candidates. Similarly, even if we are able to complete our planned preclinical and clinical studies or any future clinical trials of our product candidates according to our current development timeline, the positive data from such preclinical or early clinical studies and clinical trials of our product candidates may not be replicated in subsequent nonclinical studies or clinical trial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other nonclinical and clinical data are often susceptible to varying interpretations and analyses and many companies that believed their product candidates performed satisfactorily in preclinical studies and clinical trials nonetheless failed to obtain FDA, EMA or other regulatory authority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current or future clinical trials or those of our future collaborators may reveal significant adverse events not seen in our preclinical or other nonclinical studies or early clinical data and may result in a safety profile that would inhibit regulatory approval or market acceptance of any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Before obtaining regulatory approvals for the commercial sale of any products, we must demonstrate through lengthy, complex and expensive preclinical or other nonclinical studies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or other nonclinical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or other nonclinical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current or future clinical trials will ultimately be successful or support further clinical development of any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develop future product candidates, in combination with one or more cancer therapies. The uncertainty resulting from the use of our product candidates in combination with other cancer therapies may make it difficult to accurately predict side effects in future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is the case with many treatments for cancer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clinical trials, or we may be required to abandon the clinical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from obtaining or maintaining marketing approval, undesirable side effects may inhibit market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acceptance of the approved product due to its tolerability versus other therapies. Any of these developments could materially harm our business, financial condition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pStyle w:val="TextBody"/>
        <w:bidi w:val="0"/>
        <w:spacing w:before="240" w:after="283"/>
        <w:jc w:val="left"/>
        <w:rPr>
          <w:rFonts w:ascii="Times New Roman" w:hAnsi="Times New Roman"/>
          <w:sz w:val="20"/>
        </w:rPr>
      </w:pPr>
      <w:r>
        <w:rPr>
          <w:rFonts w:ascii="Times New Roman" w:hAnsi="Times New Roman"/>
          <w:color w:val="000000"/>
          <w:sz w:val="18"/>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For example, pursuant to the DESRES Agreement, we collaborate with D. E. Shaw Research to develop various protein models and make predictions as to how molecules might move, with subsequent validation efforts in our and our CROs’ labs. There can be no assurance that we will find potential additional targets using this approach, that any such targets will be tractable, or that such clinical validations will be successful. Our research programs may initially show promise in identifying potential indications and/or product candidates, yet fail to yield results for clinical development for a number of reasons,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research methodology used may not be successful in identifying potential indications and/or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potential product candidates may, after further study, be shown to have harmful adverse effects or other characteristics that indicate they are unlikely to be effective products;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 </w:t>
      </w:r>
    </w:p>
    <w:p>
      <w:pPr>
        <w:pStyle w:val="TextBody"/>
        <w:bidi w:val="0"/>
        <w:spacing w:before="240" w:after="283"/>
        <w:jc w:val="left"/>
        <w:rPr>
          <w:rFonts w:ascii="Times New Roman" w:hAnsi="Times New Roman"/>
          <w:sz w:val="20"/>
        </w:rPr>
      </w:pPr>
      <w:r>
        <w:rPr>
          <w:rFonts w:ascii="Times New Roman" w:hAnsi="Times New Roman"/>
          <w:color w:val="000000"/>
          <w:sz w:val="18"/>
        </w:rPr>
        <w:t>Because we have limited financial and human resources, we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Accordingly, there can be no assurance that we will ever be able to identify additional therapeutic opportunities for our product candidates or to develop suitable potential product candidates through internal research programs or in collaboration with third parties, which could materially adversely affect our future growth and prospects. We may focus our efforts and resources on potential product candidates or other potential programs that ultimately prove to be unsuccessful.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intend to develop our current product candidates and potentially future product candidates, in combination with other therapies, which exposes us to additional risks.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intend to develop our current product candidates, and may develop future product candidates, for use in combination with one or more currently approved cancer therapies. Even if any product candidate we develop was to receive marketing approval or be commercialized for use in combination with other existing therapies, we would continue to bear the risks that the FDA or similar regulatory authorities could revoke approval of the therapy used in combination with our product candidates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also evaluate our current product candidates or any other future product candidates in combination with one or more other cancer therapies that have not yet been approved for marketing by the FDA or similar regulatory authorities. We will not be able to market and sell any of our product candidates we develop in combination with any such unapproved cancer therapies that do not ultimately obtain marketing approval. Pursuant to the Genentech Agreement, Genentech has assumed the development of migoprotafib, including in combination with other compounds. See "</w:t>
      </w:r>
      <w:r>
        <w:rPr>
          <w:rFonts w:ascii="Times New Roman" w:hAnsi="Times New Roman"/>
          <w:i/>
          <w:color w:val="000000"/>
          <w:sz w:val="18"/>
        </w:rPr>
        <w:t>Business – Our Collaborations – License Agreements and Strategic Collaborations – Collaboration and License Agreement with Genentech</w:t>
      </w:r>
      <w:r>
        <w:rPr>
          <w:rFonts w:ascii="Times New Roman" w:hAnsi="Times New Roman"/>
          <w:color w:val="000000"/>
          <w:sz w:val="18"/>
        </w:rPr>
        <w:t>."</w:t>
      </w:r>
    </w:p>
    <w:p>
      <w:pPr>
        <w:pStyle w:val="TextBody"/>
        <w:bidi w:val="0"/>
        <w:spacing w:before="240" w:after="283"/>
        <w:jc w:val="left"/>
        <w:rPr>
          <w:rFonts w:ascii="Times New Roman" w:hAnsi="Times New Roman"/>
          <w:sz w:val="20"/>
        </w:rPr>
      </w:pPr>
      <w:r>
        <w:rPr>
          <w:rFonts w:ascii="Times New Roman" w:hAnsi="Times New Roman"/>
          <w:color w:val="000000"/>
          <w:sz w:val="18"/>
        </w:rPr>
        <w:t>If the FDA or similar regulatory authorities do not approve these other drugs or revoke their approval of, or if safety, efficacy, manufacturing, or supply issues arise with, the drugs we choose to evaluate in combination with our current product candidates or any product candidate we develop, we may be unable to obtain approval of or market any of the product candidates we develop.</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Our product candidates utilize a novel mechanism of action and novel binding locations, which may result in greater research and development expenses, regulatory issues that could delay or prevent approval, or discovery of unknown or unanticipated adverse effects.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candidates utilize novel mechanisms of action and novel binding locations, which may result in greater research and development expenses, regulatory issues that could delay or prevent approval, or discovery of unknown or unanticipated adverse effects. Our Dynamo platform uses advanced computational models in tight integration with our medicinal chemistry, structural biology, enzymology and biophysics capabilities to predict and design the compounds that will achieve the most desirable characteristics, including potency, selectivity, bioavailability, and drug-like properties. A disruption in any of these capabilities may have significant adverse effects in our abilities to expand our Dynamo platform, and we cannot predict whether we will continue to have access to these capabilities in the future to support our Dynamo platform. In addition, there can be no assurance that we will be able to rapidly identify, design and synthesize the necessary compounds or that these or other problems related to the development of this novel mechanism will not arise in the future, which may cause significant delays, or we raise problems we may not be able to resolve.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our mechanism of action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Because our inhibitors utilize a novel mechanism of action that has not been the subject of extensive study compared to more well-known product candidates, there is also an increased risk that we may discover previously unknown or unanticipated adverse effects during our preclinical or other nonclinical studies and clinical trials. Any such events could adversely impact our business prospects,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are conducting, or have filed clinical trial applications to conduct, clinical trials for our product candidates outside the United States, and the FDA and similar foreign regulatory authorities may not accept data from such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conducting, or have filed clinical trial applications to conduct, additional clinical trials outside the United States, including Australia, the United Kingdom, Europe and Asia and may conduct, or file clinical trial applications to conduct, additional clinical trials in other foreign jurisdictions in the future.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clinical trials conducted outside of the United States or the applicable jurisdiction. If the FDA or any similar foreign regulatory authority does not accept such data, it would result in the need for additional clinical trials, which would be costly and time-consuming and delay aspects of our business plan, and which may result in our product candidates not receiving approval or clearance for commercialization in the applicable jurisdiction.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Obtaining Regulatory Approvals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similar authorities in other countries. Before we can commercialize any of our product candidates, we must obtain marketing approval. Currently, all of our product candidates are in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only limited experience in filing and supporting the applications necessary to gain regulatory approvals and expect to rely on third-party CROs and/or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regulatory consultants to assist us in this process. Securing regulatory approval requires the submission of extensive nonclinical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process of obtaining regulatory approvals, both in the United States and abroad, is expensive and often takes many years. If the FDA or a similar foreign regulatory authority requires that we perform additional nonclinical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a 510(k) or other premarket approval application, or PMA, or equivalent application types, may cause delays in the approval or rejection of an application. The FDA and similar authorities in other countries have substantial discretion in the approval process and may refuse to accept any application or may decide that our data are insufficient for approval and require additional nonclinical, clinical or other studies. Our product candidates could be delayed in receiving, or fail to receive, regulatory approval for many reasons, including the following: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FDA or similar foreign regulatory authorities may disagree with or change their position regarding the design or implementation of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not be able to enroll a sufficient number of patients in our clinical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be unable to demonstrate to the satisfaction of the FDA or similar foreign regulatory authorities that a product candidate is safe and effective for its proposed indication or a related companion diagnostic is suitable to identify appropriate patient populations;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results of clinical trials may not meet the level of statistical significance required by the FDA or similar foreign regulatory authorities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be unable to demonstrate that a product candidate’s clinical and other benefits outweigh its safety risks;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FDA or similar foreign regulatory authorities may disagree with our interpretation of data from nonclinical studies or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data collected from clinical trials of our product candidates may not be sufficient to support the submission of an NDA or other submission or to obtain regulatory approval in the United States or elsewhere;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FDA or similar foreign regulatory authorities may find deficiencies with or fail to approve the manufacturing processes or facilities of third-party manufacturers with which we contract for clinical and commercial supplies;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approval policies or regulations of the FDA or similar foreign regulatory authorities may significantly change such that our clinical data are insufficient for approval. </w:t>
      </w:r>
    </w:p>
    <w:p>
      <w:pPr>
        <w:pStyle w:val="TextBody"/>
        <w:bidi w:val="0"/>
        <w:spacing w:before="240" w:after="283"/>
        <w:jc w:val="left"/>
        <w:rPr>
          <w:rFonts w:ascii="Times New Roman" w:hAnsi="Times New Roman"/>
          <w:sz w:val="20"/>
        </w:rPr>
      </w:pPr>
      <w:r>
        <w:rPr>
          <w:rFonts w:ascii="Times New Roman" w:hAnsi="Times New Roman"/>
          <w:color w:val="000000"/>
          <w:sz w:val="18"/>
        </w:rPr>
        <w:t>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experience delays in obtaining approval or if we fail to obtain approval of our product candidates, the commercial prospects for our product candidates may be harmed and our ability to generate revenues will be materially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incidence and prevalence for target patient populations of our product candidates have not been established with precision. If the market opportunities for our product candidates are smaller than we estimate or if any approval that we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obtain is based on a narrower definition of the patient population, our revenue and ability to achieve profitability will be adversely affected, possibly materially.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projections of both the number of people who have the diseases our product candidates are targeting, as well as the subset of people with such disease who have the potential to benefit from treatment with any of our product candidates, are based on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total addressable market opportunity will ultimately depend upon, among other things, the diagnosis criteria included in the final label, and, if our product candidates are approved for sale for these indications, acceptance by the medical community and patient access, product pricing and reimbursement. The number of patients with cancers and solid tumors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For example, we recently deprioritized RLY-5836 in order to focus our resources on advancing RLY-2608. These and other prioritization decisions may prove to be the wrong choice and may adversely affect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development and commercialization of new products in the biopharmaceutical and related industries is highly competitive. We compete in the segments of the pharmaceutical, biotechnology, and other related markets that address computationally focused structure-based drug design in cancer and genetic diseases. There are other companies focusing on structure-based drug design to develop therapies in the fields of cancer and other diseases.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product candidates that we successfully develop and commercialize will compete with currently approved therapies and new therapies that may become available in the future from segments of the pharmaceutical, biotechnology and other related markets that pursue precision medicines. Key product features that would affect our ability to effectively compete with other therapeutics include the efficacy, safety and convenience of our products. We believe principal competitive factors to our business include, among other things, the accuracy of our computations and predictions, ability to integrate computational and experimental capabilities, ability to successfully transition research programs into clinical development, ability to raise capital, and the scalability of the platform, pipeline, and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Many of the companies that we compete against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Smaller or earlier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In addition, we cannot predict whether our current competitive advantages, such as our ability to leverage our Dynamo platform and our relationships with external collaborators, will remain in place in the future. If these or other barriers to entry do not remain in place, other companies may be able to more directly or effectively compete with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more rapidly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pStyle w:val="TextBody"/>
        <w:bidi w:val="0"/>
        <w:spacing w:before="240" w:after="283"/>
        <w:jc w:val="left"/>
        <w:rPr>
          <w:rFonts w:ascii="Times New Roman" w:hAnsi="Times New Roman"/>
          <w:sz w:val="20"/>
        </w:rPr>
      </w:pPr>
      <w:r>
        <w:rPr>
          <w:rFonts w:ascii="Times New Roman" w:hAnsi="Times New Roman"/>
          <w:color w:val="000000"/>
          <w:sz w:val="18"/>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Sales of these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See "</w:t>
      </w:r>
      <w:r>
        <w:rPr>
          <w:rFonts w:ascii="Times New Roman" w:hAnsi="Times New Roman"/>
          <w:i/>
          <w:color w:val="000000"/>
          <w:sz w:val="18"/>
        </w:rPr>
        <w:t>Business – Governmental Regulation – Insurance coverage and reimbursement.</w:t>
      </w:r>
      <w:r>
        <w:rPr>
          <w:rFonts w:ascii="Times New Roman" w:hAnsi="Times New Roman"/>
          <w:color w:val="000000"/>
          <w:sz w:val="18"/>
        </w:rPr>
        <w: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There is also significant uncertainty related to the insurance coverage and reimbursement of newly approved products and coverage may be more limited than the purposes for which the medicine is approved by the FDA or similar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Factors payors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in a timely manner. Further, these prices for drugs may be reduced by mandatory discounts or rebates required by government healthcare programs.</w:t>
      </w:r>
    </w:p>
    <w:p>
      <w:pPr>
        <w:pStyle w:val="TextBody"/>
        <w:bidi w:val="0"/>
        <w:spacing w:before="240" w:after="283"/>
        <w:jc w:val="left"/>
        <w:rPr>
          <w:rFonts w:ascii="Times New Roman" w:hAnsi="Times New Roman"/>
          <w:sz w:val="20"/>
        </w:rPr>
      </w:pPr>
      <w:r>
        <w:rPr>
          <w:rFonts w:ascii="Times New Roman" w:hAnsi="Times New Roman"/>
          <w:color w:val="000000"/>
          <w:sz w:val="18"/>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Reliance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rely on third parties to conduct our ongoing clinical trials of our product candidates and expect to rely on third parties to conduct future clinical trials, as well as investigator-sponsored clinical trials of our product candidates. If these third parties do not successfully carry out their contractual duties, comply with regulatory requirements or meet expected deadlines, we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 to be inadequate compared to the first-hand knowledge we might have gained had the investigator-sponsored trials been sponsored and conducted by us, then our ability to design and conduct any future clinical trials ourselves may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rely and expect to continue to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similar foreign regulatory authorities for any products in clinical development, including the EMA and the MHRA. These regulatory authorities enforce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similar foreign regulatory authorities may require us to perform additional clinical trials before approving our marketing applications. We cannot assure you that, upon inspection, these regulatory authorities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Although we designed our first-in-human clinical trials of our lead product candidates and intend to design the future clinical trials for any other product candidates that we develop, we expect that CROs will conduct all of our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have staffing difficulties;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fail to comply with contractual obligations;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experience regulatory compliance issues;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undergo changes in priorities or become financially distressed;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form relationships with other entities, some of which may be our competitors. </w:t>
      </w:r>
    </w:p>
    <w:p>
      <w:pPr>
        <w:pStyle w:val="TextBody"/>
        <w:bidi w:val="0"/>
        <w:spacing w:before="240" w:after="283"/>
        <w:jc w:val="left"/>
        <w:rPr>
          <w:rFonts w:ascii="Times New Roman" w:hAnsi="Times New Roman"/>
          <w:sz w:val="20"/>
        </w:rPr>
      </w:pPr>
      <w:r>
        <w:rPr>
          <w:rFonts w:ascii="Times New Roman" w:hAnsi="Times New Roman"/>
          <w:color w:val="000000"/>
          <w:sz w:val="18"/>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any of our relationships with these third-party principal investigators or CROs terminate, we may not be able to enter into arrangements with alternative CROs. If principal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contract with third parties for the manufacture of our product candidates for preclinical development, clinical testing, and expect to continue to do so for commercialization. This reliance on third parties increases the risk that we will not have sufficient quantities of our product candidates or products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products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similar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be unable to establish any agreements with third-party manufacturers or to do so on acceptable terms. Even if we are able to establish agreements with third-party manufacturers, reliance on third-party manufacturers entails additional risks,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reliance on the third party for regulatory compliance and quality assurance;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possible breach of the manufacturing agreement by the third party;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possible misappropriation of our proprietary information, including our trade secrets and know-how;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possible termination or nonrenewal of the agreement by the third party at a time that is costly or inconvenient for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 Due to capacity constraints at cGMP manufacturers, we have been required to forecast the amount of clinical trial supply needed for our clinical trials further in advance than had typically been required, and there is limited flexibility to adjust our manufacturing needs as our clinical trials progress, which may lead to added costs or delays in our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performance failure on the part of our existing or future manufacturers could delay clinical development or marketing approval. We are also unable to predict how the effects of ongoing geopolitical conflicts may affect our third-party manufacturers, including any potential disruptions to our global supply chain. If our current contract manufacturers cannot perform as agreed, we may be required to replace such manufacturers, which we may not be able to do on reasonable terms, if at all, or manufacture the materials ourselves, for which we may not have the capabilities or resources. In either scenario, our clinical trials supply could be delayed significantly as we establish alternative supply sources. In some cases, the technical skills required to manufacture our products or product candidates may be unique or proprietary to the original contract manufacturing organization, or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may incur added costs and delays in identifying and qualifying any such replacement. Furthermore, a CMO may possess technology related to the manufacture of our product candidates that such CMO owns independently. This would increase our reliance on such CMO or require us to obtain a license from such CMO in order to have another CMO manufacture our product candidates.</w:t>
      </w:r>
    </w:p>
    <w:p>
      <w:pPr>
        <w:pStyle w:val="TextBody"/>
        <w:bidi w:val="0"/>
        <w:spacing w:before="240" w:after="283"/>
        <w:jc w:val="left"/>
        <w:rPr>
          <w:rFonts w:ascii="Times New Roman" w:hAnsi="Times New Roman"/>
          <w:sz w:val="20"/>
        </w:rPr>
      </w:pPr>
      <w:r>
        <w:rPr>
          <w:rFonts w:ascii="Times New Roman" w:hAnsi="Times New Roman"/>
          <w:color w:val="000000"/>
          <w:sz w:val="18"/>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third parties upon whom we rely for the supply of the active pharmaceutical ingredients, drug product and starting materials used in our product candidates are our sole source of supply, and the loss of any of these suppliers could significantly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active pharmaceutical ingredients, or API, drug product and starting materials used in our product candidates are supplied to us primarily from single-source suppliers. Our ability to successfully develop our product candidates, and to ultimately supply our commercial products in quantities sufficient to meet the market demand, depends in part on our ability to obtain the API, drug product and starting materials for these products in accordance with regulatory requirements and in sufficient quantities for clinical testing and commercialization. We do not currently have arrangements in place for a redundant or second-source supply of any such API, drug product or starting materials in the event any of our current suppliers of such API, drug product or starting materials ceases its operations for any reason. If any of our third-party suppliers or manufacturers ceases its operations for any reason or is unable or unwilling to supply API, drug product or starting material in sufficient quantities, on the timelines necessary, or at acceptable prices, to meet our needs, it could impede, delay, limit or prevent our development efforts, which could harm our business, results of operations, financial condition and prospects. We are also unable to predict how changing global economic conditions or ongoing geopolitical conflicts and related global economic sanctions, or potential global health concerns will affect our third-party suppliers and manufacturers. Any negative impact of such matters on our third-party suppliers and manufacturers may also have an adverse impact on our results of operations or financial condition.</w:t>
      </w:r>
    </w:p>
    <w:p>
      <w:pPr>
        <w:pStyle w:val="TextBody"/>
        <w:bidi w:val="0"/>
        <w:spacing w:before="240" w:after="283"/>
        <w:jc w:val="left"/>
        <w:rPr>
          <w:rFonts w:ascii="Times New Roman" w:hAnsi="Times New Roman"/>
          <w:sz w:val="20"/>
        </w:rPr>
      </w:pPr>
      <w:r>
        <w:rPr>
          <w:rFonts w:ascii="Times New Roman" w:hAnsi="Times New Roman"/>
          <w:color w:val="000000"/>
          <w:sz w:val="18"/>
        </w:rPr>
        <w:t>For all of our product candidates, we intend to identify and qualify additional manufacturers to provide such API, drug product and starting materials prior to or after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Establishing additional or replacement suppliers for the API, drug product and starting materials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drug product and starting materials used in our product candidates, any interruption or delay in the supply of components or materials, or our inability to obtain such API, drug product or starting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materials from alternate sources at acceptable prices in a timely manner could impede, delay, limit or prevent our development efforts, which could harm our business, results of operations, financial condition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and may enter into other collaborations with third parties for the research, development, manufacture and commercialization of one or more of our programs or product candidates. If these collaborations are not successful, our business could be adversely affected.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entered into and may enter into collaborations with third parties for one or more of our programs or product candidates, such as our Genentech Agreement to develop and commercialize migoprotafib. If we enter into any such arrangements with any third parties, we will likely have limited control over the amount and timing of resources that any future collaborators dedicate to the development or commercialization of our product candidates. Our ability to generate revenue from these arrangements will depend on our collaborators’ abilities to successfully perform the functions assigned to them.</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collaborations we have entered into or will enter into may pose risks, including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Collaborators may have significant discretion in determining the efforts and resources that they will apply to these collaborations;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Collaborators may not perform their obligations as expected;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clinical trials conducted as part of these collaborations may not be successful;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Collaborators may not pursue development and/or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Collaborators may delay clinical trials, provide insufficient funding for clinical trials, stop a clinical trial or abandon a product candidate, repeat or conduct new clinical trials or require a new formulation of a product candidate for clinical testing;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Product candidates developed in collaboration with us may be viewed by any collaborators as competitive with their own product candidates or products, which may cause collaborators to cease to devote resources to the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collaborator with marketing and distribution rights to one or more of our product candidates that achieve regulatory approval may not commit sufficient resources to the marketing and distribution of any such product candidate;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Disagreements with collaborators, including disagreements over proprietary rights, contract interpretation or the preferred course of development of any programs or product candidates, may cause delays or termination of the research, development, manufacture or commercialization of such programs or product candidates, may lead to additional responsibilities for us with respect to such programs or product candidates or may result in litigation or arbitration, any of which would be time-consuming and expensive;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For example, Genentech has the first right to enforce or defend certain of our intellectual property rights under our collaboration, and although we may have the right to assume the enforcement and defense of such intellectual property rights if Genentech does not, our ability to do so may be compromised by Genentech’s actions;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Disputes may arise with respect to the ownership of intellectual property developed pursuant to our collaborations;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Collaborators may infringe the intellectual property rights of third parties, which may expose us to litigation and potential liability;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Collaborations may be terminated for the convenience of the collaborator and, if terminated, we could be required to raise additional capital to pursue further development or commercialization of the applicable product candidates. For example, Genentech may terminate its collaboration with us for convenience after a specified notice period.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our collaborations do not result in the successful development and commercialization of products, or if one of any future collaborators terminates its agreement with us, we may not receive any milestone or royalty payments under the collaboration. If we do not receive the payments we expect under these agreements, our development of product candidates could be delayed and we may need additional resources to develop our product candidates. All of the risks relating to product development, regulatory approval and commercialization summarized and described in this report also apply to the activities of our collaborators.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if any collaborator terminates its agreement with us, we may find it more difficult to attract new collaborators and our reputation among the business and financial communities could be adversely affected.</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to establish additional collaborations, and, if we are not able to establish them on commercially reasonable terms, or at all, we may have to alter our development and commercialization plans.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Under the DESRES Agreement, as amended, we collaborate with D. E. Shaw Research to develop various protein models, a process that depends on D. E. Shaw Research’s use of their proprietary supercomputer, Anton 2. Any disagreements or disputes with D.E. Shaw Research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the computational tools and capabilities we have developed internally, under the DESRES Agreement, we collaborate with D. E. Shaw Research to develop various protein models to make predictions as to how molecules might move in connection with identifying potential new biological targets and prospective drug compounds. There can be no assurance these protein models, or the technology used by D. E. Shaw Research to develop them (including the Anton 2 supercomputer), will provide reliable data or target information, or that the findings from these activities and our subsequent validation efforts will translate into the ability to develop therapeutically effective compounds. Though we have developed and primarily rely on our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own robust in-house free energy perturbation, long timescale molecular dynamics, and machine learning capabilities across our preclinical research pipeline, we currently actively collaborate with D. E. Shaw Research on two early preclinical programs. There can be no assurance that this collaboration will continue past the current term of the DESRES Agreement, on favorable terms or at all, or that at any time while the collaboration is in effect D. E. Shaw Research will provide a level of service that benefits our programs in a meaningfully positive manner. While we also have other computational collaborations, mostly focused on developing machine learning models, such collaborations do not provide a substitute for the technology made available through our collaboration with D. E. Shaw Research. The termination of the DESRES Agreement or any significant reduction in our collaboration with D. E. Shaw Research would require us to rely more heavily on these other collaborations and our own internal resources, and may delay or impair our preclinical research efforts.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Furthermore, while the termination of the DESRES Agreement would not directly impact the development of our lead product candidates, we cannot predict the effects such termination could have on our preclinical studies and development efforts and our ability to discover and develop additional product candidates. In particular, the technologies accessed through D. E. Shaw Research, including the Anton 2 supercomputer, are useful aspects of our Dynamo platform, and we do not currently have access to another source of computational power comparable to that provided by the Anton 2 supercomputer. Currently, not only is our collaboration with D. E. Shaw Research for a limited time period, but it is also limited with respect to the number of target proteins available under the collaboration (with such number subject to increases or decreases from year to year, and with the number of total targets across categories capped at twenty, subject to some limitations), which could restrict our ability to broaden our platform across a larger number of targets and programs.</w:t>
      </w:r>
    </w:p>
    <w:p>
      <w:pPr>
        <w:pStyle w:val="TextBody"/>
        <w:bidi w:val="0"/>
        <w:spacing w:before="240" w:after="283"/>
        <w:jc w:val="left"/>
        <w:rPr>
          <w:rFonts w:ascii="Times New Roman" w:hAnsi="Times New Roman"/>
          <w:sz w:val="20"/>
        </w:rPr>
      </w:pPr>
      <w:r>
        <w:rPr>
          <w:rFonts w:ascii="Times New Roman" w:hAnsi="Times New Roman"/>
          <w:color w:val="000000"/>
          <w:sz w:val="18"/>
        </w:rPr>
        <w:t>Under the DESRES Agreement, D. E. Shaw Research controls the rights to its technology, we control the rights to certain compounds, and we jointly own with D. E. Shaw Research any other work product created by D. E. Shaw Research and us. Any work product we jointly own with D. E. Shaw Research and any other information that we or D. E. Shaw Research share is subject to a non-exclusive cross-license between us and D. E. Shaw Research, subject to certain exceptions. In some instances, D. E. Shaw Research is required to assign to us some of the work product created by D. E. Shaw Research. Disputes may arise between us and D. E. Shaw Research, as well as any future potential collaborators, regarding intellectual property subject to the DESRES Agreement. If disputes over intellectual property that we co-own or we own individually prevent or impair our ability to maintain our current collaboration arrangements on acceptable terms, or undermine our ability to successfully control the intellectual property necessary to protect our product candidates, we may be unable to successfully develop and commercialize the affected product candidates. Uncertainties or disagreements around our rights under any such intellectual property may undermine our ability to partner our programs with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the DESRES Agreement is complex and certain provisions may be susceptible to multiple interpretations. The resolution of any contract interpretation disagreement that may arise could be adverse to us, for example, by narrowing what we believe to be the scope of our rights to certain intellectual property, or increasing what we believe to be our financial or other obligations under the DESRES Agreement, and any such outcome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generally also subject to all of the same risks with respect to protection of intellectual property that we co-own, as we are for intellectual property that we own. See "</w:t>
      </w:r>
      <w:r>
        <w:rPr>
          <w:rFonts w:ascii="Times New Roman" w:hAnsi="Times New Roman"/>
          <w:color w:val="000000"/>
          <w:sz w:val="20"/>
        </w:rPr>
        <w:t xml:space="preserve"> – </w:t>
      </w:r>
      <w:r>
        <w:rPr>
          <w:rFonts w:ascii="Times New Roman" w:hAnsi="Times New Roman"/>
          <w:i/>
          <w:color w:val="000000"/>
          <w:sz w:val="18"/>
        </w:rPr>
        <w:t>Risks Related to Our Intellectual Property – Risks Related to Protecting our Intellectual Property</w:t>
      </w:r>
      <w:r>
        <w:rPr>
          <w:rFonts w:ascii="Times New Roman" w:hAnsi="Times New Roman"/>
          <w:color w:val="000000"/>
          <w:sz w:val="18"/>
        </w:rPr>
        <w:t>." If we or D. E. Shaw Research fail to adequately protect this intellectual property, our ability to commercialize products could suffer.</w:t>
      </w:r>
    </w:p>
    <w:p>
      <w:pPr>
        <w:pStyle w:val="TextBody"/>
        <w:bidi w:val="0"/>
        <w:spacing w:before="240" w:after="283"/>
        <w:jc w:val="left"/>
        <w:rPr>
          <w:rFonts w:ascii="Times New Roman" w:hAnsi="Times New Roman"/>
          <w:sz w:val="20"/>
        </w:rPr>
      </w:pPr>
      <w:r>
        <w:rPr>
          <w:rFonts w:ascii="Times New Roman" w:hAnsi="Times New Roman"/>
          <w:color w:val="000000"/>
          <w:sz w:val="18"/>
        </w:rPr>
        <w:t>Moreover, we are subject to certain payment obligations under the DESRES Agreement, including payments to D. E. Shaw Research in connection with certain transactions, including our collaboration with Genentech pursuant to the Genentech Agreement. These payment obligations may decrease the value to us of certain transactional opportunities or otherwise burden our ability to enter into such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be required to pay certain milestones and royalties under our license or collaboration agreements with third-party licensors or collaborators, which may adversely affect the overall profitability of any products that we may seek to commercialize.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 our current and future license or collaboration agreements, including our DESRES Agreement, we may be required to pay milestones, royalties and other payments based on our revenues, including revenues from product sales, and these milestones and royalty payments could adversely affect the overall profitability of any products that we may seek to commercialize. In order to maintain our rights under these agreements, we may need to meet certain specified milestones in the development of our product candidates. Further, our licensors (or their licensors), licensees or other strategic collaborators may dispute the terms, including amounts, that we are required to pay under the respective license or collaboration agreements. If these claims result in a material increase in the amounts that we are required to pay to our licensors or collaborators, or in the event of a claim of breach of the license, our ability to research, develop and obtain approval of product candidates or to commercialize our products could be significantly impaired.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Financial Position and Ability to Raise Additional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Our Operating History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are a biopharmaceutical company with a limited operating history.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a biopharmaceutical company with a limited operating history and have incurred net losses in each year since our inception. Our net losses were $342.0 million, $290.5 million, and $363.9 million for the years ended December 31, 2023, 2022, and 2021, respectively. We had an accumulated deficit of $1.4 billion as of December 31, 2023. Biopharmaceutical product development is a highly speculative undertaking and involves a substantial degree of risk. We commenced operations in May 2015. Since inception, we have focused substantially all of our efforts and financial resources on developing our Dynamo drug discovery platform and initial product candidates.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incurred significant operating losses since our inception and anticipate that we will incur continued losses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Substantially all of our operating losses have resulted from costs incurred in connection with our research and development programs and from general and administrative costs associated with our operations. We expect our research and development expenses to significantly increase in connection with the commencement and continuation of clinical trials of our product candidates. In addition, if we obtain marketing approval for our product candidates, we will incur significant sales, marketing and outsourced-manufacturing expenses. We will also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amount of our future losses is uncertain and our quarterly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timing and success or failure of clinical trials for our product candidates or competing product candidates, or any other change in the competitive landscape of our industry, including consolidation among our competitors or partners;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successfully recruit and retain subjects for clinical trials, and any delays caused by difficulties in such efforts;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obtain marketing approval for our product candidates, and the timing and scope of any such approvals we may receive;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timing and cost of, and level of investment in, research and development activities relating to our product candidates, which may change from time to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 of manufacturing our product candidates, which may vary depending on the quantity of production and the terms of our agreements with manufacturers;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attract, hire and retain qualified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expenditures that we will or may incur to develop additional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level of demand for our product candidates should they receive approval, which may vary significantly;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risk/benefit profile, cost and reimbursement policies with respect to our product candidates, if approved, and existing and potential future therapeutics that compete with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changing and volatile U.S. and global economic environments or ongoing geopolitical conflicts;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future accounting pronouncements or changes in our accounting policies. </w:t>
      </w:r>
    </w:p>
    <w:p>
      <w:pPr>
        <w:pStyle w:val="TextBody"/>
        <w:bidi w:val="0"/>
        <w:spacing w:before="240" w:after="283"/>
        <w:jc w:val="left"/>
        <w:rPr>
          <w:rFonts w:ascii="Times New Roman" w:hAnsi="Times New Roman"/>
          <w:sz w:val="20"/>
        </w:rPr>
      </w:pPr>
      <w:r>
        <w:rPr>
          <w:rFonts w:ascii="Times New Roman" w:hAnsi="Times New Roman"/>
          <w:color w:val="000000"/>
          <w:sz w:val="18"/>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securities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no products approved for commercial sale and we have not generated any revenue from product sales.</w:t>
      </w:r>
    </w:p>
    <w:p>
      <w:pPr>
        <w:pStyle w:val="TextBody"/>
        <w:bidi w:val="0"/>
        <w:spacing w:before="240" w:after="283"/>
        <w:jc w:val="left"/>
        <w:rPr>
          <w:rFonts w:ascii="Times New Roman" w:hAnsi="Times New Roman"/>
          <w:sz w:val="20"/>
        </w:rPr>
      </w:pPr>
      <w:r>
        <w:rPr>
          <w:rFonts w:ascii="Times New Roman" w:hAnsi="Times New Roman"/>
          <w:color w:val="000000"/>
          <w:sz w:val="18"/>
        </w:rPr>
        <w:t>Our ability to become profitable depends upon our ability to generate revenue. To date, we have no products approved for commercial sale, we have not generated any revenue from our product sales and we do not expect to generate any revenue from the sale of products in the near future. We do not expect to generate significant revenue unless and until we obtain marketing approval of, and begin to sell one or more of our product candidates. Our ability to generate revenue depends on a number of factors, including, but not limited to, our ability to:</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successfully complete preclinical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successfully enroll subjects in, and complete,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have our IND applications go into effect for our planned clinical trials or future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receive regulatory approvals from applicable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initiate and successfully complete all safety studies required to obtain U.S. and foreign marketing approval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establish commercial manufacturing capabilities or make arrangements with third-party manufacturers for clinical supply and commercial manufacturing;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and maintain patent and trade secret protection or regulatory exclusivity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launch commercial sales of our product candidates, if and when approved, whether alone or in collaboration with others;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and maintain acceptance of the product candidates, if and when approved, by patients, the medical community and third-party payors;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effectively compete with other therapies;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and maintain healthcare coverage and adequate reimbursement;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enforce and defend intellectual property rights and claims;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take precautionary measures to help minimize the risk of any future pandemics or outbreaks similar to COVID-19 to our employees;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maintain a continued acceptable safety profile of the product candidates following approval. </w:t>
      </w:r>
    </w:p>
    <w:p>
      <w:pPr>
        <w:pStyle w:val="TextBody"/>
        <w:bidi w:val="0"/>
        <w:spacing w:before="240" w:after="283"/>
        <w:jc w:val="left"/>
        <w:rPr>
          <w:rFonts w:ascii="Times New Roman" w:hAnsi="Times New Roman"/>
          <w:sz w:val="20"/>
        </w:rPr>
      </w:pPr>
      <w:r>
        <w:rPr>
          <w:rFonts w:ascii="Times New Roman" w:hAnsi="Times New Roman"/>
          <w:color w:val="000000"/>
          <w:sz w:val="18"/>
        </w:rPr>
        <w:t>If we do not achieve one or more of these factors in a timely manner or at all, we may experience significant delays in our commercialization efforts or we may be unable to successfully commercialize our product candidates at all, which would materially harm our business and prospects. In addition, if we do not receive regulatory approvals for our product candidates, we may not be able to continue our operations.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Raising Additional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will need to raise substantial additional funding. If we are unable to raise capital when needed, we would be forced to delay, reduce or eliminate some of our product development programs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development of pharmaceutical products is capital-intensive. We have ongoing clinical trials and we are advancing our other product candidates through preclinical development. We expect our expenses to increase in connection with our ongoing activities, particularly as we continue the research and development of, initiate clinical trials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continue to incur additional costs associated with operating as a public company. Accordingly, we will need to obtain substantial additional funding in connection with our continuing operations. If we are unable to raise capital when needed or fail to do so on attractive terms, we would be forced to delay, reduce or eliminate certain of our research and development programs or future commercialization efforts.</w:t>
      </w:r>
    </w:p>
    <w:p>
      <w:pPr>
        <w:pStyle w:val="TextBody"/>
        <w:bidi w:val="0"/>
        <w:spacing w:before="240" w:after="283"/>
        <w:jc w:val="left"/>
        <w:rPr>
          <w:rFonts w:ascii="Times New Roman" w:hAnsi="Times New Roman"/>
          <w:sz w:val="20"/>
        </w:rPr>
      </w:pPr>
      <w:r>
        <w:rPr>
          <w:rFonts w:ascii="Times New Roman" w:hAnsi="Times New Roman"/>
          <w:color w:val="000000"/>
          <w:sz w:val="18"/>
        </w:rPr>
        <w:t>We expect that our existing cash and cash equivalents and investments will be sufficient to fund our operations through at least the next 12 months. Our future capital requirements will depend on and could increase significantly as a result of many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any business interruptions to our operations, including the timing and enrollment of patients in our planned clinical trials, or to those of our manufacturers, suppliers, or other vendors, resulting from any public health crisis or ongoing geopolitical conflicts and related global economic sanctions;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scope, progress, results and costs of our current and future clinical trials of our lead product candidates and additional preclinical research of our other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progress, results and costs of drug discovery, preclinical research and clinical trials for our other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number of future product candidates that we pursue and their development requirements;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timing and outcome of regulatory review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establish and maintain collaborations on favorable terms, if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any existing or future collaborations that we may enter into with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acquire or invest in businesses, products and technologies, including entering into licensing or collaboration arrangements for product candidates, such as our collaboration with Genentech;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achievement of milestones or occurrence of other developments that trigger payments under any existing or future collaboration agreements, if any;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are obligated to reimburse, or entitled to reimbursement of, clinical trial costs under any existing or future collaboration agreements,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collaborator that we may have at such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amount of revenue, if any, received from commercial sales of our product candidates, should any of our product candidates receive marketing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preparing, filing and prosecuting patent applications, maintaining and enforcing our intellectual property rights and defending intellectual property-related claims;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headcount growth and associated costs as we expand our business operations and our research and development activities;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operating as a public company. </w:t>
      </w:r>
    </w:p>
    <w:p>
      <w:pPr>
        <w:pStyle w:val="TextBody"/>
        <w:bidi w:val="0"/>
        <w:spacing w:before="240" w:after="283"/>
        <w:jc w:val="left"/>
        <w:rPr>
          <w:rFonts w:ascii="Times New Roman" w:hAnsi="Times New Roman"/>
          <w:sz w:val="20"/>
        </w:rPr>
      </w:pPr>
      <w:r>
        <w:rPr>
          <w:rFonts w:ascii="Times New Roman" w:hAnsi="Times New Roman"/>
          <w:color w:val="000000"/>
          <w:sz w:val="18"/>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additional fundraising efforts may divert our management from their day-to-day activities, which may adversely affect our ability to develop and commercialize our product candidates. Disruptions in the financial markets may make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Until such time, if ever, as we can generate substantial product revenues, we expect to finance our cash needs through a combination of private and public equity offerings, debt financings, collaborations, strategic alliances and licensing arrangements. We do not have any committed external source of funds. To the extent that we raise additional capital through the sale of common stock or securities convertible or exchangeable into common stock, the ownership interest of our stockholders will be diluted, and the terms of those securities may include liquidation or other preferences that materially adversely affect their rights as a common stockholder. We may offer and sell up to an aggregate amount of $300.0 million of our common stock from time to time in "at the market" offerings pursuant to the sales agreement, or the Sales Agreement, with Cowen and Company, LLC, subject to the limitations thereof. As of December 31, 2023, we have sold 3,026,072 shares of common stock under the Sales Agreement. Debt financing, if available, would increase our fixed payment obligations and may involve agreements that include covenants limiting or restricting our ability to take specific actions, such as incurring additional debt, making capital expenditures or declaring dividends.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raise funds through additional collaborations, strategic alliances or licensing arrangements with third parties, we may have to relinquish valuable rights to our intellectual property,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Public Health Matters and the Global Economy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Any future pandemic, epidemic, or outbreak of an infectious disease similar to the COVID-19 pandemic could affect our business and our financial results and could cause disruption to the development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Public health crises such as pandemics or similar outbreaks could adversely impact our business. A public health crisis similar to the COVID-19 pandemic could adversely impact our preclinical, other nonclinical or clinical trial operations in the United States,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and we may experience delays in initiating, or fail to initiate, IND-enabling studies, recruiting and retaining patients, principal investigators and site staff for our clinical trials, dosing of patients in our clinical trials as well as in activating new trial sites, and protocol deviations. The negative impact of any such public health crisis on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unforeseen disruptions arising from a public health crisis, including potential shutdowns or disruptions of businesses and government agencies, such as the SEC or FDA,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Global economic and political conditions, including economic uncertainty tied to interest rates, credit and financial market instability, and uncertainty related to ongoing geopolitical conflicts, are difficult to mitigate and could pose challenges to our growth and profitability and could adversely affect our business,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Unstable market and economic conditions may have adverse consequences on our business, financial condition or results of operations. The global economy, in particular the credit and financial markets, has recently experienced significant volatility and disruptions, including diminished liquidity and credit availability, volatility in commodity prices, declines in consumer confidence and economic growth, and supply chain interruptions. Other factors, including rising interest rates and record inflation, may also increase the general cost of doing business. In 2023, the closures of Silicon Valley Bank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Silicon Valley Bank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Continued economic uncertainty caused by these and other factors, including political instability, conflicts or crises, at the global level or involving individual countries or regions and any associated economic sanctions, could result in a variety of risks to our business, including difficulty in enrolling participants in our clinical trials, difficulty in forecasting our financial results and managing inventory levels, increases in our business costs, which in turn affect our ability to develop our current and future product candidates, and negatively impacting our ability to raise additional capital when needed on acceptable terms, if at all. In addition, political developments impacting government spending and international trade, including changes in trade agreements, potential government shutdowns and trade disputes and tariffs, such as the ongoing trade dispute between the United States and China, may negatively impact markets and cause weaker macroeconomic conditions. These global economic and political factors have also strained and could continue to strain certain of our suppliers and manufacturers, possibly resulting in supply disruptions or increased raw material or manufacturing costs, or adversely impacting their ability to manufacture clinical trial materials for our product candidates. Any of the foregoing could harm our business and prospects and we cannot anticipate all of the ways in which the current economic climate and financial market conditions could adversely impact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Protecting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will be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commercial success will depend in part on our ability to obtain and maintain proprietary or intellectual property protection in the United States and other countries for our product candidates, and our core technologies, including our novel target discovery technology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 Other than our U.S. patent relating to migoprotafib ( RLY-1971, now referred to as GDC-1971) composition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matter and our U.S. patent relating to lirafugratinib (RLY-4008) composition of matter, we do not own or in-license any issued patents relating to our platform or our lead product candidates under clinical development.</w:t>
      </w:r>
    </w:p>
    <w:p>
      <w:pPr>
        <w:pStyle w:val="TextBody"/>
        <w:bidi w:val="0"/>
        <w:spacing w:before="240" w:after="283"/>
        <w:jc w:val="left"/>
        <w:rPr>
          <w:rFonts w:ascii="Times New Roman" w:hAnsi="Times New Roman"/>
          <w:sz w:val="20"/>
        </w:rPr>
      </w:pPr>
      <w:r>
        <w:rPr>
          <w:rFonts w:ascii="Times New Roman" w:hAnsi="Times New Roman"/>
          <w:color w:val="000000"/>
          <w:sz w:val="18"/>
        </w:rPr>
        <w:t>Pursuant to the Genentech Agreement, we have granted an exclusive, worldwide, royalty-bearing license to Genentech, with the right to sublicense, develop and commercialize migoprotafib and any other SHP2 inhibitors developed under the Genentech Agreement. Genentech has the first right, but not the obligation, to file, prosecute and maintain any patents licensed to it, as well as to enforce infringement of or defend claims against such patents that relate to migoprotafib or other SHP2 inhibitors. See "</w:t>
      </w:r>
      <w:r>
        <w:rPr>
          <w:rFonts w:ascii="Times New Roman" w:hAnsi="Times New Roman"/>
          <w:i/>
          <w:color w:val="000000"/>
          <w:sz w:val="18"/>
        </w:rPr>
        <w:t>Risks Related to Our Reliance on Third Parties—</w:t>
      </w:r>
      <w:r>
        <w:rPr>
          <w:rFonts w:ascii="Times New Roman" w:hAnsi="Times New Roman"/>
          <w:color w:val="000000"/>
          <w:sz w:val="20"/>
        </w:rPr>
        <w:t xml:space="preserve"> </w:t>
      </w:r>
      <w:r>
        <w:rPr>
          <w:rFonts w:ascii="Times New Roman" w:hAnsi="Times New Roman"/>
          <w:i/>
          <w:color w:val="000000"/>
          <w:sz w:val="18"/>
        </w:rPr>
        <w:t>We have and may enter into other collaborations with third parties for the research, development, manufacture and commercialization of one or more of our programs or product candidates. If these collaborations are not successful, our business could be adversely affected</w:t>
      </w:r>
      <w:r>
        <w:rPr>
          <w:rFonts w:ascii="Times New Roman" w:hAnsi="Times New Roman"/>
          <w:color w:val="000000"/>
          <w:sz w:val="18"/>
        </w:rPr>
        <w:t>." for a discussion of risks related to the protection of our intellectual property rights under our collaborations.</w:t>
      </w:r>
    </w:p>
    <w:p>
      <w:pPr>
        <w:pStyle w:val="TextBody"/>
        <w:bidi w:val="0"/>
        <w:spacing w:before="240" w:after="283"/>
        <w:jc w:val="left"/>
        <w:rPr>
          <w:rFonts w:ascii="Times New Roman" w:hAnsi="Times New Roman"/>
          <w:sz w:val="20"/>
        </w:rPr>
      </w:pPr>
      <w:r>
        <w:rPr>
          <w:rFonts w:ascii="Times New Roman" w:hAnsi="Times New Roman"/>
          <w:color w:val="000000"/>
          <w:sz w:val="18"/>
        </w:rPr>
        <w:t>Most of the research and development for our programs has been performed under the DESRES Agreement. Under the DESRES Agreement, D. E. Shaw Research controls the rights to its technology (including its supercomputer and software, each of which are important aspects of our Dynamo platform), we control the rights to certain compounds, and we jointly own with D. E. Shaw Research any other work product created by D. E. Shaw Research and us. Subject to certain limits, we have the right to have the following work product assigned to us: the composition of matter, method of use, and method of manufacture of certain compounds directed to a Category 1 Target, as set forth in the DESRES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not yet designated all of the compounds for which we will have this right of assignment, and thus, we do not yet know the scope of exclusivity we will enjoy under our patent rights for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After any work product is assigned to us, we will have the right to prepare, file, prosecute and maintain patents that cover such assigned work product. We also have the implicit right to defend patents that cover work product owned by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To date, some of the work product created under our agreement with D. E. Shaw Research has been created by D. E. Shaw Research and us, together, and is thus initially co-owned. We have subsequently obtained sole ownership of certain intellectual property relating specifically to some of our clinical candidates (e.g. migoprotafib and lirafugratinib). By virtue of inventorship, we jointly own intellectual property rights pertaining to RLY-2608, but retain the option to obtain sole ownership of intellectual property rights relating to it and other jointly owned PIK3CA inhibitors. We have the first right to prepare, file, prosecute, maintain and defend patents that cover work product jointly created by D. E. Shaw Research and us. If we choose not to exercise those rights with respect to patents and patent applications that cover joint work product, D. E. Shaw Research will have the right to take over such activities, unless such rights are waived, as is the case for our co-owned SHP2 patent applications. The party that is preparing, filing, prosecuting and maintaining a patent that covers joint work product also has the right to enforce such patent against infringers.</w:t>
      </w:r>
    </w:p>
    <w:p>
      <w:pPr>
        <w:pStyle w:val="TextBody"/>
        <w:bidi w:val="0"/>
        <w:spacing w:before="240" w:after="283"/>
        <w:jc w:val="left"/>
        <w:rPr>
          <w:rFonts w:ascii="Times New Roman" w:hAnsi="Times New Roman"/>
          <w:sz w:val="20"/>
        </w:rPr>
      </w:pPr>
      <w:r>
        <w:rPr>
          <w:rFonts w:ascii="Times New Roman" w:hAnsi="Times New Roman"/>
          <w:b/>
          <w:i/>
          <w:color w:val="000000"/>
          <w:sz w:val="18"/>
        </w:rPr>
        <w:t>The patent position of biotechnology and pharmaceutical companies generally is highly uncertain, involves complex legal and factual questions and has in recent years been the subject of much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degree of patent protection we require to successfully commercialize our product candidates may be unavailable or severely limited in some cases and may not adequately protect our rights or permit us to gain or keep any competitive advantage. We cannot provide any assurances that any of our pending patent applications will issue, or that any of our pending patent applications that mature into issued patents will include claims with a scope sufficient to protect our lead product candidates under clinical development or our other product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patent portfolio and any patent portfolio we may license in the future may not provide us with adequate and continuing patent protection sufficient to exclude others from commercializing products similar or identical to our product candidates, including generic versions of such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licensed patent rights, and in the future may license additional patent rights, to or from third parties. For example, we have licensed our patent rights to our SHP2 program to Genentech. These licensed patent rights may be valuable to our business, and we may not have the right to control the preparation, filing and prosecution of patent applications, or to maintain the patents, covering technology or medicines underlying such licenses. We cannot be certain that these patents and applications will be prosecuted and enforced in a manner consistent with the best interests of our business. If any such licensors or licensees fail to maintain such patents, or lose rights to those patents, the rights we have licensed may be reduced or eliminated and our right to develop and commercialize any of our products that are the subject of such licensed rights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pending patent applications, or that we were the first to file for patent protection of such inventions. As a result, the issuance, scope, validity, enforceability and commercial value of our patent rights cannot be predicted with any certainty.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product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parties review, post-grant review or interference proceedings challenging our patent rights or the patent rights of others from whom we have obtained licenses to such rights.</w:t>
      </w:r>
    </w:p>
    <w:p>
      <w:pPr>
        <w:pStyle w:val="TextBody"/>
        <w:bidi w:val="0"/>
        <w:spacing w:before="240" w:after="283"/>
        <w:jc w:val="left"/>
        <w:rPr>
          <w:rFonts w:ascii="Times New Roman" w:hAnsi="Times New Roman"/>
          <w:sz w:val="20"/>
        </w:rPr>
      </w:pPr>
      <w:r>
        <w:rPr>
          <w:rFonts w:ascii="Times New Roman" w:hAnsi="Times New Roman"/>
          <w:color w:val="000000"/>
          <w:sz w:val="18"/>
        </w:rPr>
        <w:t>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With respect to intellectual property arising in the course of our collaboration with D. E. Shaw Research, disagreements between us and D. E. Shaw Research may impact our exclusive control of intellectual property important for protecting our product candidates and proprietary position. A loss of exclusivity, in whole or in part, could allow others to compete with us and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products, without payment to us, or could limit the duration of the patent protection covering our technology and product candidates. Such challenges may also result in our inability to manufacture or commercialize our product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Even if they are unchallenged, our owned patent portfolio and any patent portfolio we may license in the future may not provide us with any meaningful protection or prevent competitors from designing around our patent claims to circumvent our owned or licensed patents by developing similar or alternative technologies or products in a non-infringing manner. For example, a third party may develop a competitive product that provides benefits similar to one or more of our product candidates but that has a different composition that falls outside the scope of our patent protection. If the patent protection provided by the patents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patent applications we hold or pursue with respect to our product candidates is not sufficiently broad to impede such competition, our ability to successfully commercialize our product candidates could be negatively affected, which would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product candidates, which would have a material adverse effect on our business.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failure to secure trademark registrations could adversely affect our business and our ability to market our products and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trademark applications in the United States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USPTO and in corresponding foreign agencies,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business and our ability to market our products and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unable to protect the confidentiality of our trade secrets, our business and competitive position may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trade secrets could otherwise become known or be independently discovered by our competitors. Competitors could purchase our product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products, our competitive position could be adversely affected, as could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Intellectual Property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Third parties may initiate legal proceedings alleging that we are infringing their intellectual property rights, the outcome of which would be uncertain and could have a material adverse effect on the success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commercial success depends upon our ability and the ability of our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product candidates and technology, including interference proceedings before the USPTO. Our competitors or other third parties may assert infringement claims against us, alleging that our products or technologies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SHP2 inhibitors, FGFR2 inhibitors and PI3K inhibitors. Some of these patent applications have already been allowed or issued, and others may issue in the future. Since these areas are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or the practice of our technology. If a patent holder believes our product or product candidate infringes on its patent, the patent holder may sue us even if we have received patent protection for our technology. Moreover, we may face patent infringement claims from non-practicing entities that have no relevant product revenue and against whom our owned patent portfolio and any patent portfolio we may license in the future may thus have no deterrent effect.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are found to infringe a third party’s intellectual property rights, we could be required to obtain a license from such third party to continue developing and marketing our product candidates and technology. We may choose to obtain a license, even in the absence of an action or finding of infringement. In either case,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product candidates. In addition, we could be found liable for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If we lose a foreign patent lawsuit, alleging our infringement of a competitor’s patents, we could be prevented from marketing our products in one or more foreign countries, which would have a materially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be subject to damages resulting from claims that we or our employees have wrongfully used or disclosed alleged trade secrets of our competitors or are in breach of non-competition or non-solicitation agreements with our competitors.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product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product candidates, which would have an adverse effect on our business, results of operations and financial condition.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become involved in lawsuits to protect or enforce our patents and other intellectual property rights, which could be expensive, time consuming and unsuccessful.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any patents that may issue invalid. Moreover, it is also possible that prior art may exist that we are aware of but do not believe is relevant to our future patents, should they issue, but that could nevertheless be determined to render our patents invalid.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 adverse result in any litigation proceeding could put one or more of our patents at risk of being invalidated or interpreted narrowly. If a defendant were to prevail on a legal assertion of invalidity or unenforceability of our patents covering one of our product candidates, we would lose at least part, and perhaps all, of the patent protection covering such product candidate. Competing products may also be sold in other countries in which our patent coverage might not exist or be as strong.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Intellectual property litigation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Enforcement of Our Intellectual Property Rights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not be able to effectively enforce our intellectual property rights throughout the world.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 candidates, and our patents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product candidates, we cannot ensure that we will be able to initiate or maintain similar efforts in all jurisdictions in which we may wish to market our product candidates. Accordingly, our efforts to protect our intellectual property rights in such countries may be inadequate.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Third Party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need to license certain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Although we believe that licenses to these patents are available from these third parties on commercially reasonable terms, if we were not able to obtain a license, or were not able to obtain a license on commercially reasonable terms, our business could be harmed, possibly materially.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fail to comply with our obligations in the agreements under which we collaborate with or license intellectual property rights from third parties, or otherwise experience disruptions to our business relationships with our collaborators or licensors, we could lose rights that are important to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expect our future license agreements will impose various development, diligence, commercialization, and other obligations on us in order to maintain the licenses. In spite of our efforts,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in-licenses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Moreover, disputes may arise regarding intellectual property subject to a licensing agreement,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of rights granted under the license agreement and other interpretation-related issues;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extent to which our technology and processes infringe on intellectual property of the licensor that is not subject to the licensing agreement;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sublicensing of patent and other rights under our collaborative development relationships;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diligence obligations under the license agreement and what activities satisfy those diligence obligations;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inventorship and ownership of inventions and know-how resulting from the joint creation or use of intellectual property by our licensors and us and our partners;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priority of invention of patented technology. </w:t>
      </w:r>
    </w:p>
    <w:p>
      <w:pPr>
        <w:pStyle w:val="TextBody"/>
        <w:bidi w:val="0"/>
        <w:spacing w:before="240" w:after="283"/>
        <w:jc w:val="left"/>
        <w:rPr>
          <w:rFonts w:ascii="Times New Roman" w:hAnsi="Times New Roman"/>
          <w:sz w:val="20"/>
        </w:rPr>
      </w:pPr>
      <w:r>
        <w:rPr>
          <w:rFonts w:ascii="Times New Roman" w:hAnsi="Times New Roman"/>
          <w:color w:val="000000"/>
          <w:sz w:val="18"/>
        </w:rPr>
        <w:t>The agreements under which we may license intellectual property or technology from third parties may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These and similar issues may arise with respect to our collaboration agreements, such as our DESRES Agreement, as amended. While we primarily rely on our own internal computational capabilities, we currently actively collaborate with D. E. Shaw Research on two preclinical research programs, and there can be no assurance that this collaboration will continue past the current term of the DESRES Agreement, on favorable terms or at all, or that at any time while the collaboration is in effect D. E. Shaw Research will provide any particular level of services or that the parties will operate under the agreement without disputes. These disputes may involve ownership or control of intellectual property rights, exclusivity obligations, diligence and payment obligations, for example.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DESRES Agreement imposes certain exclusivity obligations on us during the term of the agreement with respect to Category 2 targets, and certain exclusivity obligations on D. E. Shaw Research during and after the term of the agreement. While we have some degree of control over how we designate various targets under the DESRES Agreement, D. E. Shaw Research has some degree of control over such designations as well, and our exclusivity obligations limit or delay our ability to conduct research on selected targets with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Under the DESRES Agreement, D. E. Shaw Research controls the rights to its technology, we control the rights to certain compounds, and we jointly own with D. E. Shaw Research any other work product created by D. E. Shaw Research and us. Any work product we jointly own with D. E. Shaw Research and any other information that we or D. E. Shaw Research share is subject to a non-exclusive cross-license between us and D. E. Shaw Research, subject to certain exceptions. In some instances, D. E. Shaw Research is required to assign to us some of the work product created by D. E. Shaw Research. Disputes may arise between us and D. E. Shaw Research, as well as any future potential collaborators, regarding intellectual property subject to the DESRES Agreement. If disputes over intellectual property that we co-own or we own individually prevent or impair our ability to maintain our current collaboration arrangements on acceptable terms, or undermine our ability to successfully control the intellectual property necessary to protect our product candidates, we may be unable to successfully develop and commercialize the affected product candidates. Uncertainties or disagreements around our rights under any such intellectual property may undermine our ability to partner our programs with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the DESRES Agreement is complex and certain provisions may be susceptible to multiple interpretations. The resolution of any contract interpretation disagreement that may arise could be adverse to us, for example by narrowing what we believe to be the scope of our rights to certain intellectual property, or increasing what we believe to be our financial or other obligations under the DESRES Agreement, and any such outcome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Intellectual Property 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Changes to the patent law in the United States and other jurisdictions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rights in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any patents that we may obtain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Intellectual property rights do not necessarily address all potential threats.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others may be able to make products that are similar to our product candidates or utilize similar technology but that are not covered by the claims of the patents that we license or may own;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or our licensors or collaborators, might not have been the first to make the inventions covered by the issued patent or pending patent application that we license or own now or in the future;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or our licensors or collaborators, might not have been the first to file patent applications covering certain of our or their inventions;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others may independently develop similar or alternative technologies or duplicate any of our technologies without infringing our owned or licensed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it is possible that our present or future pending patent applications (whether owned or licensed) will not lead to issued patents;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issued patents that we hold rights to may be held invalid or unenforceable, including as a result of legal challenges by our competitors or other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not develop additional proprietary technologies that are patentable;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patents of others may harm our business;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may choose not to file a patent in order to maintain certain trade secrets or know-how, and a third party may subsequently file a patent covering such intellectual property.</w:t>
      </w:r>
    </w:p>
    <w:p>
      <w:pPr>
        <w:pStyle w:val="TextBody"/>
        <w:bidi w:val="0"/>
        <w:spacing w:before="240" w:after="283"/>
        <w:jc w:val="left"/>
        <w:rPr>
          <w:rFonts w:ascii="Times New Roman" w:hAnsi="Times New Roman"/>
          <w:sz w:val="20"/>
        </w:rPr>
      </w:pPr>
      <w:r>
        <w:rPr>
          <w:rFonts w:ascii="Times New Roman" w:hAnsi="Times New Roman"/>
          <w:color w:val="000000"/>
          <w:sz w:val="18"/>
        </w:rPr>
        <w:t>Should any of these events occur, they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Government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Regulatory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Even if we receive regulatory approval for any of our product candidates, we will be subject to ongoing regulatory obligations and continued regulatory review, and our product candidates, if approved, could be subject to post-market study requirements, marketing and labeling restrictions, and even recall or market withdrawal if unanticipated safety issues are discovered following approval, which may result in significant additional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the FDA or a similar foreign regulatory authority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and applicable product tracking and tracing requirements. Additionally,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under FDORA, sponsors of approved drugs must provide six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restrictions on the marketing or manufacturing of the product, withdrawal of the product from the market, or voluntary or mandatory product recalls;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clinical trial holds;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fines, warning letters or other regulatory enforcement action;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refusal by the FDA to approve pending applications or supplements to approved applications filed by us;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product seizure or detention, or refusal to permit the import or export of products;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injunctions or the imposition of civil or criminal penalties. </w:t>
      </w:r>
    </w:p>
    <w:p>
      <w:pPr>
        <w:pStyle w:val="TextBody"/>
        <w:bidi w:val="0"/>
        <w:spacing w:before="240" w:after="283"/>
        <w:jc w:val="left"/>
        <w:rPr>
          <w:rFonts w:ascii="Times New Roman" w:hAnsi="Times New Roman"/>
          <w:sz w:val="20"/>
        </w:rPr>
      </w:pPr>
      <w:r>
        <w:rPr>
          <w:rFonts w:ascii="Times New Roman" w:hAnsi="Times New Roman"/>
          <w:color w:val="000000"/>
          <w:sz w:val="18"/>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approved prescription drug products. In particular, while the FDA permits the dissemination of truthful and non-misleading information about an approved product, a manufacturer may not promote a product for uses that are not approved by the FDA. If we are found to have promoted such off-label uses, we may become subject to significant liability. The federal government has levied large civil and criminal fines against companies for alleged improper promotion of regulated products for off-label uses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European data collection is governed by restrictive regulations governing the processing and cross-border transfer of personal information and failure to comply with such requirements in jurisdictions where we may conduct clinical trials or enroll subjects in our ongoing or future clinical trials could have a material adverse effect on our business,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the event we decide to conduct clinical trials or continue to enroll subjects in our ongoing or future clinical trials, we may be subject to additional data collection restrictions. 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For example, the collection, use, storage, disclosure, transfer, or other processing of personal data of individuals in the EEA, including personal health data, is subject to the GDPR. The GDPR is wide-ranging in scope and imposes numerous requirements on companies that process personal data, including requirements relating to processing health and other sensitive data, providing notice to the individuals to whom the personal data relates regarding data processing activities, implementing safeguards to protect the privacy and security of personal data, implementing processes to handle requests from individuals to exercise their data protection rights, maintaining records of our processing activities and to document data protection impact assessments where there is high risk processing, providing notification of data breaches in certain circumstances, and taking certain measures when engaging third-party processors or sub-processors. The GDPR focuses on accountability of data controllers (such as us) and requires us to put in place all technical and organizational measures (privacy by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design and by default) to ensure that we meet our obligations. Penalties under the GDPR include fines of up to €10,000,000 or up to 2% of our total worldwide annual turnover for certain comparatively minor offenses, or up to €20,000,000 or up to 4% of our total worldwide annual turnover for more serious offenses. EEA Member States have adopted implementing national laws to implement the GDPR which may partially deviate from the GDPR, and the competent authorities in the EEA Member States may interpret GDPR obligations slightly differently from country to country, so we do not expect to operate in a uniform legal landscape in the EU.</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Further to the UK’s exit from the EU on January 31, 2020, the UK incorporated the GDPR (as it existed on December 31, 2020 but subject to certain UK specific amendments) into UK law, referred to as the UK GDPR. The UK GDPR and the UK Data Protection Act 2018, or collectively, UK GDPR,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UK is recognized as providing adequate protection under the EU GDPR and, therefore, transfers of personal data originating in the EU to the UK remain unrestricted, or the UK Adequacy Decision. Likewise, the UK government has confirmed that personal data transfers from the UK to the EEA remain free flowing. The UK Government has introduced a Data Protection and Digital Information Bill, or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European Commission, or EC. This may lead to additional compliance costs and could increase our overall risk. The respective provisions and enforcement of the EU GDPR and UK GDPR may further diverge in the future and create additional regulatory challenges and uncertainties.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GDPR imposes strict rules on the transfer of personal data out of the EEA and UK to the U.S. or other regions that have not been deemed to offer "adequate" privacy protections. On June 4, 2021, the EC issued new forms of standard contractual clauses, or SCCs, for data transfers from controllers or processors in the EEA (or otherwise subject to the EU GDPR) to controllers or processors established outside the EEA (and not subject to the EU GDPR). The new SCCs replace the SCCs that were adopted previously under the Data Protection Directive. The UK is not subject to the EC’s new SCCs but has published its own standard clauses, the International Data Transfer Agreement, which enables transfers from the UK. We will be required to implement these new safeguards in the event these safeguards are used as our basis for conducting restricted data transfers under the EU GDPR and UK GDPR and doing so may require significant effort and cost. If relying on the SCCs or UK IDTA for data transfers, we may also be required to carry out transfer impact assessments to assess whether the recipient is subject to local laws which allow public authority access to personal data.</w:t>
      </w:r>
    </w:p>
    <w:p>
      <w:pPr>
        <w:pStyle w:val="TextBody"/>
        <w:bidi w:val="0"/>
        <w:spacing w:before="240" w:after="283"/>
        <w:jc w:val="left"/>
        <w:rPr>
          <w:rFonts w:ascii="Times New Roman" w:hAnsi="Times New Roman"/>
          <w:sz w:val="20"/>
        </w:rPr>
      </w:pPr>
      <w:r>
        <w:rPr>
          <w:rFonts w:ascii="Times New Roman" w:hAnsi="Times New Roman"/>
          <w:color w:val="000000"/>
          <w:sz w:val="18"/>
        </w:rPr>
        <w:t>In July 2023, the European Commission adopted its adequacy decision for the EU-U.S. Data Privacy Framework, or the Framework, the successor of the EU-U.S. Privacy Shield framework, which the Court of Justice of the European Union invalidated in 2020. On the basis of the new adequacy decision, personal data can flow safely from the EU to U.S. companies participating in the Framework, without having to put in place additional data protection safeguards. However, the long term validity of the Framework, which has already been challenged in court, remains uncertain.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decide to conduct clinical trials or enroll subjects in our ongoing or future clinical trials in Europe and/or the UK, we are subject to the supervision of local data protection authorities in those jurisdictions where we are monitoring the behavior of individuals in the EEA or UK (i.e., undertaking clinical trials). If we are investigated by a European or UK data protection authority, we may face fines and other penalties. Any such investigation or charges by European or UK data protection authorities could have a negative effect on our business and on our ability to commercialize our products in the future, including with European, UK-based or multi-national pharmaceutical partners.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European data protection requirements, we may be subject to various privacy laws in the United States at the state and federal level. In the United States, at the state level, for example, California Consumer Privacy Act (CCPA), which took effect on January 1, 2020,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 Additionally, the California Privacy Rights Act (CPRA) became effective on January 1, 2023. The CPRA imposes additional obligations on companies covered by the legislation and significantly modifies the CCPA, including by expanding consumers’ rights with respect to certain sensitive personal information. The CPRA also creates a new state agency that will be vested with authority to implement and enforce the CCPA and the CPRA. As of January 1, 2023, the privacy protections of the CPRA also apply to personal information of contacts collected in a business to business capacity and from employment applicants, employees and former employees. The effects of the CCPA and the CPRA are potentially significant and may require us to modify our data collection or processing practices and policies and to incur substantial costs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expenses in an effort to comply and increase our potential exposure to regulatory enforcement and/or litigation. Furthermore, four other states have enacted comprehensive consumer privacy laws and many others are considering proposals for such laws.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litigation or government investigations or enforcement actions and significant penalties against us and could have a material adverse effect on our business, financial condition or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18"/>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similar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In connection with the clinical development of our product candidates for certain indications, we have engaged and may continue to engage third parties to develop or obtain access to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 xml:space="preserve">companion diagnostic tests to identify patient subsets within a disease category who may derive selective and meaningful benefit from our product candidates. For example, we have engaged Foundation Medicine, Inc. to develop its FoundationOne®CDx as a companion diagnostic for lirafugratinib. The FDA has indicated that if we continue RLY-2608 and lirafugratinib in a specific biomarker-defined population, a companion diagnostic device will be required to ensure their safe and effective use. Such companion diagnostics would be used during our clinical trials as well as in connection with the commercialization of our product candidates. To be successful, we or our collaborators will need to address a number of scientific, technical, regulatory and logistical challenges. The FDA and similar foreign regulatory authorities regulate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companion diagnostics as medical devices and, under that regulatory framework, will likely require the conduct of clinical trials to demonstrate the safety and effectiveness of any diagnostics we may develop, which we expect will require separate regulatory clearance or approval prior to 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rely and intend to continue to rely on third parties for the design, development and manufacture of companion diagnostic tests for our therapeutic product candidates that may require such tests. In connection with such current and future collaborative agreements, we will be dependent on the sustained cooperation and effort of our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current and future collaborators may encounter difficulties in developing, obtaining regulatory approval for, manufacturing and commercializing companion diagnostics similar to those we face with respect to our therapeutic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marketing approval, and we may not realize the full commercial potential of any of these therapeutics that obtain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Anti-bribery, Anti-corruption and Other Government Regulations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Laws and regulations governing any international operations we may have in the future may preclude us from developing, manufacturing and selling certain products outside of the United States and require us to develop and implement costly compliance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Although we do not currently have any products on the market, once we begin commercializing our product candidates, we will be subject to additional healthcare statutory and regulatory requirements and enforcement by the federal government and the states and governments of foreign jurisdictions in which we conduct our business. Healthcare providers, physicians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See </w:t>
      </w:r>
      <w:r>
        <w:rPr>
          <w:rFonts w:ascii="Times New Roman" w:hAnsi="Times New Roman"/>
          <w:i/>
          <w:color w:val="000000"/>
          <w:sz w:val="18"/>
        </w:rPr>
        <w:t>"Business – Government Regulation – Other Healthcare Laws."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individual imprisonment, reputational harm,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Regulatory Review of Certain Drug Development Designations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priority review designation for one or more of our product candidates, but we might not receive such designation, and even if we do, such designation may not lead to a faster regulatory review or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obtained orphan drug designation for one of our product candidates. We may seek orphan drug designation for certain of our other product candidates as well,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January 2022, the FDA granted orphan drug designation to lirafugratinib for the treatment of cholangiocarcinoma. As part of our business strategy, we may seek orphan drug designation for certain of our other product candidates as well,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Similarly, in the EU, the European Commission, upon the recommendation of the EMA’s Committee for Orphan Medicinal Products, grants orphan designation in respect of a product if it can be shown that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In the EU, orphan designation entitles a party to financial incentives such as reduction of fees or fee waivers. In October 2022, the EMA adopted a positive opinion on the orphan designation application for lirafugratinib for the treatment of biliary tract cancer.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and indication for that time period, except in limited circumstances. The applicable period is seven years in the United States and ten years in the EU. The EU exclusivity period can be reduced to six years if, at the end of the fifth year, it is established that a product no longer meets the criteria for orphan designation, including if the product is sufficiently profitable so that market exclusivity is no longer justified. The European Commission introduced a legislative proposal in April 2023 that, if implemented, could reduce the current ten-year marketing exclusivity period for certain orphan medicines to nine years (or five years for well-established use orphan medicines).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Even if we obtain orphan drug exclusivity for a drug, that exclusivity may not effectively protect the drug from competition because different drugs can be approved for the same condition. Even after an orphan drug is approved, the FDA can subsequently approve a later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 Orphan drug designation neither shortens the development time or regulatory review time of a drug nor gives the drug any advantage in the regulatory review or approval process. We have obtained orphan drug designation for one of our product candidates and while we may seek orphan drug designation for our other product candidates, we may never receive such designations. Even if we do receive such designations, there is no guarantee that we will enjoy the benefits of those designations. In addition, 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pStyle w:val="TextBody"/>
        <w:bidi w:val="0"/>
        <w:spacing w:before="240" w:after="283"/>
        <w:jc w:val="left"/>
        <w:rPr>
          <w:rFonts w:ascii="Times New Roman" w:hAnsi="Times New Roman"/>
          <w:sz w:val="20"/>
        </w:rPr>
      </w:pPr>
      <w:r>
        <w:rPr>
          <w:rFonts w:ascii="Times New Roman" w:hAnsi="Times New Roman"/>
          <w:b/>
          <w:i/>
          <w:color w:val="000000"/>
          <w:sz w:val="18"/>
        </w:rPr>
        <w:t>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marketing approval in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approval of our product candidates, where applicable, under the FDA's accelerated approval pathway. This pathway, even if granted for any of our current or future product candidates, may not lead to a faster development or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regulatory review or approval process and it does not increase the likelihood that our product candidates will receive marketing approval in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seek accelerated approval of our current and/or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do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Healthcare Legislative Reform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FDA, the EMA and other regulatory authorities may implement additional regulations or restrictions on the development and commercialization of our product candidates, and such changes can be difficult to predict.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See "</w:t>
      </w:r>
      <w:r>
        <w:rPr>
          <w:rFonts w:ascii="Times New Roman" w:hAnsi="Times New Roman"/>
          <w:i/>
          <w:color w:val="000000"/>
          <w:sz w:val="18"/>
        </w:rPr>
        <w:t>Business – Governmental Regulation – Current and future healthcare reform legislation.</w:t>
      </w:r>
      <w:r>
        <w:rPr>
          <w:rFonts w:ascii="Times New Roman" w:hAnsi="Times New Roman"/>
          <w:color w:val="000000"/>
          <w:sz w:val="18"/>
        </w:rPr>
        <w:t>"</w:t>
      </w:r>
    </w:p>
    <w:p>
      <w:pPr>
        <w:pStyle w:val="TextBody"/>
        <w:bidi w:val="0"/>
        <w:spacing w:before="240" w:after="283"/>
        <w:jc w:val="left"/>
        <w:rPr>
          <w:rFonts w:ascii="Times New Roman" w:hAnsi="Times New Roman"/>
          <w:sz w:val="20"/>
        </w:rPr>
      </w:pPr>
      <w:r>
        <w:rPr>
          <w:rFonts w:ascii="Times New Roman" w:hAnsi="Times New Roman"/>
          <w:color w:val="000000"/>
          <w:sz w:val="18"/>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in light of the higher proportion of SCD patients that utilize Medicare and Medicaid programs to pay for treatments. Moreover, increasing efforts by governmental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demand for our current or future product candidates, if we obtain regulatory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set a price that we believe is fair for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obtain coverage and reimbursement approval for a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generate revenue and achieve or maintain profitability;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level of taxes that we are required to pay;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availability of capital.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left"/>
        <w:rPr>
          <w:rFonts w:ascii="Times New Roman" w:hAnsi="Times New Roman"/>
          <w:sz w:val="20"/>
        </w:rPr>
      </w:pPr>
      <w:r>
        <w:rPr>
          <w:rFonts w:ascii="Times New Roman" w:hAnsi="Times New Roman"/>
          <w:b/>
          <w:i/>
          <w:color w:val="000000"/>
          <w:sz w:val="18"/>
        </w:rPr>
        <w:t>Recent federal legislation and actions by federal, state and local governments may permit reimportation of drugs from foreign countries into the United States, including foreign countries where the drugs are sold at lower prices than in the United States, which could materially adversely affect our operating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face competition in the United States for our development candidates and investigational medicines, if approved, from therapies sourced from foreign countries that have placed price controls on pharmaceutical products. In the United States, the Medicare Modernization Act, or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the HHS made such certification to Congress, and on October 1, 2020,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the Regulatory Agency Review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Disruptions at the FDA, the SEC and other government agencies caused by funding shortages or global health concerns could hinder their ability to hire and retain key leadership and other personnel, prevent new products and services from being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ability of the FDA to review and approve new products can be affected by a variety of factors, including government budget and funding levels, global health concerns,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government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Employee Matters and Managing Growth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Employee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future success depends on our ability to retain key executives and experienced scientists and to attract, retain and motivate qualified personnel.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highly dependent on the research and development, clinical and business development expertise of the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employees, principal investigators, CROs and consultants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or other nonclinical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Growth and Acquisitions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expect to expand our development and regulatory capabilities and potentially implement sales, marketing and distribution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we had 323 full-time employees. In the future, we expect to experience significant growth in the number of our employees and the scope of our operations, particularly in the areas of pharmaceutical and clinical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acquisitions expose us to risks that could adversely affect our business, and we may not achieve the anticipated benefits of acquisitions of businesses or technologies.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a part of our growth strategy, we may make selected acquisitions of complementary products and/or businesses, such as our acquisition of ZebiAI in April 2021. Any acquisition involves numerous risks and operational, financial, and managerial challenges, including the following, any of which could adversely affect our business, financial condition, or results of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difficulties in integrating new operations, technologies, products, and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challenges maintaining uniform procedures, controls and policies with respect to our financial accounting systems;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lack of synergies or the inability to realize expected synergies and cost-savings;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underperformance of any acquired technology, product, or business relative to our expectations and the price we paid;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negative near-term impacts on financial results after an acquisition, including acquisition-related earnings charges;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potential loss of key employees, customers, and strategic partners of acquired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claims by terminated employees and shareholders of acquired companies or other third parties related to the transaction;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assumption or incurrence of additional debt obligations or expenses, or use of substantial portions of our cash;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issuance of equity securities to finance or as consideration for any acquisitions that dilute the ownership of our stockholders;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issuance of equity securities to finance or as consideration for any acquisitions may not be an option if the price of our common stock is low or volatile which could preclude us from completing any such acquisitions;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collaboration, strategic alliance and licensing arrangement may require us to relinquish valuable rights to our technologies or product candidates, or grant licenses on terms that are not favorable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diversion of management’s attention and company resources from existing operations of the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inconsistencies in standards, controls, procedures, and policies;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impairment of intangible assets as a result of technological advancements, or worse-than-expected performance of acquired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assumption of, or exposure to, historical liabilities of the acquired business, including unknown contingent or similar liabilities that are difficult to identify or accurately quantify;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risks associated with acquiring intellectual property, including potential disputes regarding acquired companies’ intellectual property.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the successful integration of acquired businesses requires significant efforts and expense across all operational areas. There can be no assurance that any of the acquisitions we may make, including our acquisition of ZebiAI, will be successful or will be, or will remain, profitable. Our failure to successfully address the foregoing risks may prevent us from achieving the anticipated benefits from any acquisition in a reasonable time frame, or at all.</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Business Disruptions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internal information technology systems, or those of our third-party collaborators and/or partners, may fail or suffer security breaches,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integrity, and availability of such information. We also have outsourced elements of our operations to third parties, and as a result we collaborate with a number of third-party CROs, vendors, and other contractors and consultants who have access to our confidential information.</w:t>
      </w:r>
    </w:p>
    <w:p>
      <w:pPr>
        <w:pStyle w:val="TextBody"/>
        <w:bidi w:val="0"/>
        <w:spacing w:before="240" w:after="283"/>
        <w:jc w:val="left"/>
        <w:rPr>
          <w:rFonts w:ascii="Times New Roman" w:hAnsi="Times New Roman"/>
          <w:sz w:val="20"/>
        </w:rPr>
      </w:pPr>
      <w:r>
        <w:rPr>
          <w:rFonts w:ascii="Times New Roman" w:hAnsi="Times New Roman"/>
          <w:color w:val="000000"/>
          <w:sz w:val="18"/>
        </w:rPr>
        <w:t>Given our limited operating history, we are still in the process of implementing our internal information technology security measures. Due to the size and complexity and the increasing amounts of confidential information that are maintained, our internal information technology systems and infrastructure and those of our third-party CROs, vendors and other contractors and consultants are potentially vulnerable to breakdown or other damage, service interruptions, system malfunction, natural disasters, terrorism, war and telecommunication and electrical failures, as well as cyber-attacks or security compromises, incidents, or breaches from inadvertent or intentional actions by our employees, third-party CROs, vendors, contractors, consultants and/or third parties with whom we do business, or from cyber-attacks or security compromises, incidents, or breaches by malicious third parties (including the deployment of harmful malware, ransomware, digital extortion, denial-of-service attacks, supply chain attacks, social engineering and business email compromises, and other means to affect service reliability and threaten the confidentiality, integrity, availability, and security of systems, infrastructure or information), which may compromise our systems and infrastructure or those of our partners, third-party CROs, vendors, contractors, consultants and/or third parties with whom we do business, or lead to data leakage or compromise.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similar events relating to the information technology systems of our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third-party collaborators who we rely on for the manufacture of our product candidates and to conduct clinical trials could also have a material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risk of a security breach or disruption, particularly through cyber-attacks or cyber intrusion, including by computer hackers, insider threats, foreign governments, and cyber terrorists, has generally increased as the frequency, persistence, intensity and sophistication of attempted attacks and intrusions from around the world have increased, including potentially in connection with the ongoing conflict between Russia and Ukraine.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insider threats and outside groups such as external service providers, organized crime affiliates, terrorist organizations or hostile foreign governments or agencies, or generated using artificial intelligence. In addition, changes in how our employees work and access our systems, which began during the COVID-19 pandemic and continue today, when part of our workforce is working remotely, could also lead to opportunities for bad actors to launch cyber-attacks or for employees to cause inadvertent or intentional security risks or incidents. The prevalent use of mobile devices also increases the risk of data security incidents.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also subject to legal obligations concerning cyber security. For example, as a company handling employee information of individuals who reside in Massachusetts, we are required to comply with the Massachusetts Data Security Regulations (201 CMR 17.00), which require the development and implementation of a Comprehensive Written Information Security Program and the maintenance of specific information security protections.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While we have not directly experienced any material system failure, accident or security breach to date, we cannot guarantee that our data protection efforts and our investment in information technology will prevent significant breakdowns, data leakages, or breaches in or compromises of our systems or those of third-party CROs, vendors, contractors, consultants and/or third parties with whom we do business. For example, in March 2023, we were notified that a third-party CMO with whom we collaborate had been subject to a ransomware attack. Based on information made available to us by the third party CMO, we do not believe the third-party CMO ransomware event has had a material impact on our business. While we maintain liability insurance at levels that we believe are appropriate for our business, we cannot assure our investors that it will be sufficient in type or amount to cover us against all claims related to security compromises or breaches, cyberattacks and other related breaches. To the extent that any disruption or security compromises, incident, or breach were to result in a loss of, or damage to, our systems, infrastructure, data or applications, or inappropriate disclosure of confidential or proprietary information, we could incur liability, our competitive position could be harmed, the further development and commercialization of our product candidates or any future product candidates could be hindered or delayed, we could be required to expend significant amounts of money and other resources to repair, remediate, or replace our information systems or networks, the market perception of the effectiveness of our security measures could be harmed and our reputation and credibility could be damaged. Furthermore, any failure or perceived failure by us or any third-party collaborators, service providers, contractors or consultants to comply with our privacy, confidentiality, data security or similar obligations to third parties, or any data security incidents or other security compromises or breaches that result in the unauthorized access, use, acquisition, disclosure, release or transfer of confidential or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compromises and breaches can be difficult to detect, and any delay in identifying or remediating them may lead to increased harm. While we have implemented data security measures intended to protect our information technology systems and infrastructure, there can be no assurance that such measures will successfully prevent service interruptions or data security incidents or compromises, including security breaches.</w:t>
      </w:r>
    </w:p>
    <w:p>
      <w:pPr>
        <w:pStyle w:val="TextBody"/>
        <w:bidi w:val="0"/>
        <w:spacing w:before="240" w:after="283"/>
        <w:jc w:val="left"/>
        <w:rPr>
          <w:rFonts w:ascii="Times New Roman" w:hAnsi="Times New Roman"/>
          <w:sz w:val="20"/>
        </w:rPr>
      </w:pPr>
      <w:r>
        <w:rPr>
          <w:rFonts w:ascii="Times New Roman" w:hAnsi="Times New Roman"/>
          <w:b/>
          <w:i/>
          <w:color w:val="000000"/>
          <w:sz w:val="18"/>
        </w:rPr>
        <w:t>If we fail to comply with applicable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Compliance with applicable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environmental, health and safety laws and regulations is expensive, and current or future environmental regulations may impair our business, prospects,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current operations are located in Massachusetts; however, we rely on third parties, including those that are located outside the United States, and we or the third parties upon whom we depend may be adversely affected by natural disasters or other unplanned events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current operations are located in Massachusetts. Any unplanned event, such as flood, fire, explosion, earthquake, extreme weather condition, medical epidemics, geopolitical conflicts, power shortage, telecommunication failure or other natural or man-made accidents or incidents that result in us being unable to fully utilize our facilities, or the facilities of our third-party contract manufacturers or CROs,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Natural disasters or pandemics similar to the COVID-19 pandemic could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facilities of our third-party contract manufacturers or CROs,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facilities of our third-party contract manufacturers or CROs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Trading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trading price of our common stock historically has been volatile, which may affect the price at which you could sell any shares of our common stock. Securities class action or other litigation involving our company or members of our management team could also substantially harm our business,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market price for our common stock historically has been volatile and could continue to be subject to wide fluctuations in response to various factors. Since shares of our common stock were sold in our initial public offering, or IPO, in July 2020 at a price of $20.00 per share, our stock price has fluctuated significantly, ranging from an intraday low of $5.95 to an intraday high of $64.37 through February 16, 2024. This volatility may affect the price at which you could resell the common stock. Our stock price is likely to continue to be volatile and subject to significant price and volume fluctuations in response to market and other factors, including the factors described below. The stock market in general and Nasdaq and the market for biopharmaceutical companies in particular, have experienced extreme volatility that has often been unrelated or disproportionate to the operating performance of these companies.</w:t>
      </w:r>
    </w:p>
    <w:p>
      <w:pPr>
        <w:pStyle w:val="TextBody"/>
        <w:bidi w:val="0"/>
        <w:spacing w:before="240" w:after="283"/>
        <w:jc w:val="left"/>
        <w:rPr>
          <w:rFonts w:ascii="Times New Roman" w:hAnsi="Times New Roman"/>
          <w:sz w:val="20"/>
        </w:rPr>
      </w:pPr>
      <w:r>
        <w:rPr>
          <w:rFonts w:ascii="Times New Roman" w:hAnsi="Times New Roman"/>
          <w:color w:val="000000"/>
          <w:sz w:val="18"/>
        </w:rPr>
        <w:t>The market price for our common stock may be influenced by many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competitive products or technologies;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results of clinical trials of our product candidates or those of our competitors;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regulatory or legal developments in the United States and other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developments or disputes concerning patent applications, issued patents or other proprietary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recruitment or departure of key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level of expenses related to any of our product candidates or clinical development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results of our efforts to discover, develop, acquire or in-license additional product candidates or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actual or anticipated changes in estimates as to financial results, development timelines or recommendations by securities analysts;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sales of a substantial number of shares of our common stock in the public market, or the perception in the market that the holders of a large number of shares intend to sell shares;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variations in our financial results or those of companies that are perceived to be similar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changes in the structure of healthcare payment systems;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market conditions in the pharmaceutical and biotechnology sectors;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general economic, industry and market conditions;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other factors described in this "Risk Factors" section.</w:t>
      </w:r>
    </w:p>
    <w:p>
      <w:pPr>
        <w:pStyle w:val="TextBody"/>
        <w:bidi w:val="0"/>
        <w:spacing w:before="240" w:after="283"/>
        <w:jc w:val="left"/>
        <w:rPr>
          <w:rFonts w:ascii="Times New Roman" w:hAnsi="Times New Roman"/>
          <w:sz w:val="20"/>
        </w:rPr>
      </w:pPr>
      <w:r>
        <w:rPr>
          <w:rFonts w:ascii="Times New Roman" w:hAnsi="Times New Roman"/>
          <w:color w:val="000000"/>
          <w:sz w:val="18"/>
        </w:rPr>
        <w:t>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An active trading market for our common stock may not be sustained.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Dividends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Because we do not anticipate paying any cash dividends on our capital stock in the foreseeable future, capital appreciation, if any, will be your sole source of gain.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General Risk Factors</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Insider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executive officers, directors, principal stockholders and their affiliates exercise significant control over our company, which will limit your ability to influence corporate matters and could delay or prevent a change in corporate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the holdings of our executive officers, directors, principal stockholders and their affiliates, represented beneficial ownership, in the aggregate, of approximately 54.3% of our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those of our public market investors and the concentration of voting power among these stockholders may have an adverse effect on the price of our common stock. In addition, this concentration of ownership might adversely affect the market price of our common stock by:</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delaying, deferring or preventing a change of control of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impeding a merger, consolidation, takeover or other business combination involving us;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discouraging a potential acquirer from making a tender offer or otherwise attempting to obtain control of us.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Tax</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 Section 382 of the Internal Revenue Code of 1986, as amended, or the IRC,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experience ownership changes in the future as a result of subsequent shifts in our stock ownership. As of December 31, 2023 we had federal net operating loss carryforwards of approximately $498.0 million, and our ability to utilize those net operating loss carryforwards could be limited by an "ownership change" as described above.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Comprehensive tax reform legislation could adversely affect our business and financial condition.</w:t>
      </w:r>
    </w:p>
    <w:p>
      <w:pPr>
        <w:pStyle w:val="TextBody"/>
        <w:bidi w:val="0"/>
        <w:spacing w:before="240" w:after="283"/>
        <w:jc w:val="left"/>
        <w:rPr>
          <w:rFonts w:ascii="Times New Roman" w:hAnsi="Times New Roman"/>
          <w:sz w:val="20"/>
        </w:rPr>
      </w:pPr>
      <w:r>
        <w:rPr>
          <w:rFonts w:ascii="Times New Roman" w:hAnsi="Times New Roman"/>
          <w:color w:val="000000"/>
          <w:sz w:val="18"/>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Additional changes to U.S. federal income tax law are currently being contemplated, and future changes in tax laws could have a material adverse effect on our business, cash flow, financial condition or results of operations.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You are urged to consult your tax advisor regarding the implications of potential changes in tax laws on an investment in our common stock.</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Operating as a Public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incurred and will continue to incur increased costs as a result of operating as a public company, and our management has devoted and will continue to devote substantial time to compliance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a public company, we have incurred and expect to incur significant legal, accounting and other expenses.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will continue to increase our legal and financial compliance costs and will make some activities more time-consuming and costly.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Pursuant to Section 404 of the Sarbanes-Oxley Act of 2002, or Section 404, we are required to furnish a report by our management on our internal control over financial reporting. We are required to include with our annual reports an attestation report on internal control over financial reporting issued by our independent registered public accounting firm.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This could result in an adverse reaction in the financial markets due to a loss of confidence in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reliability of our financial statements. In addition, if we are not able to continue to meet these requirements, we may not be able to remain listed on Nasdaq.</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Our Charter and Bylaws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Anti-takeover provisions in our charter documents and under Delaware law could make an acquisition of us, which may be beneficial to our stockholders, more difficult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fourth amended and restated certificate of incorporation, as amended, the Certificate of Incorporation, and our amended and restated bylaws, as amended, the Bylaws, contain provisions that could delay or prevent a change of control of our company or changes in our board of directors that our stockholders might consider favorable. Some of these provisions include: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board of directors divided into three classes serving staggered three-year terms, such that not all members of the board will be elected at one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prohibition on stockholder action through written consent, which requires that all stockholder actions be taken at a meeting of our stockholders;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advance notice requirements for stockholder proposals and nominations for election to our board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requirement that no member of our board of directors may be removed from office by our stockholders except for cause and, in addition to any other vote required by law, upon the approval of not less than two-thirds (2/3) of all outstanding shares of our voting stock then entitled to vote in the election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authority of the board of directors to issue preferred stock on terms determined by the board of directors without stockholder approval, which preferred stock may include rights superior to the rights of the holders of common stock.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elect directors of your choosing or cause us to take other corporate actions you desire. Any delay or prevention of a change of control transaction or changes in our board of directors could cause the market price of our common stock to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Bylaws designate specific courts as the exclusive forum for certain litigation that may be initiated by our stockholders,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Pursuant to our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Delaware General Corporation Law, our Certificate of Incorporation or our Bylaws; or (4) any action asserting a claim governed by the internal affairs doctrine, or the Delaware Forum Provision. The Delaware Forum Provision will not apply to any causes of action arising under the Securities Act or the Exchange Act. Our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recognize that the Delaware Forum Provision and the Federal Forum Provision in our Bylaws may impose additional litigation costs on stockholders in pursuing any such claims, particularly if the stockholders do not reside in or near the State of Delaware or the Commonwealth of Massachusetts. Additionally, the forum selection clauses in our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Securities Analysts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trading market for our common stock will rely in part on the research and reports that industry or securities analysts publish about us or our business. If one or more of the analysts covering our stock downgrade their evaluations of our stock or publishes inaccurate or unfavorable research about our business, the trading price of our stock may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6" w:name="item_1b_unresolved_staff_comments"/>
      <w:bookmarkEnd w:id="6"/>
      <w:r>
        <w:rPr>
          <w:rFonts w:ascii="Times New Roman" w:hAnsi="Times New Roman"/>
          <w:b/>
          <w:color w:val="000000"/>
          <w:sz w:val="18"/>
        </w:rPr>
        <w:t>Item 1B. Unresolved Staff Comments.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240" w:after="283"/>
        <w:jc w:val="left"/>
        <w:rPr>
          <w:rFonts w:ascii="Times New Roman" w:hAnsi="Times New Roman"/>
          <w:b/>
          <w:color w:val="000000"/>
          <w:sz w:val="18"/>
        </w:rPr>
      </w:pPr>
      <w:bookmarkStart w:id="7" w:name="item_1c_cybersecurity"/>
      <w:bookmarkEnd w:id="7"/>
      <w:r>
        <w:rPr>
          <w:rFonts w:ascii="Times New Roman" w:hAnsi="Times New Roman"/>
          <w:b/>
          <w:color w:val="000000"/>
          <w:sz w:val="18"/>
        </w:rPr>
        <w:t>Item 1C. Cybersecurity.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Cyber Risk Management and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implemented and maintain a cybersecurity risk management program that includes processes for the identification, assessment and mitigation of cybersecurity risks. This process is overseen by the Director of IT Operations and Information Security, or the IT Director, and includes periodic security assessments, audits, and testing, which are informed by industry standards and supported by cybersecurity technologies, including automated tools, designed to monitor, identify and address cybersecurity risks. We periodically engage with third parties to support these efforts. We maintain internal information security policies, including an incident response plan, which are reviewed by or at the direction of the IT Director and are updated periodically to reflect material changes and improvement in our information security practices. We have a process to assess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review the cybersecurity practices of third-party vendors and service providers prior to onboarding and periodically throughout the engagement, including through vendor questionnaires and contractual requirements, as appropriate.</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Governance Related to Cybersecurity Risks</w:t>
      </w:r>
    </w:p>
    <w:p>
      <w:pPr>
        <w:pStyle w:val="TextBody"/>
        <w:bidi w:val="0"/>
        <w:spacing w:before="240" w:after="283"/>
        <w:jc w:val="left"/>
        <w:rPr>
          <w:rFonts w:ascii="Times New Roman" w:hAnsi="Times New Roman"/>
          <w:sz w:val="20"/>
        </w:rPr>
      </w:pPr>
      <w:r>
        <w:rPr>
          <w:rFonts w:ascii="Times New Roman" w:hAnsi="Times New Roman"/>
          <w:color w:val="000000"/>
          <w:sz w:val="18"/>
        </w:rPr>
        <w:t>The IT Director oversees and manages the day-to-day functions of our cybersecurity risk management program. The IT Director reports to the VP of Information Technology and Facilities, or VP of IT. The IT Director and VP of IT roles are both held by individuals who each have over twenty years of professional information technology, or IT, management experience. The VP of IT meets regularly with the Audit Committee to report on and discuss information security and technology risks to our business, including our cyber risk management programs, controls and procedures. The VP of IT and the Audit Committee also conduct a high-level review of the threat landscape facing our business, discuss risk mitigation strategies and the prioritization of our remediation efforts.</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The IT Director meets periodically with members of the Relay Information Security Council, or RISC, which is comprised of the VP of IT and senior leaders from various functions, including finance, legal, human resources, corporate development and research and development. The RISC provides input to the IT Director in connection with proposed cyber strategies as it relates to potential business impacts from new or proposed technologies and security solutions across the organization, including implementation strategies designed to address potential risks and disruptions to the business. In the event we or one of our business partners experiences a cybersecurity incident, the RISC is responsible for assisting in evaluating the incident, including whether any disclosure of the incident is required. The VP of IT reports to the Audit Committee on cyber initiatives and implementation resulting from RISC discussions.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Through the Audit Committee, the Board of Directors is informed of: (i) security initiatives, (ii) existing and emerging cybersecurity risks, including cybersecurity incidents; and (ii) any disclosure obligations arising from any cybersecurity incidents. The Board of Directors oversees our general risk management strategy and the most significant risks facing our business, and is responsible for ensuring that appropriate risk mitigation strategies are implemented.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8" w:name="item_2_properties"/>
      <w:bookmarkEnd w:id="8"/>
      <w:r>
        <w:rPr>
          <w:rFonts w:ascii="Times New Roman" w:hAnsi="Times New Roman"/>
          <w:b/>
          <w:color w:val="000000"/>
          <w:sz w:val="18"/>
        </w:rPr>
        <w:t>Item 2. Properties.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corporate headquarters are located in Cambridge, Massachusetts.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occupy approximately (a) 46,631 square feet of office and laboratory space at 399 Binney Street, Cambridge, Massachusetts 02139, the lease term for which expires on April 30, 2029, with an option to extend the term by five years with 12 to 15 months' notice at agreed upon market rates, and (b) 41,474 square feet of office and laboratory space at 60 Hampshire Street, Cambridge, Massachusetts 02139, the lease term for which expires on June 30, 2032.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pStyle w:val="TextBody"/>
        <w:bidi w:val="0"/>
        <w:spacing w:before="240" w:after="283"/>
        <w:jc w:val="left"/>
        <w:rPr>
          <w:rFonts w:ascii="Times New Roman" w:hAnsi="Times New Roman"/>
          <w:sz w:val="20"/>
        </w:rPr>
      </w:pPr>
      <w:bookmarkStart w:id="9" w:name="item_3_legal_proceedings"/>
      <w:bookmarkEnd w:id="9"/>
      <w:r>
        <w:rPr>
          <w:rFonts w:ascii="Times New Roman" w:hAnsi="Times New Roman"/>
          <w:b/>
          <w:color w:val="000000"/>
          <w:sz w:val="18"/>
        </w:rPr>
        <w:t>Item 3. 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bookmarkStart w:id="10" w:name="item_4_mine_safety"/>
      <w:bookmarkEnd w:id="10"/>
      <w:r>
        <w:rPr>
          <w:rFonts w:ascii="Times New Roman" w:hAnsi="Times New Roman"/>
          <w:b/>
          <w:color w:val="000000"/>
          <w:sz w:val="18"/>
        </w:rPr>
        <w:t>Item 4. Mine Safety Disclosures.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18"/>
        </w:rPr>
        <w:t>PA</w:t>
      </w:r>
      <w:bookmarkStart w:id="12" w:name="part_ii_"/>
      <w:bookmarkEnd w:id="12"/>
      <w:r>
        <w:rPr>
          <w:rFonts w:ascii="Times New Roman" w:hAnsi="Times New Roman"/>
          <w:b/>
          <w:color w:val="000000"/>
          <w:sz w:val="18"/>
        </w:rPr>
        <w:t>RT II</w:t>
      </w:r>
    </w:p>
    <w:p>
      <w:pPr>
        <w:pStyle w:val="TextBody"/>
        <w:bidi w:val="0"/>
        <w:spacing w:before="240" w:after="283"/>
        <w:jc w:val="left"/>
        <w:rPr>
          <w:rFonts w:ascii="Times New Roman" w:hAnsi="Times New Roman"/>
          <w:sz w:val="20"/>
        </w:rPr>
      </w:pPr>
      <w:bookmarkStart w:id="13" w:name="item_5_market_for_registrants_common_equ"/>
      <w:bookmarkEnd w:id="13"/>
      <w:r>
        <w:rPr>
          <w:rFonts w:ascii="Times New Roman" w:hAnsi="Times New Roman"/>
          <w:b/>
          <w:color w:val="000000"/>
          <w:sz w:val="18"/>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Certain Information Regarding the Trading of Our Common Stock</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common stock trades under the symbol "RLAY" on the Nasdaq Global Market and has been publicly traded since July 16, 2020. Prior to this time, there was no public market for our common stock.</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Holders of Our Common Stock</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February 1, 2024, there were approximately 47 holders of record of shares of our common stock. This number does not include stockholders for whom shares are held in "nominee" or "street" name.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Dividends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Stock Performance Graph</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July 2020, we issued 23,000,000 shares of our common stock in our IPO at a price of $20.00 per share. The following performance graph compares the performance of our common stock to the Nasdaq Composite Index and to the Nasdaq Biotechnology Index from July 16, 2020, the closing market price on the first trading day of our common stock, through December 31, 2023. The comparison assumes $100 was invested in our common stock and in each of the foregoing indices after the market closed on July 16, 2020 and it assumes reinvestment of dividends, if any. The stock price performance included in this graph is not necessarily indicative of, nor is it intended to forecast, future stock price performance.</w:t>
      </w:r>
    </w:p>
    <w:p>
      <w:pPr>
        <w:pStyle w:val="TextBody"/>
        <w:bidi w:val="0"/>
        <w:spacing w:before="240" w:after="283"/>
        <w:jc w:val="center"/>
        <w:rPr/>
      </w:pPr>
      <w:r>
        <w:rPr/>
        <w:drawing>
          <wp:inline distT="0" distB="0" distL="0" distR="0">
            <wp:extent cx="5943600" cy="304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43600" cy="3048000"/>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Securities Authorized for Issuance Under Equity Compensation Plans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Information about our equity compensation plans will be included in our definitive proxy statement to be filed with the SEC with respect to our 2024 Annual Meeting of Stockholders and is incorporated herein by reference.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Unregistered Sales of Equity Securities and Use of Proceeds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Recent Sales of Unregistered Equity Securities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Purchases of Equity Securities by the Issuer and Affiliated Purchasers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did not purchase any of our registered equity securities during the period covered by this Annual Report on Form 10-K.</w:t>
      </w:r>
    </w:p>
    <w:p>
      <w:pPr>
        <w:pStyle w:val="TextBody"/>
        <w:bidi w:val="0"/>
        <w:spacing w:before="240" w:after="283"/>
        <w:jc w:val="left"/>
        <w:rPr>
          <w:rFonts w:ascii="Times New Roman" w:hAnsi="Times New Roman"/>
          <w:b/>
          <w:color w:val="000000"/>
          <w:sz w:val="18"/>
        </w:rPr>
      </w:pPr>
      <w:bookmarkStart w:id="14" w:name="item_6_reserved"/>
      <w:bookmarkEnd w:id="14"/>
      <w:r>
        <w:rPr>
          <w:rFonts w:ascii="Times New Roman" w:hAnsi="Times New Roman"/>
          <w:b/>
          <w:color w:val="000000"/>
          <w:sz w:val="18"/>
        </w:rPr>
        <w:t>Item 6. [Reserved]</w:t>
      </w:r>
    </w:p>
    <w:p>
      <w:pPr>
        <w:pStyle w:val="TextBody"/>
        <w:bidi w:val="0"/>
        <w:spacing w:before="240" w:after="283"/>
        <w:jc w:val="left"/>
        <w:rPr>
          <w:rFonts w:ascii="Times New Roman" w:hAnsi="Times New Roman"/>
          <w:sz w:val="20"/>
        </w:rPr>
      </w:pPr>
      <w:r>
        <w:rPr>
          <w:rFonts w:ascii="Times New Roman" w:hAnsi="Times New Roman"/>
          <w:color w:val="000000"/>
          <w:sz w:val="18"/>
        </w:rPr>
        <w:t>Not applicable.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5" w:name="managements_discussion_and_analysis"/>
      <w:bookmarkEnd w:id="15"/>
      <w:r>
        <w:rPr>
          <w:rFonts w:ascii="Times New Roman" w:hAnsi="Times New Roman"/>
          <w:b/>
          <w:color w:val="000000"/>
          <w:sz w:val="18"/>
        </w:rPr>
        <w:t>Item 7. Management’s Discussion and Analysis</w:t>
      </w:r>
      <w:r>
        <w:rPr>
          <w:rFonts w:ascii="Times New Roman" w:hAnsi="Times New Roman"/>
          <w:color w:val="000000"/>
          <w:sz w:val="20"/>
        </w:rPr>
        <w:t xml:space="preserve"> </w:t>
      </w:r>
      <w:r>
        <w:rPr>
          <w:rFonts w:ascii="Times New Roman" w:hAnsi="Times New Roman"/>
          <w:b/>
          <w:color w:val="000000"/>
          <w:sz w:val="18"/>
        </w:rPr>
        <w:t>of</w:t>
      </w:r>
      <w:bookmarkStart w:id="16" w:name="item_7_managements_discussion_analysis_f"/>
      <w:bookmarkEnd w:id="16"/>
      <w:r>
        <w:rPr>
          <w:rFonts w:ascii="Times New Roman" w:hAnsi="Times New Roman"/>
          <w:color w:val="000000"/>
          <w:sz w:val="20"/>
        </w:rPr>
        <w:t xml:space="preserve"> </w:t>
      </w:r>
      <w:r>
        <w:rPr>
          <w:rFonts w:ascii="Times New Roman" w:hAnsi="Times New Roman"/>
          <w:b/>
          <w:color w:val="000000"/>
          <w:sz w:val="18"/>
        </w:rPr>
        <w:t>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You should read the following discussion and analysis of our financial condition and results of operations together with our consolidated financial statements and the related notes included elsewhere in this Annual Report on Form 10-K. This discussion and other parts of this Annual Report on Form 10-K contain forward-looking statements that involve risks and uncertainties, such as statements of our plans, objectives, expectations, and intentions.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pStyle w:val="TextBody"/>
        <w:bidi w:val="0"/>
        <w:spacing w:before="240" w:after="283"/>
        <w:jc w:val="left"/>
        <w:rPr>
          <w:rFonts w:ascii="Times New Roman" w:hAnsi="Times New Roman"/>
          <w:sz w:val="20"/>
        </w:rPr>
      </w:pPr>
      <w:r>
        <w:rPr>
          <w:rFonts w:ascii="Times New Roman" w:hAnsi="Times New Roman"/>
          <w:b/>
          <w:color w:val="000000"/>
          <w:sz w:val="18"/>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We are a clinical-stage precision medicine company transforming the drug discovery process by combining leading-edge computational and experimental technologies with the goal of bringing life-changing therapies to patients. As we believe we are among the first of a new breed of biotech created at the intersection of complementary techniques and technologies, we aim to push the boundaries of what’s possible in drug discovery. Our Dynamo platform integrates an array of leading-edge computational and experimental approaches designed to drug protein targets that have previously been intractable or inadequately addressed. Our initial focus is on enhancing small molecule therapeutic discovery in targeted oncology and genetic disease indications.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advancing a pipeline of medicine candidates to address targets in precision oncology and genetic disease, including our lead product candidates described below.</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RLY-2608.</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u w:val="single"/>
        </w:rPr>
        <w:t>ReDiscover Trial</w:t>
      </w:r>
      <w:r>
        <w:rPr>
          <w:rFonts w:ascii="Times New Roman" w:hAnsi="Times New Roman"/>
          <w:color w:val="000000"/>
          <w:sz w:val="18"/>
        </w:rPr>
        <w:t>. RLY-2608 is the lead program in our efforts to discover and develop mutant selective inhibitors of PI3Kα. In December 2021, we dosed the first patient in a first-in-human clinical trial for RLY-2608, the first known allosteric, pan-mutant and isoform-selective phosphoinostide 3 kinase alpha, or PI3Kα, inhibitor in clinical development, or the ReDiscover Trial. In April 2022, we initiated the second arm of the dose escalation part of this trial, evaluating RLY-2608 in combination with fulvestrant for patients with HR+, HER2–, PI3Kα-mutated, locally advanced or metastatic breast cancer. In July 2023, we initiated a dose expansion cohort in patients with PI3Kα-mutant, HR+, HER2- locally advanced or metastatic breast cancer, with patients receiving a 600 mg twice daily, or BID, dose of RLY-2608 in combination with fulvestrant. In the fourth quarter of 2023, we initiated two additional dose expansion cohorts of RLY-2608 in combination with fulvestrant – a second 600 mg BID cohort as well as one at 400 mg BID. In the fourth quarter of 2023, we also initiated a triplet combination arm with RLY-2608, fulvestrant and the cyclin dependent kinase 4/6, or CDK 4/6, inhibitor ribociclib.</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u w:val="single"/>
        </w:rPr>
        <w:t>Clinical Data</w:t>
      </w:r>
      <w:r>
        <w:rPr>
          <w:rFonts w:ascii="Times New Roman" w:hAnsi="Times New Roman"/>
          <w:color w:val="000000"/>
          <w:sz w:val="18"/>
        </w:rPr>
        <w:t>. We believe that, overall, while the interim clinical data from the ReDiscover Trial disclosed to date are preliminary, the data support selective target engagement across doses and mutation types with an encouraging interim safety and tolerability profile.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color w:val="000000"/>
          <w:sz w:val="18"/>
        </w:rPr>
        <w:t>Lirafugratinib (RLY-4008).</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u w:val="single"/>
        </w:rPr>
        <w:t>ReFocus Trial</w:t>
      </w:r>
      <w:r>
        <w:rPr>
          <w:rFonts w:ascii="Times New Roman" w:hAnsi="Times New Roman"/>
          <w:color w:val="000000"/>
          <w:sz w:val="18"/>
        </w:rPr>
        <w:t>. Lirafugratinib, or RLY-4008, is a potent, selective and oral small molecule inhibitor of fibroblast growth factor receptor 2, or FGFR2. In the third quarter of 2020, we initiated a first-in-human clinical trial for lirafugratinib, or the ReFocus Trial, which is a two-part global trial in patients with FGFR2-altered tumors. The first part of the trial, or the dose escalation, is complete, and the second part of the trial, or the dose expansion, is ongoing at a 70 mg once daily, or QD, recommended Phase 2 dose. The dose expansion part of the trial includes four cholangiocarcinoma, or CCA, arms and three tumor agnostic (non-CCA) arms. With full enrollment of our pivotal cohort in patients with FGFR2-fusion CCA who have not previously received an FGFR inhibitor and sufficient enrollment of patients across the tumor agnostic arms that we believe will enable us to generate meaningful data, we have closed enrollment for the ReFocus Trial to allow the relevant data to mature and inform our future clinical development decisions.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u w:val="single"/>
        </w:rPr>
        <w:t>Clinical Data</w:t>
      </w:r>
      <w:r>
        <w:rPr>
          <w:rFonts w:ascii="Times New Roman" w:hAnsi="Times New Roman"/>
          <w:color w:val="000000"/>
          <w:sz w:val="18"/>
        </w:rPr>
        <w:t xml:space="preserve">. We believe that while the interim clinical data from the ReFocus Trial disclosed to date are preliminary, the data show interim efficacy signals in the CCA pan-FGFR, or FGFRi, treatment-naïve, FGFR2-fusion CCA cohort and non-CCA solid tumor expansion cohorts and further support our hypothesis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that selective inhibition of FGFR2 can improve the treatment for patients with FGFR2-driven tumors. Additionally, the safety analysis from the interim clinical data disclosed to date for the CCA cohorts and tumor agnostic cohorts has been generally consistent. Most treatment emergent adverse events were expected FGFR2 on-target, low-grade, monitorable, manageable and largely reversible.</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b/>
          <w:color w:val="000000"/>
          <w:sz w:val="18"/>
        </w:rPr>
        <w:t>Migoprotafib (GDC-1971, formerly known as RLY</w:t>
      </w:r>
      <w:r>
        <w:rPr>
          <w:rFonts w:ascii="Times New Roman" w:hAnsi="Times New Roman"/>
          <w:color w:val="000000"/>
          <w:sz w:val="18"/>
        </w:rPr>
        <w:t>-</w:t>
      </w:r>
      <w:r>
        <w:rPr>
          <w:rFonts w:ascii="Times New Roman" w:hAnsi="Times New Roman"/>
          <w:b/>
          <w:color w:val="000000"/>
          <w:sz w:val="18"/>
        </w:rPr>
        <w:t xml:space="preserve">1971). </w:t>
      </w:r>
      <w:r>
        <w:rPr>
          <w:rFonts w:ascii="Times New Roman" w:hAnsi="Times New Roman"/>
          <w:color w:val="000000"/>
          <w:sz w:val="18"/>
        </w:rPr>
        <w:t>In the first quarter of 2020, we initiated a Phase 1a clinical trial for RLY-1971, our inhibitor of Src homology region 2 domain-containing phosphatase-2, or SHP2, as a monotherapy in patients with advanced or metastatic solid tumors. We completed enrollment of this trial in 2022. In December 2020, we entered into a global collaboration and license agreement with Genentech, Inc., a member of the Roche Group, or Genentech, for the development and commercialization of RLY-1971 (now referred to as migoprotafib, or GDC-1971), or the Genentech Agreement. Genentech initiated the cohort of migoprotafib in combination with GDC-6036, its KRAS G12C inhibitor, in a Phase 1b trial in July 2021. Genentech also initiated a Phase 1b trial of migoprotafib in combination with atezolizumab, its PD-L1 antibody, in August 2022, as well as a Phase 1b trial of migoprotafib in combination with either osimertinib or cetuximab, EGFR inhibitors, in July 2023.</w:t>
      </w:r>
    </w:p>
    <w:p>
      <w:pPr>
        <w:pStyle w:val="TextBody"/>
        <w:bidi w:val="0"/>
        <w:spacing w:before="240" w:after="283"/>
        <w:jc w:val="left"/>
        <w:rPr>
          <w:rFonts w:ascii="Times New Roman" w:hAnsi="Times New Roman"/>
          <w:sz w:val="20"/>
        </w:rPr>
      </w:pPr>
      <w:r>
        <w:rPr>
          <w:rFonts w:ascii="Times New Roman" w:hAnsi="Times New Roman"/>
          <w:color w:val="000000"/>
          <w:sz w:val="18"/>
        </w:rPr>
        <w:t>While our initial focus is on precision oncology, we believe our Dynamo platform may also be broadly applied to other areas of precision medicine, such as genetic diseases. In addition to the clinical stage product candidates described above, we have more than seven active discovery stage programs across both precision oncology and genetic diseases. We are focused on using the novel insights derived from our approach to transform the lives of patients suffering from debilitating and life-threatening diseases through the discovery, development and commercialization of our therapies.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were incorporated in May 2015. We have devoted substantially all of our resources to developing our lead product candidates, developing our innovative computational and experimental approaches on protein motion, building our intellectual property portfolio, business planning, raising capital, and providing general and administrative support for these operations. To date, we have principally financed our operations through private placements of preferred stock and common stock, convertible debt, and proceeds from public offerings of our common stock. We have also received an aggregate of $111.8 million in connection with the Genentech Agreement through December 31, 2023.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August 2021, we entered into a sales agreement, or the Sales Agreement, with Cowen and Company, LLC, or Cowen, pursuant to which we may offer and sell shares of our common stock having aggregate gross proceeds of up to $300.0 million from time to time in "at-the-market" offerings through Cowen, as our sales agent, or At-the-Market Offerings. As of December 31, 2023, we have sold 3,026,072 shares of common stock under the Sales Agreement, from which we have received proceeds of $30.3 million, which are net of $0.8 million in commissions paid to Cowen and other offering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January 2024, we entered into a securities purchase agreement with Nextech Crossover I SCP for the private placement of 2,500,000 shares of common stock at $12.00 per share, or the Private Placement. The aggregate gross proceeds for the Private Placement were approximately $30.0 million, before deducting offering expenses payable by us in 2024.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September 2022, we completed a public offering, or the September 2022 Offering, of 11,320,755 shares of common stock at an offering price of $26.50 per share. We received proceeds of $284.7 million, which was net of $15.3 million in underwriting discounts and commissions, as well as other offering expenses.</w:t>
      </w:r>
    </w:p>
    <w:p>
      <w:pPr>
        <w:pStyle w:val="TextBody"/>
        <w:bidi w:val="0"/>
        <w:spacing w:before="240" w:after="283"/>
        <w:jc w:val="left"/>
        <w:rPr>
          <w:rFonts w:ascii="Times New Roman" w:hAnsi="Times New Roman"/>
          <w:sz w:val="20"/>
        </w:rPr>
      </w:pPr>
      <w:r>
        <w:rPr>
          <w:rFonts w:ascii="Times New Roman" w:hAnsi="Times New Roman"/>
          <w:color w:val="000000"/>
          <w:sz w:val="18"/>
        </w:rPr>
        <w:t>In October 2021, we completed a public offering, or the October 2021 Offering, of 15,188,679 shares of common stock, including the exercise in full of the underwriters’ option to purchase an additional 1,981,132 shares, at an offering price of $26.50 per share. We received proceeds of $382.2 million, which was net of $20.3 million in underwriting discounts and commissions, as well as other offering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July 2020, we closed our initial public offering, or IPO, and issued 23,000,000 shares of our common stock at a price of $20.00 per share for proceeds of $425.3 million, which was net of $34.7 million in underwriting discounts and commissions, as well as other offering expenses. Prior to our IPO, we had received gross proceeds of approximately $520.0 million from sales of preferred stock and issuance of convertible debt.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April 15, 2021, we entered into an Agreement and Plan of Merger, or the Merger Agreement, and on April 22, 2021, we acquired ZebiAI Therapeutics, Inc., or ZebiAI. Pursuant to the Merger Agreement, upfront consideration included (a) payment of approximately $20.0 million in cash and (b) issuance of 1,914,219 shares of our common stock at an aggregate fair value of $61.8 million, both transferred to ZebiAI’s former stockholders, option holders, and warrant holders, or the ZebiAI Holders, upon closing. In addition, (i) the ZebiAI Holders are eligible to receive up to $85.0 million in payments upon the achievement of certain platform or program milestones, payable in shares of our common stock, or the Contingent Milestone Payments, a portion of which was paid to the ZebiAI Holders in 2022 and 2023, and (ii) we will pay 10% of payments we receive within three years of the closing date of the Merger Agreement from partnering, collaboration, or other agreements related to ZebiAI’s platform, up to an aggregate maximum amount of $100.0 million, payable in cash to the ZebiAI 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18"/>
        </w:rPr>
        <w:t>In December 2020, we entered into the Genentech Agreement with Genentech for the development and commercialization of migoprotafib. Under the terms of the Genentech Agreement, we received $75.0 million in an upfront payment in 2021, as well as $45.0 million in milestone payments from Genentech as of the date of this Annual Report on Form 10-K. We are eligible to receive up to an aggregate of $675.0 million in additional payments upon the achievement of other specified development, commercialization, and sales-based milestones for migoprotafib worldwide, as well as tiered royalties ranging from low-to-mid teens on annual worldwide net sales of migoprotafib, on a country-by-country basis, subject to reduction in certain circumstances. We are also eligible to receive additional royalties in the event of regulatory approval of migoprotafib and Genentech’s compound, GDC-6036, that directly binds to and inhibits KRAS G12C, in combination. During the year ended December 31, 2023, we elected to not exercise our option to participate in a U.S. profit/cost share with Genentech, or the Opt-In Right. We also retain the right to develop migoprotafib in combination with our FGFR2 and PI3Kα programs.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Inflation generally affects us by increasing our employee-related costs and clinical trial expenses, as well as other operating expenses. Our financial condition and results of operations may also be impacted by other factors we may not be able to control, such as public health crises, global supply chain disruptions, uncertain global economic conditions, global trade disputes or political instability as further discussed in the section "Risk Factors" in this Annual Report on Form 10-K. We do not believe that such factors had a material adverse impact on our results of operations during the years ended December 31, 2023, 2022, and 2021.</w:t>
      </w:r>
    </w:p>
    <w:p>
      <w:pPr>
        <w:pStyle w:val="TextBody"/>
        <w:bidi w:val="0"/>
        <w:spacing w:before="240" w:after="283"/>
        <w:jc w:val="left"/>
        <w:rPr>
          <w:rFonts w:ascii="Times New Roman" w:hAnsi="Times New Roman"/>
          <w:sz w:val="20"/>
        </w:rPr>
      </w:pPr>
      <w:r>
        <w:rPr>
          <w:rFonts w:ascii="Times New Roman" w:hAnsi="Times New Roman"/>
          <w:color w:val="000000"/>
          <w:sz w:val="18"/>
        </w:rPr>
        <w:t>Since our inception, we have incurred significant operating losses on an aggregate basis. Our ability to generate product revenue sufficient to achieve profitability will depend on the successful development and eventual commercialization of one or more of our current or future product candidates. Our net losses were $342.0 million, $290.5 million, and $363.9 million for the years ended December 31, 2023, 2022, and 2021, respectively. As of December 31, 2023, we had an accumulated deficit of $1.4 billion. These losses have resulted primarily from costs incurred in connection with research and development activities, licensing and patent investment, and general and administrative costs associated with our operations. We expect to continue to incur significant expenses</w:t>
      </w:r>
      <w:r>
        <w:rPr>
          <w:rFonts w:ascii="Times New Roman" w:hAnsi="Times New Roman"/>
          <w:color w:val="231F20"/>
          <w:sz w:val="18"/>
        </w:rPr>
        <w:t>, including the costs of operating as a public company,</w:t>
      </w:r>
      <w:r>
        <w:rPr>
          <w:rFonts w:ascii="Times New Roman" w:hAnsi="Times New Roman"/>
          <w:color w:val="000000"/>
          <w:sz w:val="20"/>
        </w:rPr>
        <w:t xml:space="preserve"> </w:t>
      </w:r>
      <w:r>
        <w:rPr>
          <w:rFonts w:ascii="Times New Roman" w:hAnsi="Times New Roman"/>
          <w:color w:val="000000"/>
          <w:sz w:val="18"/>
        </w:rPr>
        <w:t xml:space="preserve">and </w:t>
      </w:r>
      <w:r>
        <w:rPr>
          <w:rFonts w:ascii="Times New Roman" w:hAnsi="Times New Roman"/>
          <w:color w:val="231F20"/>
          <w:sz w:val="18"/>
        </w:rPr>
        <w:t xml:space="preserve">generate </w:t>
      </w:r>
      <w:r>
        <w:rPr>
          <w:rFonts w:ascii="Times New Roman" w:hAnsi="Times New Roman"/>
          <w:color w:val="000000"/>
          <w:sz w:val="18"/>
        </w:rPr>
        <w:t>increasing operating losses for at least the next several years.</w:t>
      </w:r>
    </w:p>
    <w:p>
      <w:pPr>
        <w:pStyle w:val="TextBody"/>
        <w:bidi w:val="0"/>
        <w:spacing w:before="240" w:after="283"/>
        <w:jc w:val="left"/>
        <w:rPr>
          <w:rFonts w:ascii="Times New Roman" w:hAnsi="Times New Roman"/>
          <w:sz w:val="20"/>
        </w:rPr>
      </w:pPr>
      <w:r>
        <w:rPr>
          <w:rFonts w:ascii="Times New Roman" w:hAnsi="Times New Roman"/>
          <w:color w:val="000000"/>
          <w:sz w:val="18"/>
        </w:rPr>
        <w:t>We anticipate that our expenses will increase substantially if and as we: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conduct our current and future clinical trials of our lead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conduct additional preclinical research and development of our early-stage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initiate and continue research and preclinical and clinical development of our other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seek to identify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pursue marketing approvals for any of our product candidates that successfully complete clinical trials,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establish a sales, marketing and distribution infrastructure to commercialize any products for which we may obtain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require the manufacture of larger quantities of our product candidates for clinical development and potentially commercialization;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obtain, maintain, expand and protect our intellectual property portfolio;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acquire or in-license other drugs and technologies;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hire and retain additional clinical, regulatory, quality and scientific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build out new facilities or expand existing facilities to support our ongoing development activity;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add operational, financial and management information systems and personnel, including personnel to support our drug development, any future commercialization efforts and our operations as a public company.</w:t>
      </w:r>
    </w:p>
    <w:p>
      <w:pPr>
        <w:pStyle w:val="TextBody"/>
        <w:bidi w:val="0"/>
        <w:spacing w:before="240" w:after="283"/>
        <w:jc w:val="left"/>
        <w:rPr>
          <w:rFonts w:ascii="Times New Roman" w:hAnsi="Times New Roman"/>
          <w:sz w:val="20"/>
        </w:rPr>
      </w:pPr>
      <w:r>
        <w:rPr>
          <w:rFonts w:ascii="Times New Roman" w:hAnsi="Times New Roman"/>
          <w:color w:val="000000"/>
          <w:sz w:val="18"/>
        </w:rPr>
        <w:t>In addition, if we obtain marketing approval for any of our lead product candidates, we expect to incur significant commercialization expenses related to product manufacturing, marketing, sales and distribution.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or commercialization of one or more of our product candidates.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may be forced to reduce or terminate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believe our cash, cash equivalents, and investments of $750.1 million as of December 31, 2023 will enable us to fund our operating expenses and capital expenditure requirements into the second half of 2026. We have based this estimate on assumptions that may prove to be wrong, and we could exhaust our available capital resources sooner than we expect. We will need to raise additional capital in the future to continue developing the drugs in our pipeline and to commercialize any approved drug. We may seek to obtain additional financing in the future through the issuance of our common stock, through other equity or debt financings or through collaborations or partnerships with other companies. We may not be able to raise additional capital on terms acceptable to us, or at all, and any failure to raise capital as and when needed could compromise our ability to execute on our business plan.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Components of our Results of Operations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Revenue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To date, our revenue primarily consists of amounts related to the Genentech Agreement.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Operating Expenses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Research and Development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expenses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salaries, benefits, and other employee related costs, including stock compensation expense, for personnel engaged in research and development functions;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costs of outside consultants, including their fees, stock compensation, and related travel expenses;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expenses incurred under agreements with contract research organizations, or CROs, contract manufacturing organizations, or CMOs, and other vendors that conduct our clinical trials and preclinical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costs of acquiring, developing, and manufacturing clinical trial materials and lab supplies;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costs related to compliance with regulatory requirements;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facility costs, depreciation and other expenses, which include direct and allocated expenses for rent and maintenance of facilities, insurance and other supplies. We do not allocate certain internal costs, facilities, or overhead costs to specific development programs.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expense research and development costs as the services are performed or the goods are received. We recognize costs for certain development activities, such as clinical trials, based on an evaluation of the progress to completion of specific tasks using data such as patient enrollment, clinical site activations, or other information provided to us by our vendors and our clinical investigative sites. Payments for these activities are based on the terms of the individual agreements, which may differ from the pattern of costs incurred, and are reflected in our financial statements as prepaid expenses or accrued research and development expenses.</w:t>
      </w:r>
    </w:p>
    <w:p>
      <w:pPr>
        <w:pStyle w:val="TextBody"/>
        <w:bidi w:val="0"/>
        <w:spacing w:before="240" w:after="283"/>
        <w:jc w:val="left"/>
        <w:rPr>
          <w:rFonts w:ascii="Times New Roman" w:hAnsi="Times New Roman"/>
          <w:sz w:val="20"/>
        </w:rPr>
      </w:pPr>
      <w:r>
        <w:rPr>
          <w:rFonts w:ascii="Times New Roman" w:hAnsi="Times New Roman"/>
          <w:color w:val="000000"/>
          <w:sz w:val="18"/>
        </w:rPr>
        <w:t>Our lead product candidates are in clinical development. We also have more than seven active discovery stage programs across both precision oncology and genetic diseases. Costs incurred for these programs include costs incurred to support our discovery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translational science efforts up to the initiation of first-in-human clinical development. Platform research and other research and development activities include costs that are not specifically allocated to active product candidates, including facilities costs, depreciation expense and other costs. Employee related expenses include salary, wages, stock compensation, and other costs related to our personnel, which are not allocated to specific programs or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cannot determine with certainty the duration and costs of future clinical trials and future development costs, if, when, or to what extent we will generate revenue from the commercialization and sale of any of our product candidates for which we obtain marketing approval or our other research and development costs. We may never succeed in obtaining marketing approval for any of our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duration, costs, and timing of clinical trials and development of our product candidates will depend on a variety of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rate of progress, expense, and results of our preclinical development activities, any future clinical trials of our lead product candidates, or other product candidates and other research and development activities that we may conduct;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uncertainties in clinical trial design and patient enrollment or drop out or discontinuation rates;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establishing an appropriate safety and efficacy profile with IND-enabling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initiation and completion of future clinical trial results;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timing, receipt, and terms of any approvals from applicable regulatory authorities including the FDA and non-U.S. regulators;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significant and changing government regulation and regulatory guidance;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potential additional studies requested by regulatory agencies;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establishing clinical and commercial manufacturing capabilities or making arrangements with third-party manufacturers in order to ensure that we or our third-party manufacturers are able to make product successfully;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any business interruptions to our operations, including the timing and enrollment of patients in our planned clinical trials, or to those of our manufacturers, suppliers, or other vendors resulting from any public health crisis or ongoing geopolitical conflicts and related global economic sanctions;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expense of filing, prosecuting, defending, and enforcing any patent claims and other intellectual property rights;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maintaining a continued acceptable safety profile of our product candidates following approval, if any, of our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for the foreseeable future as we continue to conduct clinical trials of our lead product candidates, as well as identify and develop additional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trial delays due to patient enrollment or other reasons, we would be required to expend significant additional financial resources and time on the completion of clinical development.</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In-Process Research and Development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In-process research and development expenses consist of the cost of acquiring in-process research and development assets that have no alternative future use, specifically in connection with our acquisition of ZebiAI. We do not expect to record incremental expenses in connection therewith in future periods.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Loss on Initial Consolidation of Variable Interest Entity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Loss on initial consolidation of variable interest entity consists of the difference between total consideration transferred and the fair value of net assets acquired and liabilities assumed in connection with our acquisition of ZebiAI. We do not expect to record incremental losses in connection therewith in future periods.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Change in Fair Value of Contingent Consideration Liability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Change in fair value of contingent consideration liability consists of fluctuations in the estimated fair value of Contingent Milestone Payments under the Merger Agreement with ZebiAI. In future periods, we expect the fair value of such Contingent Milestone Payments to increase or decrease based on, among other things, our estimates of the probability of achieving the contingent milestones and timing in connection therewith, as well as, to a lesser extent, changes in market interest rates and the time value of money.</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General and Administrative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 and administrative expenses consist primarily of salaries and other related costs, including stock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other expenses associated with operating as a public company, including compliance with exchange listing and Securities and Exchange Commission, or SEC, requirements, director and officer insurance costs, and investor and public relations costs; travel expenses; and facility-related expenses, which include depreciation costs and allocated expenses for rent and maintenance of facilities and other operating costs.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expect that our general and administrative expenses will increase in the future, as we increase our general and administrative personnel headcount to support personnel in research and development and to support our operations, generally, and as we increase our research and development activities and activities related to the potential commercialization of our product candidates.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Other Income, Net</w:t>
      </w:r>
    </w:p>
    <w:p>
      <w:pPr>
        <w:pStyle w:val="TextBody"/>
        <w:bidi w:val="0"/>
        <w:spacing w:before="240" w:after="283"/>
        <w:jc w:val="left"/>
        <w:rPr>
          <w:rFonts w:ascii="Times New Roman" w:hAnsi="Times New Roman"/>
          <w:sz w:val="20"/>
        </w:rPr>
      </w:pPr>
      <w:r>
        <w:rPr>
          <w:rFonts w:ascii="Times New Roman" w:hAnsi="Times New Roman"/>
          <w:color w:val="000000"/>
          <w:sz w:val="18"/>
        </w:rPr>
        <w:t>Other income, net primarily consists of interest income related to interest earned on our cash, cash equivalents, and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Since our inception in 2015, we have not recorded any U.S. Federal or state income tax benefits for the net losses we have incurred in any year or for our earned research and development tax credits, due to our uncertainty of realizing a benefit from such items.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we had Federal NOL carryforwards of $498.0 million available to reduce taxable income, of which $43.1 million expire beginning in 2035 and $454.9 million do not expire.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we had state NOL carryforwards of $559.7 million available to reduce future state taxable income, which expire at various dates beginning in 2035.</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2023, we had Federal research and development tax credit carryforwards of $38.9 million, which begin to expire in 2035.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2023, we had state research and development tax credit carryforwards of $8.5 million, which begin to expire in 2030.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8"/>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Comparison of years ended December 31, 2023 and 2022</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our results of operations for the years ended December 31, 2023 and 2022:</w:t>
      </w:r>
    </w:p>
    <w:tbl>
      <w:tblPr>
        <w:tblW w:w="8393" w:type="dxa"/>
        <w:jc w:val="left"/>
        <w:tblInd w:w="0" w:type="dxa"/>
        <w:tblLayout w:type="fixed"/>
        <w:tblCellMar>
          <w:top w:w="28" w:type="dxa"/>
          <w:left w:w="28" w:type="dxa"/>
          <w:bottom w:w="28" w:type="dxa"/>
          <w:right w:w="28" w:type="dxa"/>
        </w:tblCellMar>
      </w:tblPr>
      <w:tblGrid>
        <w:gridCol w:w="4281"/>
        <w:gridCol w:w="146"/>
        <w:gridCol w:w="196"/>
        <w:gridCol w:w="751"/>
        <w:gridCol w:w="166"/>
        <w:gridCol w:w="146"/>
        <w:gridCol w:w="196"/>
        <w:gridCol w:w="751"/>
        <w:gridCol w:w="166"/>
        <w:gridCol w:w="146"/>
        <w:gridCol w:w="196"/>
        <w:gridCol w:w="661"/>
        <w:gridCol w:w="591"/>
      </w:tblGrid>
      <w:tr>
        <w:trPr/>
        <w:tc>
          <w:tcPr>
            <w:tcW w:w="4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5" w:type="dxa"/>
            <w:gridSpan w:val="1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42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and other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24,165</w:t>
            </w:r>
          </w:p>
        </w:tc>
        <w:tc>
          <w:tcPr>
            <w:tcW w:w="591" w:type="dxa"/>
            <w:tcBorders/>
            <w:shd w:fill="CFF0FC" w:val="clear"/>
            <w:vAlign w:val="center"/>
          </w:tcPr>
          <w:p>
            <w:pPr>
              <w:pStyle w:val="TableContents"/>
              <w:bidi w:val="0"/>
              <w:spacing w:before="0" w:after="283"/>
              <w:jc w:val="left"/>
              <w:rPr/>
            </w:pPr>
            <w:r>
              <w:rPr/>
              <w:t> </w:t>
            </w:r>
          </w:p>
        </w:tc>
      </w:tr>
      <w:tr>
        <w:trPr/>
        <w:tc>
          <w:tcPr>
            <w:tcW w:w="42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83,663</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fair value of contingent consideration liability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97,890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(373,000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(299,275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(73,725</w:t>
            </w:r>
          </w:p>
        </w:tc>
        <w:tc>
          <w:tcPr>
            <w:tcW w:w="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22,261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(290,509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(51,464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License and Other Revenue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recognized license and other revenue of approximately $25.5 million and $1.4 million for the years ended December 31, 2023 and 2022, respectively. The increase of $24.1 million was primarily due to our election to not exercise the Opt-In Right under the Genentech Agreement during the year ended December 31, 2023. In connection therewith, the transaction price was increased by $25.0 million in variable consideration previously constrained, all of which was recognized as revenue during the year ended December 31, 2023, since each of the performance obligations under the Genentech Agreement were complete as of December 31, 2023. By comparison, we only recognized revenue for research and development services provided under the Genentech Agreement during the year ended December 31, 2022.</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Research and Development Expenses</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summarizes our research and development expenses for the years ended December 31, 2023 and 2022:</w:t>
      </w:r>
    </w:p>
    <w:tbl>
      <w:tblPr>
        <w:tblW w:w="8238" w:type="dxa"/>
        <w:jc w:val="left"/>
        <w:tblInd w:w="0" w:type="dxa"/>
        <w:tblLayout w:type="fixed"/>
        <w:tblCellMar>
          <w:top w:w="28" w:type="dxa"/>
          <w:left w:w="28" w:type="dxa"/>
          <w:bottom w:w="28" w:type="dxa"/>
          <w:right w:w="28" w:type="dxa"/>
        </w:tblCellMar>
      </w:tblPr>
      <w:tblGrid>
        <w:gridCol w:w="4726"/>
        <w:gridCol w:w="146"/>
        <w:gridCol w:w="196"/>
        <w:gridCol w:w="691"/>
        <w:gridCol w:w="146"/>
        <w:gridCol w:w="146"/>
        <w:gridCol w:w="196"/>
        <w:gridCol w:w="691"/>
        <w:gridCol w:w="146"/>
        <w:gridCol w:w="146"/>
        <w:gridCol w:w="196"/>
        <w:gridCol w:w="601"/>
        <w:gridCol w:w="21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r>
      <w:tr>
        <w:trPr/>
        <w:tc>
          <w:tcPr>
            <w:tcW w:w="4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55" w:type="dxa"/>
            <w:gridSpan w:val="1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costs for programs in clinical trials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49,961</w:t>
            </w:r>
          </w:p>
        </w:tc>
        <w:tc>
          <w:tcPr>
            <w:tcW w:w="21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costs for platform technologies and preclinical programs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(6,138</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related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125,471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32,353</w:t>
            </w:r>
          </w:p>
        </w:tc>
        <w:tc>
          <w:tcPr>
            <w:tcW w:w="21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83,663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expenses were $330.0 million for the year ended December 31, 2023 compared to $246.4 million for the year ended December 31, 2022. The increase of $83.7 million was due to $50.0 million of additional external costs in connection with the clinical trials for our lead product candidates, as well as $32.4 million of additional employee costs from increased headcount in our research and development functions, including an increase in stock compensation expense of $17.7 million.</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Change in Fair Value of Contingent Consideration Liability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change in fair value of our contingent consideration liability for Contingent Milestone Payments under the Merger Agreement with ZebiAI was a decrease of $6.4 million for the year ended December 31, 2023 compared to a decrease of $11.7 million for the year ended December 31, 2022. The fluctuation of $5.3 million was primarily attributable to changes in the assumptions underlying the fair value measurement between periods, which we expect to continue through the date on which the milestones must either be achieved or contractually expire.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General and Administrative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 and administrative expenses were $75.0 million for the year ended December 31, 2023 compared to $66.0 million for the year ended December 31, 2022. The increase of $9.0 million was primarily due to an increase in stock compensation expense, offset by decreases in other employee compensation costs, insurance fees, and other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Other Income, Net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Other income, net, was $31.0 million for the year ended December 31, 2023 compared to $8.8 million for the year ended December 31, 2022. The increase of $22.3 million was primarily a result of changes in interest rates.</w:t>
      </w:r>
    </w:p>
    <w:p>
      <w:pPr>
        <w:pStyle w:val="TextBody"/>
        <w:bidi w:val="0"/>
        <w:spacing w:before="240" w:after="283"/>
        <w:jc w:val="left"/>
        <w:rPr>
          <w:rFonts w:ascii="Times New Roman" w:hAnsi="Times New Roman"/>
          <w:sz w:val="20"/>
        </w:rPr>
      </w:pPr>
      <w:r>
        <w:rPr>
          <w:rFonts w:ascii="Times New Roman" w:hAnsi="Times New Roman"/>
          <w:b/>
          <w:i/>
          <w:color w:val="000000"/>
          <w:sz w:val="18"/>
        </w:rPr>
        <w:t>Comparison of years ended December 31, 2022 and 2021</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our results of operations for the years ended December 31, 2022 and 2021:</w:t>
      </w:r>
    </w:p>
    <w:tbl>
      <w:tblPr>
        <w:tblW w:w="8483" w:type="dxa"/>
        <w:jc w:val="left"/>
        <w:tblInd w:w="0" w:type="dxa"/>
        <w:tblLayout w:type="fixed"/>
        <w:tblCellMar>
          <w:top w:w="28" w:type="dxa"/>
          <w:left w:w="28" w:type="dxa"/>
          <w:bottom w:w="28" w:type="dxa"/>
          <w:right w:w="28" w:type="dxa"/>
        </w:tblCellMar>
      </w:tblPr>
      <w:tblGrid>
        <w:gridCol w:w="4281"/>
        <w:gridCol w:w="146"/>
        <w:gridCol w:w="196"/>
        <w:gridCol w:w="751"/>
        <w:gridCol w:w="166"/>
        <w:gridCol w:w="146"/>
        <w:gridCol w:w="196"/>
        <w:gridCol w:w="751"/>
        <w:gridCol w:w="166"/>
        <w:gridCol w:w="146"/>
        <w:gridCol w:w="196"/>
        <w:gridCol w:w="751"/>
        <w:gridCol w:w="591"/>
      </w:tblGrid>
      <w:tr>
        <w:trPr/>
        <w:tc>
          <w:tcPr>
            <w:tcW w:w="4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42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42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and other revenue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w:t>
            </w:r>
          </w:p>
        </w:tc>
        <w:tc>
          <w:tcPr>
            <w:tcW w:w="59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73,705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In-process research and development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(123,000</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initial consolidation of variable interest entity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(11,855</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fair value of contingent consideration liability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(14,513</w:t>
            </w:r>
          </w:p>
        </w:tc>
        <w:tc>
          <w:tcPr>
            <w:tcW w:w="59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8,592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367,727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(299,275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(364,698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65,423</w:t>
            </w:r>
          </w:p>
        </w:tc>
        <w:tc>
          <w:tcPr>
            <w:tcW w:w="591" w:type="dxa"/>
            <w:tcBorders/>
            <w:shd w:fill="CFF0FC" w:val="clear"/>
            <w:vAlign w:val="center"/>
          </w:tcPr>
          <w:p>
            <w:pPr>
              <w:pStyle w:val="TableContents"/>
              <w:bidi w:val="0"/>
              <w:spacing w:before="0" w:after="283"/>
              <w:jc w:val="left"/>
              <w:rPr/>
            </w:pPr>
            <w:r>
              <w:rPr/>
              <w:t> </w:t>
            </w:r>
          </w:p>
        </w:tc>
      </w:tr>
      <w:tr>
        <w:trPr/>
        <w:tc>
          <w:tcPr>
            <w:tcW w:w="42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(290,509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(363,872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73,363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18"/>
        </w:rPr>
        <w:t>License and Other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recognized license and other revenue of approximately $1.4 million and $3.0 million for the years ended December 31, 2022 and 2021, respectively. The decrease of $1.6 million was primarily related to (a) the decrease in research and development services provided under the Genentech Agreement, as we completed enrollment of the Phase 1 clinical trial of migoprotafib in 2022 and were nearing completion of trial activities as of December 31, 2022, and (b) revenue recognized upon the transfer of active pharmaceutical ingredient during the year ended December 31, 2021, for which no revenue was recognized during the year ended December 31, 2022.</w:t>
      </w:r>
    </w:p>
    <w:p>
      <w:pPr>
        <w:pStyle w:val="TextBody"/>
        <w:bidi w:val="0"/>
        <w:spacing w:before="240" w:after="240"/>
        <w:jc w:val="left"/>
        <w:rPr>
          <w:rFonts w:ascii="Times New Roman" w:hAnsi="Times New Roman"/>
          <w:b/>
          <w:i/>
          <w:color w:val="000000"/>
          <w:sz w:val="18"/>
        </w:rPr>
      </w:pPr>
      <w:r>
        <w:rPr>
          <w:rFonts w:ascii="Times New Roman" w:hAnsi="Times New Roman"/>
          <w:b/>
          <w:i/>
          <w:color w:val="000000"/>
          <w:sz w:val="18"/>
        </w:rPr>
        <w:t>Research and Development Expenses</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summarizes our research and development expenses for the years ended December 31, 2022 and 2021:</w:t>
      </w:r>
    </w:p>
    <w:tbl>
      <w:tblPr>
        <w:tblW w:w="8218" w:type="dxa"/>
        <w:jc w:val="left"/>
        <w:tblInd w:w="0" w:type="dxa"/>
        <w:tblLayout w:type="fixed"/>
        <w:tblCellMar>
          <w:top w:w="28" w:type="dxa"/>
          <w:left w:w="28" w:type="dxa"/>
          <w:bottom w:w="28" w:type="dxa"/>
          <w:right w:w="28" w:type="dxa"/>
        </w:tblCellMar>
      </w:tblPr>
      <w:tblGrid>
        <w:gridCol w:w="4726"/>
        <w:gridCol w:w="146"/>
        <w:gridCol w:w="196"/>
        <w:gridCol w:w="691"/>
        <w:gridCol w:w="146"/>
        <w:gridCol w:w="146"/>
        <w:gridCol w:w="196"/>
        <w:gridCol w:w="691"/>
        <w:gridCol w:w="146"/>
        <w:gridCol w:w="146"/>
        <w:gridCol w:w="196"/>
        <w:gridCol w:w="601"/>
        <w:gridCol w:w="19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4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55" w:type="dxa"/>
            <w:gridSpan w:val="1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costs for programs in clinical trials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32,727</w:t>
            </w:r>
          </w:p>
        </w:tc>
        <w:tc>
          <w:tcPr>
            <w:tcW w:w="19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costs for platform technologies and preclinical programs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80,612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10,784</w:t>
            </w:r>
          </w:p>
        </w:tc>
        <w:tc>
          <w:tcPr>
            <w:tcW w:w="191" w:type="dxa"/>
            <w:tcBorders/>
            <w:shd w:fill="FFFFFF" w:val="cle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related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93,118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24,680</w:t>
            </w:r>
          </w:p>
        </w:tc>
        <w:tc>
          <w:tcPr>
            <w:tcW w:w="191" w:type="dxa"/>
            <w:tcBorders/>
            <w:shd w:fill="CFF0FC" w:val="clear"/>
            <w:vAlign w:val="center"/>
          </w:tcPr>
          <w:p>
            <w:pPr>
              <w:pStyle w:val="TableContents"/>
              <w:bidi w:val="0"/>
              <w:spacing w:before="0" w:after="283"/>
              <w:jc w:val="left"/>
              <w:rPr/>
            </w:pPr>
            <w:r>
              <w:rPr/>
              <w:t> </w:t>
            </w:r>
          </w:p>
        </w:tc>
      </w:tr>
      <w:tr>
        <w:trPr/>
        <w:tc>
          <w:tcPr>
            <w:tcW w:w="47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73,705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expenses were $246.4 million for the year ended December 31, 2022 compared to $172.7 million for the year ended December 31, 2021. The increase of $73.7 million was primarily due to $32.7 million of additional external costs in connection with the clinical trials for our lead product candidates, as well as $24.7 million of additional employee costs from increased headcount in our research and development functions, including an increase in stock compensation expense of $5.7 million.</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In-Process Research and Development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In-process research and development expenses of $123.0 million were recognized during the year ended December 31, 2021 in connection with the acquisition of ZebiAI. No such expenses were incurred during the year ended December 31, 2022.</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Loss on Initial Consolidation of Variable Interest Entity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Loss on initial consolidation of variable interest entity of $11.9 million was recognized during the year ended December 31, 2021 in connection with the acquisition of ZebiAI. No such expenses were incurred during the year ended December 31, 2022.</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Change in Fair Value of Contingent Consideration Liability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change in fair value of our contingent consideration liability for Contingent Milestone Payments under the Merger Agreement with ZebiAI was a decrease of $11.7 million for the year ended December 31, 2022 compared to an increase of $2.8 million for the year ended December 31, 2021. The fluctuation of $14.5 million was primarily attributable to changes in the assumptions underlying the fair value measurement between periods, which we expect to continue through the date on which the milestones must either be achieved or contractually expire.</w:t>
      </w:r>
    </w:p>
    <w:p>
      <w:pPr>
        <w:pStyle w:val="TextBody"/>
        <w:bidi w:val="0"/>
        <w:spacing w:before="240" w:after="283"/>
        <w:jc w:val="left"/>
        <w:rPr>
          <w:rFonts w:ascii="Times New Roman" w:hAnsi="Times New Roman"/>
          <w:sz w:val="20"/>
        </w:rPr>
      </w:pPr>
      <w:r>
        <w:rPr>
          <w:rFonts w:ascii="Times New Roman" w:hAnsi="Times New Roman"/>
          <w:b/>
          <w:i/>
          <w:color w:val="000000"/>
          <w:sz w:val="18"/>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 and administrative expenses were $66.0 million for the year ended December 31, 2022 compared to $57.4 million for the year ended December 31, 2021. The increase of $8.6 million was primarily due to $9.2 million of additional employee costs from increased headcount in our general and administrative functions, including an increase of $1.9 million in stock compensation expense, offset by individually insignificant fluctuations in other general and administrative expenses.</w:t>
      </w:r>
    </w:p>
    <w:p>
      <w:pPr>
        <w:pStyle w:val="TextBody"/>
        <w:bidi w:val="0"/>
        <w:spacing w:before="240" w:after="283"/>
        <w:jc w:val="left"/>
        <w:rPr>
          <w:rFonts w:ascii="Times New Roman" w:hAnsi="Times New Roman"/>
          <w:sz w:val="20"/>
        </w:rPr>
      </w:pPr>
      <w:r>
        <w:rPr>
          <w:rFonts w:ascii="Times New Roman" w:hAnsi="Times New Roman"/>
          <w:b/>
          <w:i/>
          <w:color w:val="000000"/>
          <w:sz w:val="18"/>
        </w:rPr>
        <w:t>Other Income (Expense),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Other income, net, was $8.8 million for the year ended December 31, 2022 compared to $0.8 million for the year ended December 31, 2021. The increase of $7.9 million was primarily a result of changes in interest rates.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Liquidity and Capital Resources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2023, we had cash, cash equivalents, and investments of $750.1 million.</w:t>
      </w:r>
    </w:p>
    <w:p>
      <w:pPr>
        <w:pStyle w:val="TextBody"/>
        <w:bidi w:val="0"/>
        <w:spacing w:before="240" w:after="283"/>
        <w:jc w:val="left"/>
        <w:rPr>
          <w:rFonts w:ascii="Times New Roman" w:hAnsi="Times New Roman"/>
          <w:sz w:val="20"/>
        </w:rPr>
      </w:pPr>
      <w:r>
        <w:rPr>
          <w:rFonts w:ascii="Times New Roman" w:hAnsi="Times New Roman"/>
          <w:color w:val="000000"/>
          <w:sz w:val="18"/>
        </w:rPr>
        <w:t>Since our inception, we have not generated any revenue from product sales and have incurred significant operating losses. We have not yet commercialized any products and we do not expect to generate revenue from sales of any product candidates for several years, if ever. To date, we have principally financed our operations through private placements of preferred stock and common stock, convertible debt and proceeds from public offerings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July 2020, we closed our initial public offering and issued 23,000,000 shares of common stock for proceeds of $425.3 million, which was net of $34.7 million in underwriting discounts and commissions, as well as other offering expenses. Prior to our initial public offering, we received gross proceeds of $520.0 million from sales of preferred stock and issuance of convertible debt. We received an upfront payment of $75.0 million from Genentech pursuant to the Genentech Agreement in January 2021, as well as $45.0 million in milestone payments as of the date of this Annual Report on Form 10-K.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August 2021, we filed a universal shelf registration statement on Form S-3ASR with the SEC, or the 2021 Shelf, to register for sale an amount of our common stock, preferred stock, debt securities, warrants and/or units in one or more offerings, which became effective upon filing with the SEC (File No. 333-258768).</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August 2021, we entered into the Sales Agreement with Cowen pursuant to which we may offer and sell shares of our common stock having aggregate gross proceeds of up to $300.0 million from time to time in At-the-Market Offerings through Cowen, as our sales agent. As of December 31, 2023, we have sold 3,026,072 shares of common stock under the Sales Agreement, from which we have received proceeds of $30.3 million, which are net of $0.8 million in commissions paid to Cowen and other offering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October 2021, we completed the October 2021 Offering of 15,188,679 shares of common stock, including the exercise in full of the underwriters’ option to purchase an additional 1,981,132 shares, at an offering price of $26.50 per share. We received proceeds of $382.2 million, which was net of $20.3 million in underwriting discounts and commissions, as well as other offering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September 2022, we completed the September 2022 Offering of 11,320,755 shares of common stock at an offering price of $26.50 per share. We received proceeds of $284.7 million, which was net of $15.3 million in underwriting discounts and commissions, as well as other offering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January 2024, we entered into a securities purchase agreement with Nextech Crossover I SCP for the Private Placement. The aggregate gross proceeds for the Private Placement were approximately $30.0 million, before deducting offering expenses payable by us in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Cash Flows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The following table summarizes our sources and uses of cash for each of the periods presented:</w:t>
      </w:r>
      <w:r>
        <w:rPr>
          <w:rFonts w:ascii="Times New Roman" w:hAnsi="Times New Roman"/>
          <w:color w:val="000000"/>
          <w:sz w:val="20"/>
        </w:rPr>
        <w:t xml:space="preserve"> </w:t>
      </w:r>
    </w:p>
    <w:tbl>
      <w:tblPr>
        <w:tblW w:w="8023" w:type="dxa"/>
        <w:jc w:val="left"/>
        <w:tblInd w:w="0" w:type="dxa"/>
        <w:tblLayout w:type="fixed"/>
        <w:tblCellMar>
          <w:top w:w="28" w:type="dxa"/>
          <w:left w:w="28" w:type="dxa"/>
          <w:bottom w:w="28" w:type="dxa"/>
          <w:right w:w="28" w:type="dxa"/>
        </w:tblCellMar>
      </w:tblPr>
      <w:tblGrid>
        <w:gridCol w:w="4201"/>
        <w:gridCol w:w="146"/>
        <w:gridCol w:w="196"/>
        <w:gridCol w:w="751"/>
        <w:gridCol w:w="166"/>
        <w:gridCol w:w="146"/>
        <w:gridCol w:w="196"/>
        <w:gridCol w:w="751"/>
        <w:gridCol w:w="166"/>
        <w:gridCol w:w="146"/>
        <w:gridCol w:w="196"/>
        <w:gridCol w:w="75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(300,316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(74,406</w:t>
            </w:r>
          </w:p>
        </w:tc>
        <w:tc>
          <w:tcPr>
            <w:tcW w:w="2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(188,745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(479,511</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388,090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Operating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2023, we used $300.3 million of cash on operating activities, primarily resulting from our net loss of $342.0 million and cash used to fund changes in our operating assets and liabilities of $32.5 million, offset by non-cash charges of $74.1 million.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2022, we used $229.5 million of cash on operating activities, primarily resulting from our net loss of $290.5 million, offset by non-cash charges of $49.8 million and cash provided by changes in our operating assets and liabilities of $11.2 million.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2021, we used $74.4 million of cash on operating activities, primarily resulting from our net loss of $363.9 million, offset by non-cash charges of $192.1 million and cash provided by changes in our operating assets and liabilities of $97.3 million.</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Investing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2023, net cash provided by investing activities was $257.6 million, consisting of $261.8 million in proceeds from net maturities of investments, offset by $4.1 million for the acquisition of property and equipment.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2022, we used $188.7 million of cash on investing activities, consisting of $179.7 million of net purchases of investments and $9.1 million for the acquisition of property and equipment.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2021, we used $479.5 million of cash on investing activities, consisting of $450.7 million of net purchases of investments, $25.3 million for the acquisition of ZebiAI, and $3.5 million for the acquisition of property and equipment.</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Financing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2023, net cash provided by financing activities was $34.8 million, primarily consisting of $30.3 million in net proceeds from At-the-Market Offerings, as well as $4.5 million in proceeds from stock option exercises and purchases under our Employee Stock Purchase Plan, or ESPP.</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2022, net cash provided by financing activities was $289.9 million, primarily consisting of $284.7 million in net proceeds from the September 2022 Offering, as well as $5.2 million in proceeds from stock option exercises and purchases under our ESPP.</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2021, net cash provided by financing activities was $388.1 million, primarily consisting of $382.2 million in net proceeds from the October 2021 Offering, as well as $5.9 in proceeds from stock option exercises and purchases under our ESPP.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Funding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expect our expenses to increase substantially in connection with our ongoing clinical development activities related to our product candidates and the ongoing preclinical development activities of our other programs. In addition, we continue to incur additional costs associated with operating as a public company. We expect that our expenses will increase substantially as discussed in more detail in "</w:t>
      </w:r>
      <w:r>
        <w:rPr>
          <w:rFonts w:ascii="Symbol;serif" w:hAnsi="Symbol;serif"/>
          <w:color w:val="000000"/>
          <w:sz w:val="18"/>
        </w:rPr>
        <w:t>¾</w:t>
      </w:r>
      <w:r>
        <w:rPr>
          <w:rFonts w:ascii="Times New Roman" w:hAnsi="Times New Roman"/>
          <w:color w:val="000000"/>
          <w:sz w:val="20"/>
        </w:rPr>
        <w:t xml:space="preserve"> </w:t>
      </w:r>
      <w:r>
        <w:rPr>
          <w:rFonts w:ascii="Times New Roman" w:hAnsi="Times New Roman"/>
          <w:color w:val="000000"/>
          <w:sz w:val="18"/>
        </w:rPr>
        <w:t>Overview" above.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2023, we had cash, cash equivalents, and investments of $750.1 million. We believe that our existing cash, cash equivalents, and investments will enable us to fund our operating expenses and capital expenditure requirements into the second half of 2026. We have based this estimate on assumptions that may prove to be wrong, and we could exhaust our available capital resources sooner than we expect.</w:t>
      </w:r>
    </w:p>
    <w:p>
      <w:pPr>
        <w:pStyle w:val="TextBody"/>
        <w:bidi w:val="0"/>
        <w:spacing w:before="240" w:after="283"/>
        <w:jc w:val="left"/>
        <w:rPr>
          <w:rFonts w:ascii="Times New Roman" w:hAnsi="Times New Roman"/>
          <w:sz w:val="20"/>
        </w:rPr>
      </w:pPr>
      <w:r>
        <w:rPr>
          <w:rFonts w:ascii="Times New Roman" w:hAnsi="Times New Roman"/>
          <w:color w:val="000000"/>
          <w:sz w:val="18"/>
        </w:rPr>
        <w:t>Because of the numerous risks and uncertainties associated with the development of our product candidates, as well as our preclinical programs, and because the extent to which we may enter into collaborations with third parties for the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any business interruptions to our operations, including the timing and enrollment of patients in our planned clinical trials, or to those of our manufacturers, suppliers, or other vendors, resulting from public health epidemics or outbreaks of infectious disease or ongoing geopolitical conflicts and related global economic sanctions;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scope, progress, results, and costs of our current and future clinical trials of our lead product candidates and additional preclinical research of our other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progress, results, and costs of drug discovery, preclinical research, and clinical trials for our other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number of future product candidates that we pursue and their development requirements;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timing, and outcome of regulatory review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establish and maintain collaborations on favorable terms, if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any existing or future collaborations that we may enter into with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acquire or invest in businesses, products and technologies, including entering into licensing or collaboration arrangements for product candidates, such as the Genentech Agreement;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achievement of milestones or occurrence of other developments that trigger payments under any existing or future collaboration agreements, if any;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are obligated to reimburse, or entitled to reimbursement of, clinical trial costs under any existing or future collaboration agreements,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collaborator that we may have at such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amount of revenue, if any, received from commercial sales of our product candidates, should any of our product candidates receive marketing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preparing, filing, and prosecuting patent applications, maintaining, and enforcing our intellectual property rights and defending intellectual property-related claims;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headcount growth and associated costs as we expand our business operations and our research and development activities;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operating as a public company. </w:t>
      </w:r>
    </w:p>
    <w:p>
      <w:pPr>
        <w:pStyle w:val="TextBody"/>
        <w:bidi w:val="0"/>
        <w:spacing w:before="240" w:after="283"/>
        <w:jc w:val="left"/>
        <w:rPr>
          <w:rFonts w:ascii="Times New Roman" w:hAnsi="Times New Roman"/>
          <w:sz w:val="20"/>
        </w:rPr>
      </w:pPr>
      <w:r>
        <w:rPr>
          <w:rFonts w:ascii="Times New Roman" w:hAnsi="Times New Roman"/>
          <w:color w:val="000000"/>
          <w:sz w:val="18"/>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Contractual Obligations and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Intellectual Property License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June 15, 2020, we entered into an Amended and Restated Collaboration and License Agreement, or DESRES Agreement, with D. E. Shaw Research, LLC, or D. E. Shaw Research, extending the term and otherwise modifying the terms of the Collaboration and License Agreement originally entered into on August 17, 2016. The DESRES Agreement provides that the parties will jointly conduct research efforts with the goal of identifying and developing product candidates. On a product-by-product basis, we have agreed to pay D. E. Shaw Research milestone payments upon the achievement of certain development and regulatory milestone events for products we develop under the DESRES Agreement that are directed to a Category 1 Target or any target that was a Category 1 Target. Such payments for achievement of development and regulatory milestones total up to $7.3 million in the aggregate for each of the first three products we develop and up to $6.3 million in the aggregate for each product we develop after the first three. In addition, we are obligated to pay D. E. Shaw Research royalty payments, as defined in the DESRES Agreement. We assessed the milestone and royalty events under the DESRES Agreement as of December 31, 2023 and 2022, concluding no such payments were due as of the balance sheet 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DESRES Agreement extended the term of the original agreement to August 16, 2025 and increased the annual fee from $1.0 million to $7.9 million, commencing on August 16, 2020. In May 2021, the annual fee was further increased, by mutual agreement of the parties, from $7.9 million to $9.9 million. The DESRES Agreement automatically renews for successive one-year periods, unless either party provides at least one-year notice of non-renewal, and the annual fee during each of the one year renewal terms is subject to the mutual agreement of us and D. E. Shaw Research.</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399 Binney Street</w:t>
      </w:r>
    </w:p>
    <w:p>
      <w:pPr>
        <w:pStyle w:val="TextBody"/>
        <w:bidi w:val="0"/>
        <w:spacing w:before="240" w:after="283"/>
        <w:jc w:val="left"/>
        <w:rPr>
          <w:rFonts w:ascii="Times New Roman" w:hAnsi="Times New Roman"/>
          <w:sz w:val="20"/>
        </w:rPr>
      </w:pPr>
      <w:r>
        <w:rPr>
          <w:rFonts w:ascii="Times New Roman" w:hAnsi="Times New Roman"/>
          <w:color w:val="000000"/>
          <w:sz w:val="18"/>
        </w:rPr>
        <w:t>In December 2017, we entered into a facility lease agreement for approximately 44,336 square feet of office and laboratory space at 399 Binney Street, Cambridge, Massachusetts 02139, which was increased to 44,807 square feet in January 2018. We gained control of the space in January 2019 and the lease expires in April 2029, subject to certain renewal options, which have not been included in the measurement of our right of use asset and lease liability on the balance sheet through December 31, 2023. In September 2020, we entered into an amendment to our existing facility lease agreement to expand the leased area by approximately 1,824 square feet of office space at 399 Binney Street, Cambridge, Massachusetts 02139. The amendment commenced in October 2020 and also expires in April 2029, subject to certain renewal options, which have also not been included in the measurement of our right of use asset and lease liability on the balance sheet through December 31, 2023. We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provided a letter of credit in connection with our facility lease agreement in the amount of $0.9 million with a financial institution, which expires commensurate with the lease in April 2029.</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60 Hampshire Street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May 2021, the Company entered into an agreement to lease approximately 41,474 square feet of office and laboratory space at 60 Hampshire Street, Cambridge, Massachusetts 02139. We gained control of the space in July 2022 and the lease expires in June 2032. There are no renewal options. We provided a letter of credit in connection with the agreement in the amount of $1.8 million with a financial institution, which expires commensurate with the lease in June 2032.</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Other Significant Arrangements</w:t>
      </w:r>
    </w:p>
    <w:p>
      <w:pPr>
        <w:pStyle w:val="TextBody"/>
        <w:bidi w:val="0"/>
        <w:spacing w:before="240" w:after="283"/>
        <w:jc w:val="left"/>
        <w:rPr>
          <w:rFonts w:ascii="Times New Roman" w:hAnsi="Times New Roman"/>
          <w:sz w:val="20"/>
        </w:rPr>
      </w:pPr>
      <w:r>
        <w:rPr>
          <w:rFonts w:ascii="Times New Roman" w:hAnsi="Times New Roman"/>
          <w:color w:val="000000"/>
          <w:sz w:val="18"/>
        </w:rPr>
        <w:t>We enter into contracts in the normal course of business with CROs and CMOs for clinical trials, preclinical research studies, and testing, manufacturing, and other services and products for operating purposes. These contracts do not contain any minimum purchase commitments and are cancelable by us upon prior notice of 30 days. Payments due upon cancelation consist only of payments for services provided and expenses incurred up to the date of cancelation.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Critical Accounting Policies and Use of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management’s discussion and analysis of financial condition and results of operations is based on our financial statements, which have been prepared in accordance with generally accepted accounting principles in the United States, or GAAP. The preparation of our consolidated financial statements and related disclosures requires us to make estimates and assumptions that affect the reported amounts of assets, liabilities, costs,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While our significant accounting policies are described in more detail in the notes to our consolidated financial statements included elsewhere in this Annual Report on Form 10-K, we believe that the following accounting policies are those most critical to the judgments and estimates used in the preparation of our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Acquisition Accounting</w:t>
      </w:r>
    </w:p>
    <w:p>
      <w:pPr>
        <w:pStyle w:val="TextBody"/>
        <w:bidi w:val="0"/>
        <w:spacing w:before="240" w:after="283"/>
        <w:jc w:val="left"/>
        <w:rPr>
          <w:rFonts w:ascii="Times New Roman" w:hAnsi="Times New Roman"/>
          <w:sz w:val="20"/>
        </w:rPr>
      </w:pPr>
      <w:r>
        <w:rPr>
          <w:rFonts w:ascii="Times New Roman" w:hAnsi="Times New Roman"/>
          <w:color w:val="000000"/>
          <w:sz w:val="18"/>
        </w:rPr>
        <w:t>We are required to make significant judgments and estimates to determine whether an acquisition constitutes an acquisition of a business or assets. For asset acquisitions, this includes whether substantially all of the fair value of the gross assets acquired is concentrated in a single identifiable asset or a group of similar identifiable assets. We are also required to make several significant judgments and estimates in order to determine the total consideration transferred for the asset acquisition and then allocate it to the assets we have acquired and the liabilities we have assumed on our consolidated balance sheet.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With respect to the acquisition of ZebiAI in 2021, the determination of the fair value of in-process research and development, or IPR&amp;D, expense did not include significant judgment, considering substantially all of the fair value of the gross assets acquired was concentrated in a single identifiable asset. However, estimating the fair value of the Contingent Milestone Payments required significant judgment and estimation, primarily with respect to estimating the probability of achieving the milestones and the timing in connection therewith.</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also required to reassess the fair value of the Contingent Milestone Payments from the acquisition of ZebiAI each quarter, which requires significant judgments and estimation. These significant judgments are primarily the result of our estimates of the probability of achieving the milestone and the timing in connection therewith. Changes in the fair value of the Contingent Milestone Payments can result from changes to one or multiple inputs, including adjustments to the probability of achievement, timing of the payments, and, to a lesser extent, changes to the discount rate used to measure the payments at present value. Significant judgment is used in determining these assumptions during each reporting period. Reasonable changes in these assumptions can cause material changes to the fair value of our contingent consideration liability.</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Revenue Recognition</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We account for revenue recognition in accordance with Accounting Standards Codification Topic 606, </w:t>
      </w:r>
      <w:r>
        <w:rPr>
          <w:rFonts w:ascii="Times New Roman" w:hAnsi="Times New Roman"/>
          <w:i/>
          <w:color w:val="000000"/>
          <w:sz w:val="18"/>
        </w:rPr>
        <w:t>Revenue from Contracts with Customers</w:t>
      </w:r>
      <w:r>
        <w:rPr>
          <w:rFonts w:ascii="Times New Roman" w:hAnsi="Times New Roman"/>
          <w:color w:val="000000"/>
          <w:sz w:val="18"/>
        </w:rPr>
        <w:t>, or ASC 606. We recognize revenue pursuant to ASC 606 when our customer obtains control of promised goods or services in an amount that reflects the consideration which we expect to receive in exchange for those goods or services.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At contract inception, once the contract is determined to be within the scope of ASC 606, we assess the goods or services promised within the contract and determine those that are performance obligations. We then determine the transaction price and allocate it to the performance obligations. As part of the accounting for such arrangements, we must use judgment to determine: (a) the number of performance obligations; (b) the transaction price, including the determination of whether milestones or other variable consideration should be included in the transaction price; and (c) the stand-alone selling price for each performance obligation identified in the contract for the allocation of the transaction price.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utilize key assumptions and judgments in (a) determining the stand-alone selling price for each performance obligation, which may include discounted cash flow models, evaluation of comparable transactions, and pricing considered in negotiating the transaction and estimated costs, and (b) determining how the transaction price is allocated amongst the performance obligations. We also use judgment to determine whether milestones or other variable consideration should be included in the transaction price. As part of management's evaluation of the transaction price, we consider numerous factors, including whether the achievement of the milestones is outside of our control, contingent upon the efforts of others, or subject to scientific risks of success. If we conclude it is probable that a significant revenue reversal would not occur, the associated milestone payment is included in the transaction price. Milestone payments that are not within our control, such as regulatory approvals, are generally not considered probable until those milestones are achieved. We re-evaluate the transaction price, including estimated variable consideration included in the transaction price and all constrained amounts, in each reporting period and as uncertain events are resolved or other changes in circumstances occur. For revenue-based royalties, including milestone payments based on the level of sales, we will include royalties in the transaction price at the later of (i) when the related sales occur, or (ii) when the performance obligation to which some or all of the royalty is allocated has been satisfied (or partially satisfied).</w:t>
      </w:r>
    </w:p>
    <w:p>
      <w:pPr>
        <w:pStyle w:val="TextBody"/>
        <w:bidi w:val="0"/>
        <w:spacing w:before="240" w:after="283"/>
        <w:jc w:val="left"/>
        <w:rPr>
          <w:rFonts w:ascii="Times New Roman" w:hAnsi="Times New Roman"/>
          <w:sz w:val="20"/>
        </w:rPr>
      </w:pPr>
      <w:r>
        <w:rPr>
          <w:rFonts w:ascii="Times New Roman" w:hAnsi="Times New Roman"/>
          <w:color w:val="000000"/>
          <w:sz w:val="18"/>
        </w:rPr>
        <w:t>Once the performance obligations are identified, the transaction price is allocated to each performance obligation based on the relative stand-alone selling price. We then recognize as revenue the amount of the transaction price allocated to the respective performance obligation when (or as) it is satisfied, either at a point in time or over time. If the performance obligation is satisfied over time, we recognize revenue based on the use of either an output or input method.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Accrued 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part of the process of preparing our consolidated financial statements, we are required to estimate accrued research and development and manufacturing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consolidated financial statements based on facts and circumstances known to us at that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Examples of estimated accrued research and development expenses include fees paid to:</w:t>
      </w:r>
      <w:r>
        <w:rPr>
          <w:rFonts w:ascii="Times New Roman" w:hAnsi="Times New Roman"/>
          <w:color w:val="000000"/>
          <w:sz w:val="20"/>
        </w:rPr>
        <w:t xml:space="preserve">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 xml:space="preserve">CROs in connection with performing research activities on our behalf and conducting preclinical studies and clinical trials on our behalf;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 xml:space="preserve">investigative sites or other service providers in connection with clinical trials;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 xml:space="preserve">vendors in connection with preclinical and clinical development activities; and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 xml:space="preserve">vendors related to product manufacturing and development and distribution of preclinical and clinical supplies. </w:t>
      </w:r>
    </w:p>
    <w:p>
      <w:pPr>
        <w:pStyle w:val="TextBody"/>
        <w:bidi w:val="0"/>
        <w:spacing w:before="240" w:after="283"/>
        <w:jc w:val="left"/>
        <w:rPr>
          <w:rFonts w:ascii="Times New Roman" w:hAnsi="Times New Roman"/>
          <w:sz w:val="20"/>
        </w:rPr>
      </w:pPr>
      <w:r>
        <w:rPr>
          <w:rFonts w:ascii="Times New Roman" w:hAnsi="Times New Roman"/>
          <w:color w:val="000000"/>
          <w:sz w:val="18"/>
        </w:rPr>
        <w:t>We base our expenses related to preclinical studies and clinical trials on our estimates of the services received and efforts expended pursuant to quotes and contracts with multiple CROs that conduct and manage preclinical studies and clinical trials on our behalf. The financial terms of such agreements are subject to negotiation and vary from contract to contract, which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8"/>
        </w:rPr>
        <w:t>Recently Issued and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A description of recently issued accounting pronouncements that we have adopted is disclosed in Note 2, </w:t>
      </w:r>
      <w:r>
        <w:rPr>
          <w:rFonts w:ascii="Times New Roman" w:hAnsi="Times New Roman"/>
          <w:i/>
          <w:color w:val="000000"/>
          <w:sz w:val="18"/>
        </w:rPr>
        <w:t>Significant Accounting Policies</w:t>
      </w:r>
      <w:r>
        <w:rPr>
          <w:rFonts w:ascii="Times New Roman" w:hAnsi="Times New Roman"/>
          <w:color w:val="000000"/>
          <w:sz w:val="18"/>
        </w:rPr>
        <w:t>, to our consolidated financial statements included elsewhere in this Annual Report on Form 10-K. None of these pronouncements had a material impact on our financial position or results of operations.</w:t>
      </w:r>
    </w:p>
    <w:p>
      <w:pPr>
        <w:pStyle w:val="TextBody"/>
        <w:bidi w:val="0"/>
        <w:spacing w:before="240" w:after="283"/>
        <w:jc w:val="left"/>
        <w:rPr>
          <w:rFonts w:ascii="Times New Roman" w:hAnsi="Times New Roman"/>
          <w:b/>
          <w:color w:val="000000"/>
          <w:sz w:val="18"/>
        </w:rPr>
      </w:pPr>
      <w:bookmarkStart w:id="17" w:name="item_7a_quantitative_qualitative_disclos"/>
      <w:bookmarkEnd w:id="17"/>
      <w:r>
        <w:rPr>
          <w:rFonts w:ascii="Times New Roman" w:hAnsi="Times New Roman"/>
          <w:b/>
          <w:color w:val="000000"/>
          <w:sz w:val="18"/>
        </w:rPr>
        <w:t>Item 7A. Quantitative and Qualitative Disclosures About Market Risk.</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Interest rate risk</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exposed to market risk related to changes in interest rates of our investment portfolio of cash equivalents and short-term investments. As of December 31, 2023, our cash equivalents consisted of money market funds. As of December 31, 2023, our investments consisted of investments in U.S. treasury bills and United States agency securities that have contractual maturities of less than two years. Our primary exposure to market risk is interest income sensitivity, which is affected by changes in the general level of U.S. interest rates. The fair value of our marketable securities is subject to change as a result of potential changes in market interest rates, including changes in federal interest rates. The potential change in fair value for interest rate sensitive instruments has been assessed on a hypothetical 100 basis point adverse movement across all maturities. As of December 31, 2023, we estimate that such hypothetical 100 basis point adverse movement would not result in a material impact on our condensed consolidated results of operations.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2023, we had no debt outstanding and, therefore, are not exposed to interest rate risk with respect to debt.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Foreign currency exchange risk</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of our employees and our operations are currently located in the United States and our expenses are generally denominated in U.S. dollars. However, we have entered into a limited number of contracts with vendors for research and development services that permit us to satisfy our payment obligations in U.S. dollars (at prevailing exchange rates), but have underlying payment obligations denominated in foreign currencies, including the Euro.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We estimate that a 10% increase or decrease in current exchange rates would not have a material effect on our financial results for the years ended December 31, 2023, 2022, and 2021. While we have not engaged in the hedging of our foreign currency transactions to date, we are evaluating the costs and benefits of initiating such a program and may in the future hedge selected significant transactions denominated in currencies other than the U.S. dollar as we expand our international operations and our risk grows.</w:t>
      </w:r>
    </w:p>
    <w:p>
      <w:pPr>
        <w:pStyle w:val="TextBody"/>
        <w:bidi w:val="0"/>
        <w:spacing w:before="240" w:after="283"/>
        <w:jc w:val="left"/>
        <w:rPr>
          <w:rFonts w:ascii="Times New Roman" w:hAnsi="Times New Roman"/>
          <w:b/>
          <w:color w:val="000000"/>
          <w:sz w:val="18"/>
        </w:rPr>
      </w:pPr>
      <w:bookmarkStart w:id="18" w:name="item_8_financial_statements"/>
      <w:bookmarkEnd w:id="18"/>
      <w:r>
        <w:rPr>
          <w:rFonts w:ascii="Times New Roman" w:hAnsi="Times New Roman"/>
          <w:b/>
          <w:color w:val="000000"/>
          <w:sz w:val="18"/>
        </w:rPr>
        <w:t>Item 8. Financial Statements and Supplementary Data.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financial statements required to be filed pursuant to this Item 8 are appended to this Annual Report on Form 10-K. An index of those financial statements is found in Index to the Consolidated Financial Statements of this Annual Report on Form 10-K, as incorporated by reference into Item 15, Exhibits and Financial Statement Schedules, of this Annual Report on Form 10-K.</w:t>
      </w:r>
    </w:p>
    <w:p>
      <w:pPr>
        <w:pStyle w:val="TextBody"/>
        <w:bidi w:val="0"/>
        <w:spacing w:before="240" w:after="283"/>
        <w:jc w:val="left"/>
        <w:rPr>
          <w:rFonts w:ascii="Times New Roman" w:hAnsi="Times New Roman"/>
          <w:b/>
          <w:color w:val="000000"/>
          <w:sz w:val="18"/>
        </w:rPr>
      </w:pPr>
      <w:bookmarkStart w:id="19" w:name="item_9_changes"/>
      <w:bookmarkEnd w:id="19"/>
      <w:r>
        <w:rPr>
          <w:rFonts w:ascii="Times New Roman" w:hAnsi="Times New Roman"/>
          <w:b/>
          <w:color w:val="000000"/>
          <w:sz w:val="18"/>
        </w:rPr>
        <w:t>Item 9. Changes in and Disagreements With Accountants on Accounting and Financial Disclosure.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240" w:after="283"/>
        <w:jc w:val="left"/>
        <w:rPr>
          <w:rFonts w:ascii="Times New Roman" w:hAnsi="Times New Roman"/>
          <w:b/>
          <w:color w:val="000000"/>
          <w:sz w:val="18"/>
        </w:rPr>
      </w:pPr>
      <w:bookmarkStart w:id="20" w:name="item_9a_controls"/>
      <w:bookmarkEnd w:id="20"/>
      <w:r>
        <w:rPr>
          <w:rFonts w:ascii="Times New Roman" w:hAnsi="Times New Roman"/>
          <w:b/>
          <w:color w:val="000000"/>
          <w:sz w:val="18"/>
        </w:rPr>
        <w:t>Item 9A. Controls and Procedures.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established disclosure controls and procedures (as defined in Rules 13a-15(e) and 15d-15(e) under the Securities Exchange Act of 1934, as amended, or the Exchange Act) designed to ensure that information required to be disclosed in the reports that we file or submit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Evaluation of Disclosure Controls and Procedures</w:t>
      </w:r>
    </w:p>
    <w:p>
      <w:pPr>
        <w:pStyle w:val="TextBody"/>
        <w:bidi w:val="0"/>
        <w:spacing w:before="240" w:after="283"/>
        <w:jc w:val="left"/>
        <w:rPr>
          <w:rFonts w:ascii="Times New Roman" w:hAnsi="Times New Roman"/>
          <w:sz w:val="20"/>
        </w:rPr>
      </w:pPr>
      <w:r>
        <w:rPr>
          <w:rFonts w:ascii="Times New Roman" w:hAnsi="Times New Roman"/>
          <w:color w:val="000000"/>
          <w:sz w:val="18"/>
        </w:rPr>
        <w:t>Our management has evaluated, with the participation of our Chief Executive Officer and Chief Financial Officer, the effectiveness of our disclosure controls and procedures (as defined in Rules 13a-15(e) and 15d-15(e) under the Exchange Act) as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of the end of the period covered by this Annual Report on Form 10-K.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December 31, 2023, our disclosure controls and procedures were effective.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Internal Control over Financial Reporting</w:t>
      </w:r>
    </w:p>
    <w:p>
      <w:pPr>
        <w:pStyle w:val="TextBody"/>
        <w:bidi w:val="0"/>
        <w:spacing w:before="240" w:after="283"/>
        <w:jc w:val="left"/>
        <w:rPr>
          <w:rFonts w:ascii="Times New Roman" w:hAnsi="Times New Roman"/>
          <w:sz w:val="20"/>
        </w:rPr>
      </w:pPr>
      <w:r>
        <w:rPr>
          <w:rFonts w:ascii="Times New Roman" w:hAnsi="Times New Roman"/>
          <w:b/>
          <w:i/>
          <w:color w:val="000000"/>
          <w:sz w:val="18"/>
        </w:rPr>
        <w:t>Management’s Annual Report on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pertain to the maintenance of records that in reasonable detail accurately and fairly reflect the transactions and dispositions of a company’s assets;</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provide reasonable assurance regarding prevention or timely detection of unauthorized acquisition, use, or disposition of our assets that could have a material effect on the financial statements.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U.S. generally accepted accounting principles.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 the supervision of and with the participation of our principal executive officer and principal financial officer, our management assessed the effectiveness of our internal control over financial reporting as of December 31, 2023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independent registered public accounting firm has issued an attestation report of our internal control over financial reporting. This report appears below.</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Changes in Internal Control Over Financial Reporting</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There has been no change in our internal control over financial reporting (as defined in Rules 13a-15(f) and 15d-15(f) under the Exchange Act) that occurred during the fiscal quarter ended December 31, 2023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REPORT OF INDEPENDENT REGISTERED PUBLIC ACCOUNTING FIRM</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To the Stockholders and the Board of Directors of Relay Therapeutics, Inc.</w:t>
      </w:r>
    </w:p>
    <w:p>
      <w:pPr>
        <w:pStyle w:val="TextBody"/>
        <w:bidi w:val="0"/>
        <w:spacing w:before="240" w:after="283"/>
        <w:jc w:val="both"/>
        <w:rPr>
          <w:rFonts w:ascii="Times New Roman" w:hAnsi="Times New Roman"/>
          <w:sz w:val="20"/>
        </w:rPr>
      </w:pPr>
      <w:r>
        <w:rPr>
          <w:rFonts w:ascii="Times New Roman" w:hAnsi="Times New Roman"/>
          <w:b/>
          <w:color w:val="000000"/>
          <w:sz w:val="18"/>
        </w:rPr>
        <w:t>Opinion on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We have audited Relay Therapeutics, Inc.’s internal control over financial reporting as of December 31, 2023, based on criteria established in Internal Control—Integrated Framework issued by the Committee of Sponsoring Organizations of the Treadway Commission (2013 framework) (the COSO criteria). In our opinion, Relay Therapeutics, Inc. (the Company) maintained, in all material respects, effective internal control over financial reporting as of December 31, 2023, based on the COSO criteria.</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We also have audited, in accordance with the standards of the Public Company Accounting Oversight Board (United States) (PCAOB), the consolidated balance sheets of the Company as of December 31, 2023 and 2022, the related consolidated statements of operations and comprehensive loss, stockholders’ equity and cash flows for each of the three years in the period ended December 31, 2023, and the related notes and our report dated February 22, 2024 expressed an unqualified opinion thereon.</w:t>
      </w:r>
    </w:p>
    <w:p>
      <w:pPr>
        <w:pStyle w:val="TextBody"/>
        <w:bidi w:val="0"/>
        <w:spacing w:before="240" w:after="283"/>
        <w:jc w:val="both"/>
        <w:rPr>
          <w:rFonts w:ascii="Times New Roman" w:hAnsi="Times New Roman"/>
          <w:b/>
          <w:color w:val="000000"/>
          <w:sz w:val="18"/>
        </w:rPr>
      </w:pPr>
      <w:r>
        <w:rPr>
          <w:rFonts w:ascii="Times New Roman" w:hAnsi="Times New Roman"/>
          <w:b/>
          <w:color w:val="000000"/>
          <w:sz w:val="18"/>
        </w:rPr>
        <w:t>Basis for Opinion</w:t>
      </w:r>
    </w:p>
    <w:p>
      <w:pPr>
        <w:pStyle w:val="TextBody"/>
        <w:bidi w:val="0"/>
        <w:spacing w:before="240" w:after="283"/>
        <w:jc w:val="both"/>
        <w:rPr>
          <w:rFonts w:ascii="Times New Roman" w:hAnsi="Times New Roman"/>
          <w:sz w:val="20"/>
        </w:rPr>
      </w:pPr>
      <w:r>
        <w:rPr>
          <w:rFonts w:ascii="Times New Roman" w:hAnsi="Times New Roman"/>
          <w:color w:val="000000"/>
          <w:sz w:val="18"/>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240" w:after="283"/>
        <w:jc w:val="both"/>
        <w:rPr>
          <w:rFonts w:ascii="Times New Roman" w:hAnsi="Times New Roman"/>
          <w:sz w:val="20"/>
        </w:rPr>
      </w:pPr>
      <w:r>
        <w:rPr>
          <w:rFonts w:ascii="Times New Roman" w:hAnsi="Times New Roman"/>
          <w:color w:val="000000"/>
          <w:sz w:val="18"/>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18"/>
        </w:rPr>
        <w:t>Definition and Limitations of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/s/ Ernst &amp; Young LLP</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Boston, Massachusetts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February 22,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bookmarkStart w:id="21" w:name="item_9b_other"/>
      <w:bookmarkEnd w:id="21"/>
      <w:r>
        <w:rPr>
          <w:rFonts w:ascii="Times New Roman" w:hAnsi="Times New Roman"/>
          <w:b/>
          <w:color w:val="000000"/>
          <w:sz w:val="18"/>
        </w:rPr>
        <w:t>Item 9B. Other Information.</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Rule 10b5-1 Trading Plans</w:t>
      </w:r>
    </w:p>
    <w:p>
      <w:pPr>
        <w:pStyle w:val="TextBody"/>
        <w:bidi w:val="0"/>
        <w:spacing w:before="240" w:after="283"/>
        <w:jc w:val="both"/>
        <w:rPr>
          <w:rFonts w:ascii="Times New Roman" w:hAnsi="Times New Roman"/>
          <w:sz w:val="20"/>
        </w:rPr>
      </w:pPr>
      <w:r>
        <w:rPr>
          <w:rFonts w:ascii="Times New Roman" w:hAnsi="Times New Roman"/>
          <w:color w:val="000000"/>
          <w:sz w:val="18"/>
        </w:rPr>
        <w:t>During the three months December 31, 2023, none of our directors or officers adopted, materially modified, or terminated</w:t>
      </w:r>
      <w:r>
        <w:rPr>
          <w:rFonts w:ascii="Times New Roman" w:hAnsi="Times New Roman"/>
          <w:color w:val="000000"/>
          <w:sz w:val="20"/>
        </w:rPr>
        <w:t xml:space="preserve"> </w:t>
      </w:r>
      <w:r>
        <w:rPr>
          <w:rFonts w:ascii="Times New Roman" w:hAnsi="Times New Roman"/>
          <w:color w:val="000000"/>
          <w:sz w:val="18"/>
        </w:rPr>
        <w:t>any contract, instruction, or written plan for the purchase or sale of our securities that was intended to satisfy the affirmative defense conditions of Rule 10b5-1(c) under the Exchange Act or any non-Rule 10b5-1 trading arrangement.</w:t>
      </w:r>
    </w:p>
    <w:p>
      <w:pPr>
        <w:pStyle w:val="TextBody"/>
        <w:bidi w:val="0"/>
        <w:spacing w:before="240" w:after="283"/>
        <w:jc w:val="left"/>
        <w:rPr>
          <w:rFonts w:ascii="Times New Roman" w:hAnsi="Times New Roman"/>
          <w:sz w:val="20"/>
        </w:rPr>
      </w:pPr>
      <w:bookmarkStart w:id="22" w:name="item_9c_disclosure"/>
      <w:bookmarkEnd w:id="22"/>
      <w:r>
        <w:rPr>
          <w:rFonts w:ascii="Times New Roman" w:hAnsi="Times New Roman"/>
          <w:b/>
          <w:color w:val="000000"/>
          <w:sz w:val="18"/>
        </w:rPr>
        <w:t>Item 9C. Disclosure Regarding Foreign Jurisdictions that Prevent Inspections.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Not applicable.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part_iii"/>
      <w:bookmarkEnd w:id="23"/>
      <w:r>
        <w:rPr>
          <w:rFonts w:ascii="Times New Roman" w:hAnsi="Times New Roman"/>
          <w:b/>
          <w:color w:val="000000"/>
          <w:sz w:val="18"/>
        </w:rPr>
        <w:t>PART</w:t>
      </w:r>
      <w:bookmarkStart w:id="24" w:name="part_iii_"/>
      <w:bookmarkEnd w:id="24"/>
      <w:r>
        <w:rPr>
          <w:rFonts w:ascii="Times New Roman" w:hAnsi="Times New Roman"/>
          <w:color w:val="000000"/>
          <w:sz w:val="20"/>
        </w:rPr>
        <w:t xml:space="preserve"> </w:t>
      </w:r>
      <w:r>
        <w:rPr>
          <w:rFonts w:ascii="Times New Roman" w:hAnsi="Times New Roman"/>
          <w:b/>
          <w:color w:val="000000"/>
          <w:sz w:val="18"/>
        </w:rPr>
        <w:t>III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5" w:name="item_10"/>
      <w:bookmarkEnd w:id="25"/>
      <w:r>
        <w:rPr>
          <w:rFonts w:ascii="Times New Roman" w:hAnsi="Times New Roman"/>
          <w:b/>
          <w:color w:val="000000"/>
          <w:sz w:val="18"/>
        </w:rPr>
        <w:t>Item 10. Directors, Executive Officers and Corporate Governance.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information required by this Item 10 will be included in our Definitive Proxy Statement to be filed with the Securities and Exchange Commission, or SEC, with respect to our 2024 Annual Meeting of Stockholders within 120 days of the end of our fiscal year pursuant to General Instruction G(3) of Form 10-K and is incorporated herein by reference.</w:t>
      </w:r>
    </w:p>
    <w:p>
      <w:pPr>
        <w:pStyle w:val="TextBody"/>
        <w:bidi w:val="0"/>
        <w:spacing w:before="240" w:after="283"/>
        <w:jc w:val="left"/>
        <w:rPr>
          <w:rFonts w:ascii="Times New Roman" w:hAnsi="Times New Roman"/>
          <w:sz w:val="20"/>
        </w:rPr>
      </w:pPr>
      <w:bookmarkStart w:id="26" w:name="item_11_executive_compensation"/>
      <w:bookmarkEnd w:id="26"/>
      <w:r>
        <w:rPr>
          <w:rFonts w:ascii="Times New Roman" w:hAnsi="Times New Roman"/>
          <w:b/>
          <w:color w:val="000000"/>
          <w:sz w:val="18"/>
        </w:rPr>
        <w:t>Item 11. Executive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information required by this Item 11 will be included in our Definitive Proxy Statement (excluding the information under the subheading "Pay Versus Performance") to be filed with the SEC with respect to our 2024 Annual Meeting of Stockholders within 120 days of the end of our fiscal year pursuant to General Instruction G(3) of Form 10-K and is incorporated herein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7" w:name="item_12_security_ownership_of"/>
      <w:bookmarkEnd w:id="27"/>
      <w:r>
        <w:rPr>
          <w:rFonts w:ascii="Times New Roman" w:hAnsi="Times New Roman"/>
          <w:b/>
          <w:color w:val="000000"/>
          <w:sz w:val="18"/>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information required by this Item 12 will be included in our Definitive Proxy Statement to be filed with the SEC with respect to our 2024 Annual Meeting of Stockholders within 120 days of the end of our fiscal year pursuant to General Instruction G(3) of Form 10-K and is incorporated herein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8" w:name="item_13_certain_relationships"/>
      <w:bookmarkEnd w:id="28"/>
      <w:r>
        <w:rPr>
          <w:rFonts w:ascii="Times New Roman" w:hAnsi="Times New Roman"/>
          <w:b/>
          <w:color w:val="000000"/>
          <w:sz w:val="18"/>
        </w:rPr>
        <w:t>Item 13. Certain Relationships and Related Transactions, and Director Independence.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information required by this Item 13 will be included in our Definitive Proxy Statement to be filed with the SEC with respect to our 2024 Annual Meeting of Stockholders within 120 days of the end of our fiscal year pursuant to General Instruction G(3) of Form 10-K and is incorporated herein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9" w:name="item_14_principal_accounting"/>
      <w:bookmarkEnd w:id="29"/>
      <w:r>
        <w:rPr>
          <w:rFonts w:ascii="Times New Roman" w:hAnsi="Times New Roman"/>
          <w:b/>
          <w:color w:val="000000"/>
          <w:sz w:val="18"/>
        </w:rPr>
        <w:t>Item 14. Principal Accounting Fees and Services.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independent public accounting firm is Ernst &amp; Young LLP, Boston, Massachusetts, United States, PCAOB Auditor ID 42.</w:t>
      </w:r>
    </w:p>
    <w:p>
      <w:pPr>
        <w:pStyle w:val="TextBody"/>
        <w:bidi w:val="0"/>
        <w:spacing w:before="240" w:after="283"/>
        <w:jc w:val="left"/>
        <w:rPr>
          <w:rFonts w:ascii="Times New Roman" w:hAnsi="Times New Roman"/>
          <w:sz w:val="20"/>
        </w:rPr>
      </w:pPr>
      <w:r>
        <w:rPr>
          <w:rFonts w:ascii="Times New Roman" w:hAnsi="Times New Roman"/>
          <w:color w:val="000000"/>
          <w:sz w:val="18"/>
        </w:rPr>
        <w:t>The information required by this Item 14 will be set forth in the section headed " – Ratification of the Appointment of Ernst &amp; Young LLP as Relay Therapeutics’ Independent Registered Public Accounting Firm for the Fiscal Year Ending December 31, 2024" in our Definitive Proxy Statement to be filed with the SEC with respect to our 2024 Annual Meeting of Stockholders within 120 days of the end of our fiscal year pursuant to General Instruction G(3) of Form 10-K and is incorporated herein by reference.</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0" w:name="part_iv"/>
      <w:bookmarkEnd w:id="30"/>
      <w:r>
        <w:rPr>
          <w:rFonts w:ascii="Times New Roman" w:hAnsi="Times New Roman"/>
          <w:b/>
          <w:color w:val="000000"/>
          <w:sz w:val="18"/>
        </w:rPr>
        <w:t xml:space="preserve">PART </w:t>
      </w:r>
      <w:bookmarkStart w:id="31" w:name="part_iv_"/>
      <w:bookmarkEnd w:id="31"/>
      <w:r>
        <w:rPr>
          <w:rFonts w:ascii="Times New Roman" w:hAnsi="Times New Roman"/>
          <w:b/>
          <w:color w:val="000000"/>
          <w:sz w:val="18"/>
        </w:rPr>
        <w:t>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2" w:name="item_15_exhibits_financial_statement_sch"/>
      <w:bookmarkEnd w:id="32"/>
      <w:r>
        <w:rPr>
          <w:rFonts w:ascii="Times New Roman" w:hAnsi="Times New Roman"/>
          <w:b/>
          <w:color w:val="000000"/>
          <w:sz w:val="18"/>
        </w:rPr>
        <w:t>Item 15. Exhibits and Financial Statement Schedules.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For a list of the financial statements included herein, see Index to the Consolidated Financial Statements of this Annual Report on Form 10-K, incorporated into this Item by reference.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Financial statement schedules have been omitted because they are either not required or not applicable or the information is included in the consolidated financial statements or the notes thereto.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exhibits filed as part of this Annual Report on Form 10-K are set forth on the Exhibit Index immediately preceding the signature page of this Annual Report on Form 10-K. The Exhibit Index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bookmarkStart w:id="33" w:name="item_16_form_10_k_summary"/>
      <w:bookmarkEnd w:id="33"/>
      <w:r>
        <w:rPr>
          <w:rFonts w:ascii="Times New Roman" w:hAnsi="Times New Roman"/>
          <w:b/>
          <w:color w:val="000000"/>
          <w:sz w:val="18"/>
        </w:rPr>
        <w:t>Item 16. Form 10-K Summary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Not applicable.</w:t>
      </w:r>
    </w:p>
    <w:p>
      <w:pPr>
        <w:pStyle w:val="TextBody"/>
        <w:bidi w:val="0"/>
        <w:jc w:val="center"/>
        <w:rPr>
          <w:rFonts w:ascii="Times New Roman" w:hAnsi="Times New Roman"/>
          <w:b/>
          <w:color w:val="000000"/>
          <w:sz w:val="18"/>
        </w:rPr>
      </w:pPr>
      <w:r>
        <w:rPr>
          <w:rFonts w:ascii="Times New Roman" w:hAnsi="Times New Roman"/>
          <w:b/>
          <w:color w:val="000000"/>
          <w:sz w:val="18"/>
        </w:rPr>
        <w:t>Index to Consolidated Financial Statements</w:t>
      </w:r>
    </w:p>
    <w:p>
      <w:pPr>
        <w:pStyle w:val="TextBody"/>
        <w:bidi w:val="0"/>
        <w:jc w:val="left"/>
        <w:rPr/>
      </w:pPr>
      <w:r>
        <w:rPr/>
        <w:t> </w:t>
      </w:r>
    </w:p>
    <w:tbl>
      <w:tblPr>
        <w:tblW w:w="5518" w:type="dxa"/>
        <w:jc w:val="left"/>
        <w:tblInd w:w="0" w:type="dxa"/>
        <w:tblLayout w:type="fixed"/>
        <w:tblCellMar>
          <w:top w:w="28" w:type="dxa"/>
          <w:left w:w="28" w:type="dxa"/>
          <w:bottom w:w="28" w:type="dxa"/>
          <w:right w:w="28" w:type="dxa"/>
        </w:tblCellMar>
      </w:tblPr>
      <w:tblGrid>
        <w:gridCol w:w="4726"/>
        <w:gridCol w:w="146"/>
        <w:gridCol w:w="646"/>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7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646" w:type="dxa"/>
            <w:tcBorders/>
            <w:vAlign w:val="center"/>
          </w:tcPr>
          <w:p>
            <w:pPr>
              <w:pStyle w:val="TableContents"/>
              <w:bidi w:val="0"/>
              <w:spacing w:before="0" w:after="283"/>
              <w:ind w:left="0" w:right="0" w:firstLine="240"/>
              <w:jc w:val="right"/>
              <w:rPr/>
            </w:pPr>
            <w:r>
              <w:rPr/>
              <w:t> </w:t>
            </w:r>
          </w:p>
        </w:tc>
      </w:tr>
      <w:tr>
        <w:trPr/>
        <w:tc>
          <w:tcPr>
            <w:tcW w:w="4726" w:type="dxa"/>
            <w:tcBorders/>
            <w:vAlign w:val="center"/>
          </w:tcPr>
          <w:p>
            <w:pPr>
              <w:pStyle w:val="TableContents"/>
              <w:pBdr/>
              <w:bidi w:val="0"/>
              <w:spacing w:before="0" w:after="283"/>
              <w:ind w:left="0" w:right="0" w:hanging="240"/>
              <w:jc w:val="left"/>
              <w:rPr/>
            </w:pPr>
            <w:hyperlink w:anchor="report_of_independent">
              <w:r>
                <w:rPr>
                  <w:rStyle w:val="InternetLink"/>
                  <w:rFonts w:ascii="Times New Roman" w:hAnsi="Times New Roman"/>
                  <w:color w:val="0000FF"/>
                  <w:sz w:val="18"/>
                  <w:u w:val="single"/>
                </w:rPr>
                <w:t>Report of Independent Registered Public Accounting Firm</w:t>
              </w:r>
            </w:hyperlink>
            <w:hyperlink w:anchor="report_of_independent">
              <w:r>
                <w:rPr>
                  <w:rStyle w:val="InternetLink"/>
                  <w:rFonts w:ascii="Times New Roman" w:hAnsi="Times New Roman"/>
                  <w:color w:val="0000FF"/>
                  <w:sz w:val="18"/>
                </w:rPr>
                <w:t xml:space="preserve"> </w:t>
              </w:r>
            </w:hyperlink>
          </w:p>
        </w:tc>
        <w:tc>
          <w:tcPr>
            <w:tcW w:w="146" w:type="dxa"/>
            <w:tcBorders/>
            <w:vAlign w:val="center"/>
          </w:tcPr>
          <w:p>
            <w:pPr>
              <w:pStyle w:val="TableContents"/>
              <w:bidi w:val="0"/>
              <w:spacing w:before="0" w:after="20"/>
              <w:jc w:val="right"/>
              <w:rPr/>
            </w:pPr>
            <w:r>
              <w:rPr/>
              <w:t> </w:t>
            </w:r>
          </w:p>
        </w:tc>
        <w:tc>
          <w:tcPr>
            <w:tcW w:w="64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18"/>
              </w:rPr>
            </w:pPr>
            <w:r>
              <w:rPr>
                <w:rFonts w:ascii="Times New Roman" w:hAnsi="Times New Roman"/>
                <w:color w:val="000000"/>
                <w:sz w:val="18"/>
              </w:rPr>
              <w:t>F-2</w:t>
            </w:r>
          </w:p>
        </w:tc>
      </w:tr>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64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4726" w:type="dxa"/>
            <w:tcBorders/>
            <w:vAlign w:val="center"/>
          </w:tcPr>
          <w:p>
            <w:pPr>
              <w:pStyle w:val="TableContents"/>
              <w:pBdr/>
              <w:bidi w:val="0"/>
              <w:spacing w:before="0" w:after="283"/>
              <w:ind w:left="0" w:right="0" w:hanging="240"/>
              <w:jc w:val="left"/>
              <w:rPr>
                <w:rFonts w:ascii="Times New Roman" w:hAnsi="Times New Roman"/>
                <w:color w:val="000000"/>
                <w:sz w:val="18"/>
              </w:rPr>
            </w:pPr>
            <w:r>
              <w:rPr>
                <w:rFonts w:ascii="Times New Roman" w:hAnsi="Times New Roman"/>
                <w:color w:val="000000"/>
                <w:sz w:val="18"/>
              </w:rPr>
              <w:t>Consolidated Financial Statements</w:t>
            </w:r>
          </w:p>
        </w:tc>
        <w:tc>
          <w:tcPr>
            <w:tcW w:w="146" w:type="dxa"/>
            <w:tcBorders/>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right"/>
              <w:rPr/>
            </w:pPr>
            <w:r>
              <w:rPr/>
              <w:t> </w:t>
            </w:r>
          </w:p>
        </w:tc>
        <w:tc>
          <w:tcPr>
            <w:tcW w:w="646"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4726" w:type="dxa"/>
            <w:tcBorders/>
            <w:vAlign w:val="center"/>
          </w:tcPr>
          <w:p>
            <w:pPr>
              <w:pStyle w:val="TableContents"/>
              <w:pBdr/>
              <w:bidi w:val="0"/>
              <w:spacing w:before="0" w:after="283"/>
              <w:ind w:left="0" w:right="0" w:hanging="240"/>
              <w:jc w:val="left"/>
              <w:rPr/>
            </w:pPr>
            <w:hyperlink w:anchor="consolidated_balance_sheets">
              <w:r>
                <w:rPr>
                  <w:rStyle w:val="InternetLink"/>
                  <w:rFonts w:ascii="Times New Roman" w:hAnsi="Times New Roman"/>
                  <w:color w:val="0000FF"/>
                  <w:sz w:val="18"/>
                  <w:u w:val="single"/>
                </w:rPr>
                <w:t>Consolidated Balance Sheets</w:t>
              </w:r>
            </w:hyperlink>
          </w:p>
        </w:tc>
        <w:tc>
          <w:tcPr>
            <w:tcW w:w="146" w:type="dxa"/>
            <w:tcBorders/>
            <w:vAlign w:val="center"/>
          </w:tcPr>
          <w:p>
            <w:pPr>
              <w:pStyle w:val="TableContents"/>
              <w:bidi w:val="0"/>
              <w:spacing w:before="0" w:after="20"/>
              <w:jc w:val="right"/>
              <w:rPr/>
            </w:pPr>
            <w:r>
              <w:rPr/>
              <w:t> </w:t>
            </w:r>
          </w:p>
        </w:tc>
        <w:tc>
          <w:tcPr>
            <w:tcW w:w="64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18"/>
              </w:rPr>
            </w:pPr>
            <w:r>
              <w:rPr>
                <w:rFonts w:ascii="Times New Roman" w:hAnsi="Times New Roman"/>
                <w:color w:val="000000"/>
                <w:sz w:val="18"/>
              </w:rPr>
              <w:t>F-4</w:t>
            </w:r>
          </w:p>
        </w:tc>
      </w:tr>
      <w:tr>
        <w:trPr/>
        <w:tc>
          <w:tcPr>
            <w:tcW w:w="4726" w:type="dxa"/>
            <w:tcBorders/>
            <w:vAlign w:val="center"/>
          </w:tcPr>
          <w:p>
            <w:pPr>
              <w:pStyle w:val="TableContents"/>
              <w:pBdr/>
              <w:bidi w:val="0"/>
              <w:spacing w:before="0" w:after="283"/>
              <w:ind w:left="0" w:right="0" w:hanging="240"/>
              <w:jc w:val="left"/>
              <w:rPr/>
            </w:pPr>
            <w:hyperlink w:anchor="consolidated_statements_of">
              <w:r>
                <w:rPr>
                  <w:rStyle w:val="InternetLink"/>
                  <w:rFonts w:ascii="Times New Roman" w:hAnsi="Times New Roman"/>
                  <w:color w:val="0000FF"/>
                  <w:sz w:val="18"/>
                  <w:u w:val="single"/>
                </w:rPr>
                <w:t>Consolidated Statements of Operations and Comprehensive Loss</w:t>
              </w:r>
            </w:hyperlink>
          </w:p>
        </w:tc>
        <w:tc>
          <w:tcPr>
            <w:tcW w:w="146" w:type="dxa"/>
            <w:tcBorders/>
            <w:vAlign w:val="center"/>
          </w:tcPr>
          <w:p>
            <w:pPr>
              <w:pStyle w:val="TableContents"/>
              <w:bidi w:val="0"/>
              <w:spacing w:before="0" w:after="20"/>
              <w:jc w:val="right"/>
              <w:rPr/>
            </w:pPr>
            <w:r>
              <w:rPr/>
              <w:t> </w:t>
            </w:r>
          </w:p>
        </w:tc>
        <w:tc>
          <w:tcPr>
            <w:tcW w:w="64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18"/>
              </w:rPr>
            </w:pPr>
            <w:r>
              <w:rPr>
                <w:rFonts w:ascii="Times New Roman" w:hAnsi="Times New Roman"/>
                <w:color w:val="000000"/>
                <w:sz w:val="18"/>
              </w:rPr>
              <w:t>F-5</w:t>
            </w:r>
          </w:p>
        </w:tc>
      </w:tr>
      <w:tr>
        <w:trPr/>
        <w:tc>
          <w:tcPr>
            <w:tcW w:w="4726" w:type="dxa"/>
            <w:tcBorders/>
            <w:vAlign w:val="center"/>
          </w:tcPr>
          <w:p>
            <w:pPr>
              <w:pStyle w:val="TableContents"/>
              <w:pBdr/>
              <w:bidi w:val="0"/>
              <w:spacing w:before="0" w:after="283"/>
              <w:ind w:left="0" w:right="0" w:hanging="240"/>
              <w:jc w:val="left"/>
              <w:rPr/>
            </w:pPr>
            <w:hyperlink w:anchor="consolidated_statements">
              <w:r>
                <w:rPr>
                  <w:rStyle w:val="InternetLink"/>
                  <w:rFonts w:ascii="Times New Roman" w:hAnsi="Times New Roman"/>
                  <w:color w:val="0000FF"/>
                  <w:sz w:val="18"/>
                  <w:u w:val="single"/>
                </w:rPr>
                <w:t>Consolidated Statements of Stockholders’ Equity</w:t>
              </w:r>
            </w:hyperlink>
          </w:p>
        </w:tc>
        <w:tc>
          <w:tcPr>
            <w:tcW w:w="146" w:type="dxa"/>
            <w:tcBorders/>
            <w:vAlign w:val="center"/>
          </w:tcPr>
          <w:p>
            <w:pPr>
              <w:pStyle w:val="TableContents"/>
              <w:bidi w:val="0"/>
              <w:spacing w:before="0" w:after="20"/>
              <w:jc w:val="right"/>
              <w:rPr/>
            </w:pPr>
            <w:r>
              <w:rPr/>
              <w:t> </w:t>
            </w:r>
          </w:p>
        </w:tc>
        <w:tc>
          <w:tcPr>
            <w:tcW w:w="64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18"/>
              </w:rPr>
            </w:pPr>
            <w:r>
              <w:rPr>
                <w:rFonts w:ascii="Times New Roman" w:hAnsi="Times New Roman"/>
                <w:color w:val="000000"/>
                <w:sz w:val="18"/>
              </w:rPr>
              <w:t>F-6</w:t>
            </w:r>
          </w:p>
        </w:tc>
      </w:tr>
      <w:tr>
        <w:trPr/>
        <w:tc>
          <w:tcPr>
            <w:tcW w:w="4726" w:type="dxa"/>
            <w:tcBorders/>
            <w:vAlign w:val="center"/>
          </w:tcPr>
          <w:p>
            <w:pPr>
              <w:pStyle w:val="TableContents"/>
              <w:pBdr/>
              <w:bidi w:val="0"/>
              <w:spacing w:before="0" w:after="283"/>
              <w:ind w:left="0" w:right="0" w:hanging="240"/>
              <w:jc w:val="left"/>
              <w:rPr/>
            </w:pPr>
            <w:hyperlink w:anchor="consolidated">
              <w:r>
                <w:rPr>
                  <w:rStyle w:val="InternetLink"/>
                  <w:rFonts w:ascii="Times New Roman" w:hAnsi="Times New Roman"/>
                  <w:color w:val="0000FF"/>
                  <w:sz w:val="18"/>
                  <w:u w:val="single"/>
                </w:rPr>
                <w:t>Consolidated Statements of Cash Flows</w:t>
              </w:r>
            </w:hyperlink>
          </w:p>
        </w:tc>
        <w:tc>
          <w:tcPr>
            <w:tcW w:w="146" w:type="dxa"/>
            <w:tcBorders/>
            <w:vAlign w:val="center"/>
          </w:tcPr>
          <w:p>
            <w:pPr>
              <w:pStyle w:val="TableContents"/>
              <w:bidi w:val="0"/>
              <w:spacing w:before="0" w:after="20"/>
              <w:jc w:val="right"/>
              <w:rPr/>
            </w:pPr>
            <w:r>
              <w:rPr/>
              <w:t> </w:t>
            </w:r>
          </w:p>
        </w:tc>
        <w:tc>
          <w:tcPr>
            <w:tcW w:w="64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18"/>
              </w:rPr>
            </w:pPr>
            <w:r>
              <w:rPr>
                <w:rFonts w:ascii="Times New Roman" w:hAnsi="Times New Roman"/>
                <w:color w:val="000000"/>
                <w:sz w:val="18"/>
              </w:rPr>
              <w:t>F-7</w:t>
            </w:r>
          </w:p>
        </w:tc>
      </w:tr>
      <w:tr>
        <w:trPr/>
        <w:tc>
          <w:tcPr>
            <w:tcW w:w="4726" w:type="dxa"/>
            <w:tcBorders/>
            <w:vAlign w:val="center"/>
          </w:tcPr>
          <w:p>
            <w:pPr>
              <w:pStyle w:val="TableContents"/>
              <w:pBdr/>
              <w:bidi w:val="0"/>
              <w:spacing w:before="0" w:after="283"/>
              <w:ind w:left="0" w:right="0" w:hanging="240"/>
              <w:jc w:val="left"/>
              <w:rPr/>
            </w:pPr>
            <w:hyperlink w:anchor="notes_to">
              <w:r>
                <w:rPr>
                  <w:rStyle w:val="InternetLink"/>
                  <w:rFonts w:ascii="Times New Roman" w:hAnsi="Times New Roman"/>
                  <w:color w:val="0000FF"/>
                  <w:sz w:val="18"/>
                  <w:u w:val="single"/>
                </w:rPr>
                <w:t>Notes to Consolidated Financial Statements</w:t>
              </w:r>
            </w:hyperlink>
          </w:p>
        </w:tc>
        <w:tc>
          <w:tcPr>
            <w:tcW w:w="146" w:type="dxa"/>
            <w:tcBorders/>
            <w:vAlign w:val="center"/>
          </w:tcPr>
          <w:p>
            <w:pPr>
              <w:pStyle w:val="TableContents"/>
              <w:bidi w:val="0"/>
              <w:spacing w:before="0" w:after="20"/>
              <w:jc w:val="right"/>
              <w:rPr/>
            </w:pPr>
            <w:r>
              <w:rPr/>
              <w:t> </w:t>
            </w:r>
          </w:p>
        </w:tc>
        <w:tc>
          <w:tcPr>
            <w:tcW w:w="64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18"/>
              </w:rPr>
            </w:pPr>
            <w:r>
              <w:rPr>
                <w:rFonts w:ascii="Times New Roman" w:hAnsi="Times New Roman"/>
                <w:color w:val="000000"/>
                <w:sz w:val="18"/>
              </w:rPr>
              <w:t>F-8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4" w:name="report_of_independent"/>
      <w:bookmarkEnd w:id="34"/>
      <w:r>
        <w:rPr>
          <w:rFonts w:ascii="Times New Roman" w:hAnsi="Times New Roman"/>
          <w:b/>
          <w:color w:val="000000"/>
          <w:sz w:val="18"/>
        </w:rPr>
        <w:t>REPORT OF INDEPENDENT</w:t>
      </w:r>
      <w:r>
        <w:rPr>
          <w:rFonts w:ascii="Times New Roman" w:hAnsi="Times New Roman"/>
          <w:color w:val="000000"/>
          <w:sz w:val="20"/>
        </w:rPr>
        <w:t xml:space="preserve"> </w:t>
      </w:r>
      <w:r>
        <w:rPr>
          <w:rFonts w:ascii="Times New Roman" w:hAnsi="Times New Roman"/>
          <w:b/>
          <w:color w:val="000000"/>
          <w:sz w:val="18"/>
        </w:rPr>
        <w:t>REG</w:t>
      </w:r>
      <w:bookmarkStart w:id="35" w:name="opinion"/>
      <w:bookmarkEnd w:id="35"/>
      <w:r>
        <w:rPr>
          <w:rFonts w:ascii="Times New Roman" w:hAnsi="Times New Roman"/>
          <w:b/>
          <w:color w:val="000000"/>
          <w:sz w:val="18"/>
        </w:rPr>
        <w:t>ISTERED PUBLIC ACCOUNTING FIRM</w:t>
      </w:r>
    </w:p>
    <w:p>
      <w:pPr>
        <w:pStyle w:val="TextBody"/>
        <w:bidi w:val="0"/>
        <w:spacing w:before="240" w:after="283"/>
        <w:jc w:val="left"/>
        <w:rPr>
          <w:rFonts w:ascii="Times New Roman" w:hAnsi="Times New Roman"/>
          <w:sz w:val="20"/>
        </w:rPr>
      </w:pPr>
      <w:r>
        <w:rPr>
          <w:rFonts w:ascii="Times New Roman" w:hAnsi="Times New Roman"/>
          <w:color w:val="000000"/>
          <w:sz w:val="18"/>
        </w:rPr>
        <w:t>To the Stockholders and the Board of Directors of Relay Therapeutics, Inc.</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18"/>
        </w:rPr>
      </w:pPr>
      <w:r>
        <w:rPr>
          <w:rFonts w:ascii="Times New Roman" w:hAnsi="Times New Roman"/>
          <w:b/>
          <w:color w:val="000000"/>
          <w:sz w:val="18"/>
        </w:rPr>
        <w:t>Opinion on the Financial Statements</w:t>
      </w:r>
    </w:p>
    <w:p>
      <w:pPr>
        <w:pStyle w:val="TextBody"/>
        <w:bidi w:val="0"/>
        <w:spacing w:before="240" w:after="283"/>
        <w:jc w:val="left"/>
        <w:rPr>
          <w:rFonts w:ascii="Times New Roman" w:hAnsi="Times New Roman"/>
          <w:sz w:val="20"/>
        </w:rPr>
      </w:pPr>
      <w:r>
        <w:rPr>
          <w:rFonts w:ascii="Times New Roman" w:hAnsi="Times New Roman"/>
          <w:color w:val="000000"/>
          <w:sz w:val="18"/>
        </w:rPr>
        <w:t>We have audited the accompanying consolidated balance sheets of Relay Therapeutics, Inc. (the Company) as of December 31, 2023 and 2022, the related consolidated statements of operations and comprehensive loss,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also have audited, in accordance with the standards of the Public Company Accounting Oversight Board (United States) (PCAOB), the Company's internal control over financial reporting as of December 31, 2023, based on criteria established in Internal Control-Integrated Framework issued by the Committee of Sponsoring Organizations of the Treadway Commission (2013 framework), and our report dated February 22, 2024 expressed an unqualified opinion thereon.</w:t>
      </w:r>
    </w:p>
    <w:p>
      <w:pPr>
        <w:pStyle w:val="TextBody"/>
        <w:bidi w:val="0"/>
        <w:spacing w:before="240" w:after="283"/>
        <w:jc w:val="both"/>
        <w:rPr>
          <w:rFonts w:ascii="Times New Roman" w:hAnsi="Times New Roman"/>
          <w:b/>
          <w:color w:val="000000"/>
          <w:sz w:val="18"/>
        </w:rPr>
      </w:pPr>
      <w:r>
        <w:rPr>
          <w:rFonts w:ascii="Times New Roman" w:hAnsi="Times New Roman"/>
          <w:b/>
          <w:color w:val="000000"/>
          <w:sz w:val="18"/>
        </w:rPr>
        <w:t>Basis for Opinion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rFonts w:ascii="Times New Roman" w:hAnsi="Times New Roman"/>
          <w:sz w:val="20"/>
        </w:rPr>
      </w:pPr>
      <w:r>
        <w:rPr>
          <w:rFonts w:ascii="Times New Roman" w:hAnsi="Times New Roman"/>
          <w:b/>
          <w:color w:val="000000"/>
          <w:sz w:val="18"/>
        </w:rPr>
        <w:t>Critical Audit Matter</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tbl>
      <w:tblPr>
        <w:tblW w:w="10205" w:type="dxa"/>
        <w:jc w:val="left"/>
        <w:tblInd w:w="0" w:type="dxa"/>
        <w:tblLayout w:type="fixed"/>
        <w:tblCellMar>
          <w:top w:w="28" w:type="dxa"/>
          <w:left w:w="28" w:type="dxa"/>
          <w:bottom w:w="28" w:type="dxa"/>
          <w:right w:w="28" w:type="dxa"/>
        </w:tblCellMar>
      </w:tblPr>
      <w:tblGrid>
        <w:gridCol w:w="1292"/>
        <w:gridCol w:w="109"/>
        <w:gridCol w:w="8804"/>
      </w:tblGrid>
      <w:tr>
        <w:trPr/>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4" w:type="dxa"/>
            <w:tcBorders/>
            <w:vAlign w:val="center"/>
          </w:tcPr>
          <w:p>
            <w:pPr>
              <w:pStyle w:val="TableContents"/>
              <w:bidi w:val="0"/>
              <w:spacing w:before="0" w:after="283"/>
              <w:jc w:val="left"/>
              <w:rPr>
                <w:sz w:val="4"/>
                <w:szCs w:val="4"/>
              </w:rPr>
            </w:pPr>
            <w:r>
              <w:rPr>
                <w:sz w:val="4"/>
                <w:szCs w:val="4"/>
              </w:rPr>
            </w:r>
          </w:p>
        </w:tc>
      </w:tr>
      <w:tr>
        <w:trPr/>
        <w:tc>
          <w:tcPr>
            <w:tcW w:w="1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4" w:type="dxa"/>
            <w:tcBorders/>
            <w:vAlign w:val="center"/>
          </w:tcPr>
          <w:p>
            <w:pPr>
              <w:pStyle w:val="TableContents"/>
              <w:bidi w:val="0"/>
              <w:spacing w:before="240" w:after="283"/>
              <w:jc w:val="left"/>
              <w:rPr>
                <w:rFonts w:ascii="Times New Roman" w:hAnsi="Times New Roman"/>
                <w:b/>
                <w:i/>
                <w:color w:val="000000"/>
                <w:sz w:val="18"/>
              </w:rPr>
            </w:pPr>
            <w:r>
              <w:rPr>
                <w:rFonts w:ascii="Times New Roman" w:hAnsi="Times New Roman"/>
                <w:b/>
                <w:i/>
                <w:color w:val="000000"/>
                <w:sz w:val="18"/>
              </w:rPr>
              <w:t>Valuation of Contingent Milestone Payments Liability</w:t>
            </w:r>
          </w:p>
        </w:tc>
      </w:tr>
      <w:tr>
        <w:trPr/>
        <w:tc>
          <w:tcPr>
            <w:tcW w:w="1292" w:type="dxa"/>
            <w:tcBorders/>
            <w:vAlign w:val="center"/>
          </w:tcPr>
          <w:p>
            <w:pPr>
              <w:pStyle w:val="TableContents"/>
              <w:bidi w:val="0"/>
              <w:spacing w:before="240" w:after="283"/>
              <w:jc w:val="left"/>
              <w:rPr>
                <w:rFonts w:ascii="Times New Roman" w:hAnsi="Times New Roman"/>
                <w:i/>
                <w:color w:val="000000"/>
                <w:sz w:val="18"/>
              </w:rPr>
            </w:pPr>
            <w:r>
              <w:rPr>
                <w:rFonts w:ascii="Times New Roman" w:hAnsi="Times New Roman"/>
                <w:i/>
                <w:color w:val="000000"/>
                <w:sz w:val="18"/>
              </w:rPr>
              <w:t>Description of the Matter</w:t>
            </w:r>
          </w:p>
        </w:tc>
        <w:tc>
          <w:tcPr>
            <w:tcW w:w="109" w:type="dxa"/>
            <w:tcBorders/>
            <w:vAlign w:val="center"/>
          </w:tcPr>
          <w:p>
            <w:pPr>
              <w:pStyle w:val="TableContents"/>
              <w:bidi w:val="0"/>
              <w:spacing w:before="0" w:after="283"/>
              <w:jc w:val="left"/>
              <w:rPr>
                <w:sz w:val="4"/>
                <w:szCs w:val="4"/>
              </w:rPr>
            </w:pPr>
            <w:r>
              <w:rPr>
                <w:sz w:val="4"/>
                <w:szCs w:val="4"/>
              </w:rPr>
            </w:r>
          </w:p>
        </w:tc>
        <w:tc>
          <w:tcPr>
            <w:tcW w:w="8804" w:type="dxa"/>
            <w:tcBorders/>
            <w:vAlign w:val="center"/>
          </w:tcPr>
          <w:p>
            <w:pPr>
              <w:pStyle w:val="TableContents"/>
              <w:bidi w:val="0"/>
              <w:spacing w:before="240" w:after="283"/>
              <w:jc w:val="both"/>
              <w:rPr>
                <w:rFonts w:ascii="Times New Roman" w:hAnsi="Times New Roman"/>
                <w:color w:val="000000"/>
                <w:sz w:val="18"/>
              </w:rPr>
            </w:pPr>
            <w:r>
              <w:rPr>
                <w:rFonts w:ascii="Times New Roman" w:hAnsi="Times New Roman"/>
                <w:color w:val="000000"/>
                <w:sz w:val="18"/>
              </w:rPr>
              <w:t>As discussed in Notes 3 and 10 to the consolidated financial statements, the Company’s acquisition-related Contingent Milestone Payments Liability is remeasured to its estimated fair value each reporting period. As of December 31, 2023, the acquisition-related Contingent Milestone Payments Liability was $8.2 million.</w:t>
            </w:r>
          </w:p>
          <w:p>
            <w:pPr>
              <w:pStyle w:val="TableContents"/>
              <w:bidi w:val="0"/>
              <w:spacing w:before="240" w:after="283"/>
              <w:jc w:val="both"/>
              <w:rPr>
                <w:rFonts w:ascii="Times New Roman" w:hAnsi="Times New Roman"/>
                <w:color w:val="000000"/>
                <w:sz w:val="18"/>
              </w:rPr>
            </w:pPr>
            <w:r>
              <w:rPr>
                <w:rFonts w:ascii="Times New Roman" w:hAnsi="Times New Roman"/>
                <w:color w:val="000000"/>
                <w:sz w:val="18"/>
              </w:rPr>
              <w:t xml:space="preserve">Auditing the valuation of the Contingent Milestone Payments Liability was especially subjective and judgmental due to the significant estimation required in determining the fair value. In particular, the fair value estimate was sensitive to significant assumptions including the probability of milestone achievement.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94"/>
        <w:gridCol w:w="109"/>
        <w:gridCol w:w="8902"/>
      </w:tblGrid>
      <w:tr>
        <w:trPr/>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02" w:type="dxa"/>
            <w:tcBorders/>
            <w:vAlign w:val="center"/>
          </w:tcPr>
          <w:p>
            <w:pPr>
              <w:pStyle w:val="TableContents"/>
              <w:bidi w:val="0"/>
              <w:spacing w:before="0" w:after="283"/>
              <w:jc w:val="left"/>
              <w:rPr>
                <w:sz w:val="4"/>
                <w:szCs w:val="4"/>
              </w:rPr>
            </w:pPr>
            <w:r>
              <w:rPr>
                <w:sz w:val="4"/>
                <w:szCs w:val="4"/>
              </w:rPr>
            </w:r>
          </w:p>
        </w:tc>
      </w:tr>
      <w:tr>
        <w:trPr/>
        <w:tc>
          <w:tcPr>
            <w:tcW w:w="1194" w:type="dxa"/>
            <w:tcBorders/>
            <w:vAlign w:val="center"/>
          </w:tcPr>
          <w:p>
            <w:pPr>
              <w:pStyle w:val="TableContents"/>
              <w:bidi w:val="0"/>
              <w:spacing w:before="240" w:after="283"/>
              <w:jc w:val="left"/>
              <w:rPr>
                <w:rFonts w:ascii="Times New Roman" w:hAnsi="Times New Roman"/>
                <w:i/>
                <w:color w:val="000000"/>
                <w:sz w:val="18"/>
              </w:rPr>
            </w:pPr>
            <w:r>
              <w:rPr>
                <w:rFonts w:ascii="Times New Roman" w:hAnsi="Times New Roman"/>
                <w:i/>
                <w:color w:val="000000"/>
                <w:sz w:val="18"/>
              </w:rPr>
              <w:t>How We Addressed the Matter in Our Audit</w:t>
            </w:r>
          </w:p>
        </w:tc>
        <w:tc>
          <w:tcPr>
            <w:tcW w:w="109" w:type="dxa"/>
            <w:tcBorders/>
            <w:vAlign w:val="center"/>
          </w:tcPr>
          <w:p>
            <w:pPr>
              <w:pStyle w:val="TableContents"/>
              <w:bidi w:val="0"/>
              <w:spacing w:before="0" w:after="283"/>
              <w:jc w:val="left"/>
              <w:rPr>
                <w:sz w:val="4"/>
                <w:szCs w:val="4"/>
              </w:rPr>
            </w:pPr>
            <w:r>
              <w:rPr>
                <w:sz w:val="4"/>
                <w:szCs w:val="4"/>
              </w:rPr>
            </w:r>
          </w:p>
        </w:tc>
        <w:tc>
          <w:tcPr>
            <w:tcW w:w="8902" w:type="dxa"/>
            <w:tcBorders/>
            <w:vAlign w:val="center"/>
          </w:tcPr>
          <w:p>
            <w:pPr>
              <w:pStyle w:val="TableContents"/>
              <w:bidi w:val="0"/>
              <w:spacing w:before="240" w:after="283"/>
              <w:jc w:val="both"/>
              <w:rPr>
                <w:rFonts w:ascii="Times New Roman" w:hAnsi="Times New Roman"/>
                <w:color w:val="000000"/>
                <w:sz w:val="18"/>
              </w:rPr>
            </w:pPr>
            <w:r>
              <w:rPr>
                <w:rFonts w:ascii="Times New Roman" w:hAnsi="Times New Roman"/>
                <w:color w:val="000000"/>
                <w:sz w:val="18"/>
              </w:rPr>
              <w:t>We obtained an understanding, evaluated the design and tested the operating effectiveness of controls over the Company’s valuation of the Contingent Milestone Payments Liability. For example, we tested controls over management’s review of the valuation model and the significant assumptions utilized in the calculation, which is the probability of achieving certain platform and program-related milestones.</w:t>
            </w:r>
          </w:p>
          <w:p>
            <w:pPr>
              <w:pStyle w:val="TableContents"/>
              <w:bidi w:val="0"/>
              <w:spacing w:before="240" w:after="283"/>
              <w:jc w:val="both"/>
              <w:rPr>
                <w:rFonts w:ascii="Times New Roman" w:hAnsi="Times New Roman"/>
                <w:color w:val="000000"/>
                <w:sz w:val="18"/>
              </w:rPr>
            </w:pPr>
            <w:r>
              <w:rPr>
                <w:rFonts w:ascii="Times New Roman" w:hAnsi="Times New Roman"/>
                <w:color w:val="000000"/>
                <w:sz w:val="18"/>
              </w:rPr>
              <w:t>To test the valuation of the Contingent Milestone Payments Liability, we performed audit procedures that included, among others, assessing the terms of the arrangement, evaluating the methodology used, testing the significant assumptions discussed above and testing the completeness and accuracy of the underlying data. For example, to test the estimated probability of achieving milestones, we considered the stage of development of the research in relation to relevant external data and discussed these probabilities with the Company’s executives, including those in research and development. In addition, we performed sensitivity analyses of the significant assumptions to evaluate the change in the fair value of the Contingent Milestone Payments Liability resulting from changes in the significant assumptions.</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/s/ Ernst &amp; Young LLP</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served as the Company’s auditor since 2017.</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Boston, Massachusetts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February 22,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Relay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6" w:name="consolidated_balance_sheets"/>
      <w:bookmarkEnd w:id="36"/>
      <w:r>
        <w:rPr>
          <w:rFonts w:ascii="Times New Roman" w:hAnsi="Times New Roman"/>
          <w:color w:val="000000"/>
          <w:sz w:val="18"/>
        </w:rPr>
        <w:t>Consolidated Balance Sheets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18"/>
        </w:rPr>
        <w:t>(In thousands, except share and per share amounts)</w:t>
      </w:r>
      <w:r>
        <w:rPr>
          <w:rFonts w:ascii="Times New Roman" w:hAnsi="Times New Roman"/>
          <w:color w:val="000000"/>
          <w:sz w:val="20"/>
        </w:rPr>
        <w:t xml:space="preserve"> </w:t>
      </w:r>
    </w:p>
    <w:tbl>
      <w:tblPr>
        <w:tblW w:w="9545" w:type="dxa"/>
        <w:jc w:val="left"/>
        <w:tblInd w:w="0" w:type="dxa"/>
        <w:tblLayout w:type="fixed"/>
        <w:tblCellMar>
          <w:top w:w="28" w:type="dxa"/>
          <w:left w:w="28" w:type="dxa"/>
          <w:bottom w:w="28" w:type="dxa"/>
          <w:right w:w="28" w:type="dxa"/>
        </w:tblCellMar>
      </w:tblPr>
      <w:tblGrid>
        <w:gridCol w:w="6246"/>
        <w:gridCol w:w="146"/>
        <w:gridCol w:w="220"/>
        <w:gridCol w:w="995"/>
        <w:gridCol w:w="166"/>
        <w:gridCol w:w="146"/>
        <w:gridCol w:w="220"/>
        <w:gridCol w:w="995"/>
        <w:gridCol w:w="411"/>
      </w:tblGrid>
      <w:tr>
        <w:trPr/>
        <w:tc>
          <w:tcPr>
            <w:tcW w:w="6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151,794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606,350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847,123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Contract asset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770,103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1,019,505</w:t>
            </w:r>
          </w:p>
        </w:tc>
        <w:tc>
          <w:tcPr>
            <w:tcW w:w="4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11,634</w:t>
            </w:r>
          </w:p>
        </w:tc>
        <w:tc>
          <w:tcPr>
            <w:tcW w:w="4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63,754</w:t>
            </w:r>
          </w:p>
        </w:tc>
        <w:tc>
          <w:tcPr>
            <w:tcW w:w="4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w:t>
            </w:r>
          </w:p>
        </w:tc>
        <w:tc>
          <w:tcPr>
            <w:tcW w:w="4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843,980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1,099,771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10,578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63,709</w:t>
            </w:r>
          </w:p>
        </w:tc>
        <w:tc>
          <w:tcPr>
            <w:tcW w:w="411" w:type="dxa"/>
            <w:tcBorders/>
            <w:shd w:fill="CFF0FC" w:val="cle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53,466</w:t>
            </w:r>
          </w:p>
        </w:tc>
        <w:tc>
          <w:tcPr>
            <w:tcW w:w="4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 consideration liability</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149,553</w:t>
            </w:r>
          </w:p>
        </w:tc>
        <w:tc>
          <w:tcPr>
            <w:tcW w:w="411" w:type="dxa"/>
            <w:tcBorders/>
            <w:shd w:fill="FFFFFF" w:val="cle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 12)</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Undesignated preferred stock, $0.001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as of</w:t>
              <w:br/>
              <w:t>   December 31, 2023 and December 31, 2022; no</w:t>
            </w:r>
            <w:r>
              <w:rPr>
                <w:rFonts w:ascii="Times New Roman" w:hAnsi="Times New Roman"/>
                <w:color w:val="000000"/>
                <w:sz w:val="20"/>
              </w:rPr>
              <w:t> </w:t>
            </w:r>
            <w:r>
              <w:rPr>
                <w:rFonts w:ascii="Times New Roman" w:hAnsi="Times New Roman"/>
                <w:color w:val="000000"/>
                <w:sz w:val="18"/>
              </w:rPr>
              <w:t>shares issued and outstanding as</w:t>
              <w:br/>
              <w:t>   of December 31, 2023 and December 31, 2022</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 300,000,000</w:t>
            </w:r>
            <w:r>
              <w:rPr>
                <w:rFonts w:ascii="Times New Roman" w:hAnsi="Times New Roman"/>
                <w:color w:val="000000"/>
                <w:sz w:val="20"/>
              </w:rPr>
              <w:t> </w:t>
            </w:r>
            <w:r>
              <w:rPr>
                <w:rFonts w:ascii="Times New Roman" w:hAnsi="Times New Roman"/>
                <w:color w:val="000000"/>
                <w:sz w:val="18"/>
              </w:rPr>
              <w:t xml:space="preserve">shares authorized as of December </w:t>
              <w:br/>
              <w:t>   31, 2023, and December 31, 2022; 127,462,409</w:t>
            </w:r>
            <w:r>
              <w:rPr>
                <w:rFonts w:ascii="Times New Roman" w:hAnsi="Times New Roman"/>
                <w:color w:val="000000"/>
                <w:sz w:val="20"/>
              </w:rPr>
              <w:t> </w:t>
            </w:r>
            <w:r>
              <w:rPr>
                <w:rFonts w:ascii="Times New Roman" w:hAnsi="Times New Roman"/>
                <w:color w:val="000000"/>
                <w:sz w:val="18"/>
              </w:rPr>
              <w:t>and 121,112,234</w:t>
            </w:r>
            <w:r>
              <w:rPr>
                <w:rFonts w:ascii="Times New Roman" w:hAnsi="Times New Roman"/>
                <w:color w:val="000000"/>
                <w:sz w:val="20"/>
              </w:rPr>
              <w:t> </w:t>
            </w:r>
            <w:r>
              <w:rPr>
                <w:rFonts w:ascii="Times New Roman" w:hAnsi="Times New Roman"/>
                <w:color w:val="000000"/>
                <w:sz w:val="18"/>
              </w:rPr>
              <w:t xml:space="preserve">shares issued </w:t>
              <w:br/>
              <w:t>   and outstanding as of December 31, 2023 and December 31, 2022, respectively</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2,152,654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2,019,126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2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(1,058,609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752,003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950,218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843,980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1,099,771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18"/>
        </w:rPr>
        <w:t>See accompanying notes.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Relay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7" w:name="consolidated_statements_of"/>
      <w:bookmarkEnd w:id="37"/>
      <w:r>
        <w:rPr>
          <w:rFonts w:ascii="Times New Roman" w:hAnsi="Times New Roman"/>
          <w:color w:val="000000"/>
          <w:sz w:val="18"/>
        </w:rPr>
        <w:t>Consolidated Statements of Oper</w:t>
      </w:r>
      <w:bookmarkStart w:id="38" w:name="consolidated_statements_operations_compr"/>
      <w:bookmarkEnd w:id="38"/>
      <w:r>
        <w:rPr>
          <w:rFonts w:ascii="Times New Roman" w:hAnsi="Times New Roman"/>
          <w:color w:val="000000"/>
          <w:sz w:val="18"/>
        </w:rPr>
        <w:t>ations and Comprehensive Loss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18"/>
        </w:rPr>
        <w:t>(In thousands, except share and per share data)</w:t>
      </w:r>
      <w:r>
        <w:rPr>
          <w:rFonts w:ascii="Times New Roman" w:hAnsi="Times New Roman"/>
          <w:color w:val="000000"/>
          <w:sz w:val="20"/>
        </w:rPr>
        <w:t xml:space="preserve"> </w:t>
      </w:r>
    </w:p>
    <w:tbl>
      <w:tblPr>
        <w:tblW w:w="9323" w:type="dxa"/>
        <w:jc w:val="left"/>
        <w:tblInd w:w="0" w:type="dxa"/>
        <w:tblLayout w:type="fixed"/>
        <w:tblCellMar>
          <w:top w:w="28" w:type="dxa"/>
          <w:left w:w="28" w:type="dxa"/>
          <w:bottom w:w="28" w:type="dxa"/>
          <w:right w:w="28" w:type="dxa"/>
        </w:tblCellMar>
      </w:tblPr>
      <w:tblGrid>
        <w:gridCol w:w="4426"/>
        <w:gridCol w:w="146"/>
        <w:gridCol w:w="196"/>
        <w:gridCol w:w="1006"/>
        <w:gridCol w:w="166"/>
        <w:gridCol w:w="146"/>
        <w:gridCol w:w="196"/>
        <w:gridCol w:w="1006"/>
        <w:gridCol w:w="166"/>
        <w:gridCol w:w="146"/>
        <w:gridCol w:w="196"/>
        <w:gridCol w:w="916"/>
        <w:gridCol w:w="6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and other revenue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4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172,650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4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In-process research and development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123,000</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4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initial consolidation of variable interest entity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4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fair value of contingent consideration liability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44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300,656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367,727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(373,000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(299,275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(364,698</w:t>
            </w:r>
          </w:p>
        </w:tc>
        <w:tc>
          <w:tcPr>
            <w:tcW w:w="6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44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44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expense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(363,872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of common stock,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122,576,527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112,233,649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95,136,719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442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Unrealized holding gain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Total other comprehensive gain (loss)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comprehensive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(331,749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(365,024</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18"/>
        </w:rPr>
        <w:t>See accompanying notes.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Relay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9" w:name="consolidated_statements"/>
      <w:bookmarkEnd w:id="39"/>
      <w:r>
        <w:rPr>
          <w:rFonts w:ascii="Times New Roman" w:hAnsi="Times New Roman"/>
          <w:color w:val="000000"/>
          <w:sz w:val="18"/>
        </w:rPr>
        <w:t xml:space="preserve">Consolidated Statements of </w:t>
      </w:r>
      <w:bookmarkStart w:id="40" w:name="consolidated_statements_convertible_pref"/>
      <w:bookmarkEnd w:id="40"/>
      <w:r>
        <w:rPr>
          <w:rFonts w:ascii="Times New Roman" w:hAnsi="Times New Roman"/>
          <w:color w:val="000000"/>
          <w:sz w:val="18"/>
        </w:rPr>
        <w:t>Stockholders’ Equity</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18"/>
        </w:rPr>
        <w:t>(In thousands, except share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503"/>
        <w:gridCol w:w="146"/>
        <w:gridCol w:w="146"/>
        <w:gridCol w:w="1006"/>
        <w:gridCol w:w="146"/>
        <w:gridCol w:w="146"/>
        <w:gridCol w:w="212"/>
        <w:gridCol w:w="408"/>
        <w:gridCol w:w="146"/>
        <w:gridCol w:w="146"/>
        <w:gridCol w:w="196"/>
        <w:gridCol w:w="826"/>
        <w:gridCol w:w="146"/>
        <w:gridCol w:w="146"/>
        <w:gridCol w:w="233"/>
        <w:gridCol w:w="788"/>
        <w:gridCol w:w="166"/>
        <w:gridCol w:w="146"/>
        <w:gridCol w:w="196"/>
        <w:gridCol w:w="886"/>
        <w:gridCol w:w="166"/>
        <w:gridCol w:w="146"/>
        <w:gridCol w:w="196"/>
        <w:gridCol w:w="751"/>
        <w:gridCol w:w="212"/>
      </w:tblGrid>
      <w:tr>
        <w:trPr/>
        <w:tc>
          <w:tcPr>
            <w:tcW w:w="25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5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2" w:type="dxa"/>
            <w:tcBorders/>
            <w:shd w:fill="FFFFFF" w:val="clear"/>
            <w:vAlign w:val="center"/>
          </w:tcPr>
          <w:p>
            <w:pPr>
              <w:pStyle w:val="TableContents"/>
              <w:bidi w:val="0"/>
              <w:spacing w:before="0" w:after="283"/>
              <w:jc w:val="center"/>
              <w:rPr/>
            </w:pPr>
            <w:r>
              <w:rPr/>
              <w:t> </w:t>
            </w:r>
          </w:p>
        </w:tc>
      </w:tr>
      <w:tr>
        <w:trPr/>
        <w:tc>
          <w:tcPr>
            <w:tcW w:w="25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89,906,835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1,167,367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(404,228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763,293</w:t>
            </w:r>
          </w:p>
        </w:tc>
        <w:tc>
          <w:tcPr>
            <w:tcW w:w="212" w:type="dxa"/>
            <w:tcBorders/>
            <w:shd w:fill="CFF0FC"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acquisition of ZebiAI</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1,914,219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62,992</w:t>
            </w:r>
          </w:p>
        </w:tc>
        <w:tc>
          <w:tcPr>
            <w:tcW w:w="212" w:type="dxa"/>
            <w:tcBorders/>
            <w:shd w:fill="FFFFFF" w:val="clear"/>
            <w:vAlign w:val="center"/>
          </w:tcPr>
          <w:p>
            <w:pPr>
              <w:pStyle w:val="TableContents"/>
              <w:bidi w:val="0"/>
              <w:spacing w:before="0" w:after="283"/>
              <w:jc w:val="left"/>
              <w:rPr/>
            </w:pPr>
            <w:r>
              <w:rPr/>
              <w:t> </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through follow-on offering,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15,188,679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382,195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382,210</w:t>
            </w:r>
          </w:p>
        </w:tc>
        <w:tc>
          <w:tcPr>
            <w:tcW w:w="212" w:type="dxa"/>
            <w:tcBorders/>
            <w:shd w:fill="CFF0FC"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through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996,536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4,739</w:t>
            </w:r>
          </w:p>
        </w:tc>
        <w:tc>
          <w:tcPr>
            <w:tcW w:w="212" w:type="dxa"/>
            <w:tcBorders/>
            <w:shd w:fill="FFFFFF" w:val="clear"/>
            <w:vAlign w:val="center"/>
          </w:tcPr>
          <w:p>
            <w:pPr>
              <w:pStyle w:val="TableContents"/>
              <w:bidi w:val="0"/>
              <w:spacing w:before="0" w:after="283"/>
              <w:jc w:val="left"/>
              <w:rPr/>
            </w:pPr>
            <w:r>
              <w:rPr/>
              <w:t> </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via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w:t>
            </w:r>
          </w:p>
        </w:tc>
        <w:tc>
          <w:tcPr>
            <w:tcW w:w="212" w:type="dxa"/>
            <w:tcBorders/>
            <w:shd w:fill="CFF0FC"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84,489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212" w:type="dxa"/>
            <w:tcBorders/>
            <w:shd w:fill="FFFFFF" w:val="clear"/>
            <w:vAlign w:val="center"/>
          </w:tcPr>
          <w:p>
            <w:pPr>
              <w:pStyle w:val="TableContents"/>
              <w:bidi w:val="0"/>
              <w:spacing w:before="0" w:after="283"/>
              <w:jc w:val="left"/>
              <w:rPr/>
            </w:pPr>
            <w:r>
              <w:rPr/>
              <w:t> </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48,454</w:t>
            </w:r>
          </w:p>
        </w:tc>
        <w:tc>
          <w:tcPr>
            <w:tcW w:w="212" w:type="dxa"/>
            <w:tcBorders/>
            <w:shd w:fill="FFFFFF" w:val="clear"/>
            <w:vAlign w:val="center"/>
          </w:tcPr>
          <w:p>
            <w:pPr>
              <w:pStyle w:val="TableContents"/>
              <w:bidi w:val="0"/>
              <w:spacing w:before="0" w:after="283"/>
              <w:jc w:val="left"/>
              <w:rPr/>
            </w:pPr>
            <w:r>
              <w:rPr/>
              <w:t> </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w:t>
            </w:r>
          </w:p>
        </w:tc>
        <w:tc>
          <w:tcPr>
            <w:tcW w:w="21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(363,872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(363,872</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108,210,318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1,666,887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897,808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milestone achievement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6,203</w:t>
            </w:r>
          </w:p>
        </w:tc>
        <w:tc>
          <w:tcPr>
            <w:tcW w:w="212" w:type="dxa"/>
            <w:tcBorders/>
            <w:shd w:fill="FFFFFF" w:val="clear"/>
            <w:vAlign w:val="center"/>
          </w:tcPr>
          <w:p>
            <w:pPr>
              <w:pStyle w:val="TableContents"/>
              <w:bidi w:val="0"/>
              <w:spacing w:before="0" w:after="283"/>
              <w:jc w:val="left"/>
              <w:rPr/>
            </w:pPr>
            <w:r>
              <w:rPr/>
              <w:t> </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through follow-on offering, net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11,320,755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284,733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284,744</w:t>
            </w:r>
          </w:p>
        </w:tc>
        <w:tc>
          <w:tcPr>
            <w:tcW w:w="212" w:type="dxa"/>
            <w:tcBorders/>
            <w:shd w:fill="CFF0FC"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through exercise of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757,873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w:t>
            </w:r>
          </w:p>
        </w:tc>
        <w:tc>
          <w:tcPr>
            <w:tcW w:w="212" w:type="dxa"/>
            <w:tcBorders/>
            <w:shd w:fill="FFFFFF" w:val="clear"/>
            <w:vAlign w:val="center"/>
          </w:tcPr>
          <w:p>
            <w:pPr>
              <w:pStyle w:val="TableContents"/>
              <w:bidi w:val="0"/>
              <w:spacing w:before="0" w:after="283"/>
              <w:jc w:val="left"/>
              <w:rPr/>
            </w:pPr>
            <w:r>
              <w:rPr/>
              <w:t> </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via employee stock purchase plan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w:t>
            </w:r>
          </w:p>
        </w:tc>
        <w:tc>
          <w:tcPr>
            <w:tcW w:w="212" w:type="dxa"/>
            <w:tcBorders/>
            <w:shd w:fill="CFF0FC"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398,330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212" w:type="dxa"/>
            <w:tcBorders/>
            <w:shd w:fill="FFFFFF" w:val="clear"/>
            <w:vAlign w:val="center"/>
          </w:tcPr>
          <w:p>
            <w:pPr>
              <w:pStyle w:val="TableContents"/>
              <w:bidi w:val="0"/>
              <w:spacing w:before="0" w:after="283"/>
              <w:jc w:val="left"/>
              <w:rPr/>
            </w:pPr>
            <w:r>
              <w:rPr/>
              <w:t> </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56,138</w:t>
            </w:r>
          </w:p>
        </w:tc>
        <w:tc>
          <w:tcPr>
            <w:tcW w:w="212" w:type="dxa"/>
            <w:tcBorders/>
            <w:shd w:fill="CFF0FC"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investments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(9,332</w:t>
            </w:r>
          </w:p>
        </w:tc>
        <w:tc>
          <w:tcPr>
            <w:tcW w:w="21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(290,509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(290,509</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121,112,234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2,019,126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950,218</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milestone achievement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1,797,064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12,750</w:t>
            </w:r>
          </w:p>
        </w:tc>
        <w:tc>
          <w:tcPr>
            <w:tcW w:w="212" w:type="dxa"/>
            <w:tcBorders/>
            <w:shd w:fill="CFF0FC"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via At-the-Market offerings, net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3,026,072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30,281</w:t>
            </w:r>
          </w:p>
        </w:tc>
        <w:tc>
          <w:tcPr>
            <w:tcW w:w="212" w:type="dxa"/>
            <w:tcBorders/>
            <w:shd w:fill="FFFFFF" w:val="clear"/>
            <w:vAlign w:val="center"/>
          </w:tcPr>
          <w:p>
            <w:pPr>
              <w:pStyle w:val="TableContents"/>
              <w:bidi w:val="0"/>
              <w:spacing w:before="0" w:after="283"/>
              <w:jc w:val="left"/>
              <w:rPr/>
            </w:pPr>
            <w:r>
              <w:rPr/>
              <w:t> </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through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399,498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w:t>
            </w:r>
          </w:p>
        </w:tc>
        <w:tc>
          <w:tcPr>
            <w:tcW w:w="212" w:type="dxa"/>
            <w:tcBorders/>
            <w:shd w:fill="CFF0FC"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via employee stock purchase plan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w:t>
            </w:r>
          </w:p>
        </w:tc>
        <w:tc>
          <w:tcPr>
            <w:tcW w:w="212" w:type="dxa"/>
            <w:tcBorders/>
            <w:shd w:fill="FFFFFF" w:val="clear"/>
            <w:vAlign w:val="center"/>
          </w:tcPr>
          <w:p>
            <w:pPr>
              <w:pStyle w:val="TableContents"/>
              <w:bidi w:val="0"/>
              <w:spacing w:before="0" w:after="283"/>
              <w:jc w:val="left"/>
              <w:rPr/>
            </w:pPr>
            <w:r>
              <w:rPr/>
              <w:t> </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883,416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12" w:type="dxa"/>
            <w:tcBorders/>
            <w:shd w:fill="CFF0FC"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40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86,031</w:t>
            </w:r>
          </w:p>
        </w:tc>
        <w:tc>
          <w:tcPr>
            <w:tcW w:w="212" w:type="dxa"/>
            <w:tcBorders/>
            <w:shd w:fill="FFFFFF" w:val="clear"/>
            <w:vAlign w:val="center"/>
          </w:tcPr>
          <w:p>
            <w:pPr>
              <w:pStyle w:val="TableContents"/>
              <w:bidi w:val="0"/>
              <w:spacing w:before="0" w:after="283"/>
              <w:jc w:val="left"/>
              <w:rPr/>
            </w:pPr>
            <w:r>
              <w:rPr/>
              <w:t> </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on investments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40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10,224</w:t>
            </w:r>
          </w:p>
        </w:tc>
        <w:tc>
          <w:tcPr>
            <w:tcW w:w="212" w:type="dxa"/>
            <w:tcBorders/>
            <w:shd w:fill="CFF0FC" w:val="clear"/>
            <w:vAlign w:val="center"/>
          </w:tcPr>
          <w:p>
            <w:pPr>
              <w:pStyle w:val="TableContents"/>
              <w:bidi w:val="0"/>
              <w:spacing w:before="0" w:after="283"/>
              <w:jc w:val="left"/>
              <w:rPr/>
            </w:pPr>
            <w:r>
              <w:rPr/>
              <w:t> </w:t>
            </w:r>
          </w:p>
        </w:tc>
      </w:tr>
      <w:tr>
        <w:trPr/>
        <w:tc>
          <w:tcPr>
            <w:tcW w:w="250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(341,973</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127,462,409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2,152,654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(1,400,582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752,003</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Relay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1" w:name="consolidated"/>
      <w:bookmarkEnd w:id="41"/>
      <w:r>
        <w:rPr>
          <w:rFonts w:ascii="Times New Roman" w:hAnsi="Times New Roman"/>
          <w:color w:val="000000"/>
          <w:sz w:val="18"/>
        </w:rPr>
        <w:t>Consolidated Statem</w:t>
      </w:r>
      <w:bookmarkStart w:id="42" w:name="consolidated_statements_cash_flows"/>
      <w:bookmarkEnd w:id="42"/>
      <w:r>
        <w:rPr>
          <w:rFonts w:ascii="Times New Roman" w:hAnsi="Times New Roman"/>
          <w:color w:val="000000"/>
          <w:sz w:val="18"/>
        </w:rPr>
        <w:t>ents of Cash Flows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18"/>
        </w:rPr>
        <w:t>(In thousands)</w:t>
      </w:r>
      <w:r>
        <w:rPr>
          <w:rFonts w:ascii="Times New Roman" w:hAnsi="Times New Roman"/>
          <w:color w:val="000000"/>
          <w:sz w:val="20"/>
        </w:rPr>
        <w:t xml:space="preserve"> </w:t>
      </w:r>
    </w:p>
    <w:tbl>
      <w:tblPr>
        <w:tblW w:w="9653" w:type="dxa"/>
        <w:jc w:val="left"/>
        <w:tblInd w:w="0" w:type="dxa"/>
        <w:tblLayout w:type="fixed"/>
        <w:tblCellMar>
          <w:top w:w="28" w:type="dxa"/>
          <w:left w:w="28" w:type="dxa"/>
          <w:bottom w:w="28" w:type="dxa"/>
          <w:right w:w="28" w:type="dxa"/>
        </w:tblCellMar>
      </w:tblPr>
      <w:tblGrid>
        <w:gridCol w:w="5631"/>
        <w:gridCol w:w="146"/>
        <w:gridCol w:w="196"/>
        <w:gridCol w:w="751"/>
        <w:gridCol w:w="166"/>
        <w:gridCol w:w="146"/>
        <w:gridCol w:w="196"/>
        <w:gridCol w:w="751"/>
        <w:gridCol w:w="166"/>
        <w:gridCol w:w="146"/>
        <w:gridCol w:w="196"/>
        <w:gridCol w:w="751"/>
        <w:gridCol w:w="411"/>
      </w:tblGrid>
      <w:tr>
        <w:trPr/>
        <w:tc>
          <w:tcPr>
            <w:tcW w:w="5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3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6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(341,973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(290,509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(363,872</w:t>
            </w:r>
          </w:p>
        </w:tc>
        <w:tc>
          <w:tcPr>
            <w:tcW w:w="4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56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48,454</w:t>
            </w:r>
          </w:p>
        </w:tc>
        <w:tc>
          <w:tcPr>
            <w:tcW w:w="411" w:type="dxa"/>
            <w:tcBorders/>
            <w:shd w:fill="FFFFFF" w:val="clear"/>
            <w:vAlign w:val="center"/>
          </w:tcPr>
          <w:p>
            <w:pPr>
              <w:pStyle w:val="TableContents"/>
              <w:bidi w:val="0"/>
              <w:spacing w:before="0" w:after="283"/>
              <w:jc w:val="left"/>
              <w:rPr/>
            </w:pPr>
            <w:r>
              <w:rPr/>
              <w:t> </w:t>
            </w:r>
          </w:p>
        </w:tc>
      </w:tr>
      <w:tr>
        <w:trPr/>
        <w:tc>
          <w:tcPr>
            <w:tcW w:w="56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3,925</w:t>
            </w:r>
          </w:p>
        </w:tc>
        <w:tc>
          <w:tcPr>
            <w:tcW w:w="411" w:type="dxa"/>
            <w:tcBorders/>
            <w:shd w:fill="CFF0FC" w:val="clear"/>
            <w:vAlign w:val="center"/>
          </w:tcPr>
          <w:p>
            <w:pPr>
              <w:pStyle w:val="TableContents"/>
              <w:bidi w:val="0"/>
              <w:spacing w:before="0" w:after="283"/>
              <w:jc w:val="left"/>
              <w:rPr/>
            </w:pPr>
            <w:r>
              <w:rPr/>
              <w:t> </w:t>
            </w:r>
          </w:p>
        </w:tc>
      </w:tr>
      <w:tr>
        <w:trPr/>
        <w:tc>
          <w:tcPr>
            <w:tcW w:w="56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amortization of premiums and discounts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2,052</w:t>
            </w:r>
          </w:p>
        </w:tc>
        <w:tc>
          <w:tcPr>
            <w:tcW w:w="411" w:type="dxa"/>
            <w:tcBorders/>
            <w:shd w:fill="FFFFFF" w:val="clear"/>
            <w:vAlign w:val="center"/>
          </w:tcPr>
          <w:p>
            <w:pPr>
              <w:pStyle w:val="TableContents"/>
              <w:bidi w:val="0"/>
              <w:spacing w:before="0" w:after="283"/>
              <w:jc w:val="left"/>
              <w:rPr/>
            </w:pPr>
            <w:r>
              <w:rPr/>
              <w:t> </w:t>
            </w:r>
          </w:p>
        </w:tc>
      </w:tr>
      <w:tr>
        <w:trPr/>
        <w:tc>
          <w:tcPr>
            <w:tcW w:w="56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in-process research and development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123,000</w:t>
            </w:r>
          </w:p>
        </w:tc>
        <w:tc>
          <w:tcPr>
            <w:tcW w:w="411" w:type="dxa"/>
            <w:tcBorders/>
            <w:shd w:fill="CFF0FC" w:val="clear"/>
            <w:vAlign w:val="center"/>
          </w:tcPr>
          <w:p>
            <w:pPr>
              <w:pStyle w:val="TableContents"/>
              <w:bidi w:val="0"/>
              <w:spacing w:before="0" w:after="283"/>
              <w:jc w:val="left"/>
              <w:rPr/>
            </w:pPr>
            <w:r>
              <w:rPr/>
              <w:t> </w:t>
            </w:r>
          </w:p>
        </w:tc>
      </w:tr>
      <w:tr>
        <w:trPr/>
        <w:tc>
          <w:tcPr>
            <w:tcW w:w="56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initial consolidation of variable interest entity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11,855</w:t>
            </w:r>
          </w:p>
        </w:tc>
        <w:tc>
          <w:tcPr>
            <w:tcW w:w="411" w:type="dxa"/>
            <w:tcBorders/>
            <w:shd w:fill="FFFFFF" w:val="clear"/>
            <w:vAlign w:val="center"/>
          </w:tcPr>
          <w:p>
            <w:pPr>
              <w:pStyle w:val="TableContents"/>
              <w:bidi w:val="0"/>
              <w:spacing w:before="0" w:after="283"/>
              <w:jc w:val="left"/>
              <w:rPr/>
            </w:pPr>
            <w:r>
              <w:rPr/>
              <w:t> </w:t>
            </w:r>
          </w:p>
        </w:tc>
      </w:tr>
      <w:tr>
        <w:trPr/>
        <w:tc>
          <w:tcPr>
            <w:tcW w:w="56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contingent consideration liability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w:t>
            </w:r>
          </w:p>
        </w:tc>
        <w:tc>
          <w:tcPr>
            <w:tcW w:w="411" w:type="dxa"/>
            <w:tcBorders/>
            <w:shd w:fill="CFF0FC" w:val="clear"/>
            <w:vAlign w:val="center"/>
          </w:tcPr>
          <w:p>
            <w:pPr>
              <w:pStyle w:val="TableContents"/>
              <w:bidi w:val="0"/>
              <w:spacing w:before="0" w:after="283"/>
              <w:jc w:val="left"/>
              <w:rPr/>
            </w:pPr>
            <w:r>
              <w:rPr/>
              <w:t> </w:t>
            </w:r>
          </w:p>
        </w:tc>
      </w:tr>
      <w:tr>
        <w:trPr/>
        <w:tc>
          <w:tcPr>
            <w:tcW w:w="56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5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74,677</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Contract asset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assets and liabilities,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(32,144</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21,002</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(300,316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(229,490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(74,406</w:t>
            </w:r>
          </w:p>
        </w:tc>
        <w:tc>
          <w:tcPr>
            <w:tcW w:w="4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3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6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(3,471</w:t>
            </w:r>
          </w:p>
        </w:tc>
        <w:tc>
          <w:tcPr>
            <w:tcW w:w="4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(385,542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(535,419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(980,665</w:t>
            </w:r>
          </w:p>
        </w:tc>
        <w:tc>
          <w:tcPr>
            <w:tcW w:w="4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maturities of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647,302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355,736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529,923</w:t>
            </w:r>
          </w:p>
        </w:tc>
        <w:tc>
          <w:tcPr>
            <w:tcW w:w="411" w:type="dxa"/>
            <w:tcBorders/>
            <w:shd w:fill="CFF0FC" w:val="clear"/>
            <w:vAlign w:val="center"/>
          </w:tcPr>
          <w:p>
            <w:pPr>
              <w:pStyle w:val="TableContents"/>
              <w:bidi w:val="0"/>
              <w:spacing w:before="0" w:after="283"/>
              <w:jc w:val="left"/>
              <w:rPr/>
            </w:pPr>
            <w:r>
              <w:rPr/>
              <w:t> </w:t>
            </w:r>
          </w:p>
        </w:tc>
      </w:tr>
      <w:tr>
        <w:trPr/>
        <w:tc>
          <w:tcPr>
            <w:tcW w:w="56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acquisition of ZebiAI, net of cash acquired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(188,745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(479,511</w:t>
            </w:r>
          </w:p>
        </w:tc>
        <w:tc>
          <w:tcPr>
            <w:tcW w:w="4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3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56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through follow-on offering,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284,744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382,210</w:t>
            </w:r>
          </w:p>
        </w:tc>
        <w:tc>
          <w:tcPr>
            <w:tcW w:w="411" w:type="dxa"/>
            <w:tcBorders/>
            <w:shd w:fill="CFF0FC" w:val="clear"/>
            <w:vAlign w:val="center"/>
          </w:tcPr>
          <w:p>
            <w:pPr>
              <w:pStyle w:val="TableContents"/>
              <w:bidi w:val="0"/>
              <w:spacing w:before="0" w:after="283"/>
              <w:jc w:val="left"/>
              <w:rPr/>
            </w:pPr>
            <w:r>
              <w:rPr/>
              <w:t> </w:t>
            </w:r>
          </w:p>
        </w:tc>
      </w:tr>
      <w:tr>
        <w:trPr/>
        <w:tc>
          <w:tcPr>
            <w:tcW w:w="56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via At-the-Market offerings, net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jc w:val="left"/>
              <w:rPr/>
            </w:pPr>
            <w:r>
              <w:rPr/>
              <w:t> </w:t>
            </w:r>
          </w:p>
        </w:tc>
      </w:tr>
      <w:tr>
        <w:trPr/>
        <w:tc>
          <w:tcPr>
            <w:tcW w:w="56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through exercise of stock options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4,739</w:t>
            </w:r>
          </w:p>
        </w:tc>
        <w:tc>
          <w:tcPr>
            <w:tcW w:w="411" w:type="dxa"/>
            <w:tcBorders/>
            <w:shd w:fill="CFF0FC" w:val="clear"/>
            <w:vAlign w:val="center"/>
          </w:tcPr>
          <w:p>
            <w:pPr>
              <w:pStyle w:val="TableContents"/>
              <w:bidi w:val="0"/>
              <w:spacing w:before="0" w:after="283"/>
              <w:jc w:val="left"/>
              <w:rPr/>
            </w:pPr>
            <w:r>
              <w:rPr/>
              <w:t> </w:t>
            </w:r>
          </w:p>
        </w:tc>
      </w:tr>
      <w:tr>
        <w:trPr/>
        <w:tc>
          <w:tcPr>
            <w:tcW w:w="56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via employee stock purchase plan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289,910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388,090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3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(128,325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(165,827</w:t>
            </w:r>
          </w:p>
        </w:tc>
        <w:tc>
          <w:tcPr>
            <w:tcW w:w="4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6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448,524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282,697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3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ind w:left="0" w:right="0" w:firstLine="200"/>
              <w:jc w:val="right"/>
              <w:rPr/>
            </w:pPr>
            <w:r>
              <w:rPr/>
              <w:t> </w:t>
            </w:r>
          </w:p>
        </w:tc>
      </w:tr>
      <w:tr>
        <w:trPr/>
        <w:tc>
          <w:tcPr>
            <w:tcW w:w="5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Periodic change to additions of property and equipment in current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Reclassification of restricted stock liability to additional paid-in capital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Assets obtained in asset acquisition of ZebiAI</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Liabilities assumed in asset acquisition of ZebiAI</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Fair value of common stock issued in asset acquisition of ZebiAI</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62,992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upon milestone achievement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3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assets obtained in exchange for 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b/>
          <w:color w:val="000000"/>
          <w:sz w:val="18"/>
        </w:rPr>
      </w:pPr>
      <w:r>
        <w:rPr>
          <w:rFonts w:ascii="Times New Roman" w:hAnsi="Times New Roman"/>
          <w:b/>
          <w:color w:val="000000"/>
          <w:sz w:val="18"/>
        </w:rPr>
        <w:t>Reconciliation of Cash, Cash Equivalents, and Restricted Cash from Balance Sheets to Statements of Cash Flows</w:t>
      </w:r>
    </w:p>
    <w:tbl>
      <w:tblPr>
        <w:tblW w:w="7579" w:type="dxa"/>
        <w:jc w:val="left"/>
        <w:tblInd w:w="0" w:type="dxa"/>
        <w:tblLayout w:type="fixed"/>
        <w:tblCellMar>
          <w:top w:w="28" w:type="dxa"/>
          <w:left w:w="28" w:type="dxa"/>
          <w:bottom w:w="28" w:type="dxa"/>
          <w:right w:w="28" w:type="dxa"/>
        </w:tblCellMar>
      </w:tblPr>
      <w:tblGrid>
        <w:gridCol w:w="5176"/>
        <w:gridCol w:w="146"/>
        <w:gridCol w:w="196"/>
        <w:gridCol w:w="691"/>
        <w:gridCol w:w="146"/>
        <w:gridCol w:w="146"/>
        <w:gridCol w:w="196"/>
        <w:gridCol w:w="691"/>
        <w:gridCol w:w="1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66"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51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151,794</w:t>
            </w:r>
          </w:p>
        </w:tc>
        <w:tc>
          <w:tcPr>
            <w:tcW w:w="191" w:type="dxa"/>
            <w:tcBorders/>
            <w:shd w:fill="CFF0FC" w:val="clear"/>
            <w:vAlign w:val="center"/>
          </w:tcPr>
          <w:p>
            <w:pPr>
              <w:pStyle w:val="TableContents"/>
              <w:bidi w:val="0"/>
              <w:spacing w:before="0" w:after="283"/>
              <w:jc w:val="left"/>
              <w:rPr/>
            </w:pPr>
            <w:r>
              <w:rPr/>
              <w:t> </w:t>
            </w:r>
          </w:p>
        </w:tc>
      </w:tr>
      <w:tr>
        <w:trPr/>
        <w:tc>
          <w:tcPr>
            <w:tcW w:w="517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per statements of cash flows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Relay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3" w:name="notes_to"/>
      <w:bookmarkEnd w:id="43"/>
      <w:r>
        <w:rPr>
          <w:rFonts w:ascii="Times New Roman" w:hAnsi="Times New Roman"/>
          <w:color w:val="000000"/>
          <w:sz w:val="18"/>
        </w:rPr>
        <w:t xml:space="preserve">Notes to Consolidated </w:t>
      </w:r>
      <w:bookmarkStart w:id="44" w:name="notes_to_consolidated_financial_statemen"/>
      <w:bookmarkEnd w:id="44"/>
      <w:r>
        <w:rPr>
          <w:rFonts w:ascii="Times New Roman" w:hAnsi="Times New Roman"/>
          <w:color w:val="000000"/>
          <w:sz w:val="18"/>
        </w:rPr>
        <w:t>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(In thousands, except share and per share data)</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1. Nature of Business and Basis of Presentation</w:t>
      </w:r>
    </w:p>
    <w:p>
      <w:pPr>
        <w:pStyle w:val="TextBody"/>
        <w:bidi w:val="0"/>
        <w:spacing w:before="240" w:after="283"/>
        <w:jc w:val="left"/>
        <w:rPr>
          <w:rFonts w:ascii="Times New Roman" w:hAnsi="Times New Roman"/>
          <w:sz w:val="20"/>
        </w:rPr>
      </w:pPr>
      <w:r>
        <w:rPr>
          <w:rFonts w:ascii="Times New Roman" w:hAnsi="Times New Roman"/>
          <w:color w:val="000000"/>
          <w:sz w:val="18"/>
        </w:rPr>
        <w:t>Relay Therapeutics, Inc. (the "Company") was incorporated in Delaware on May 4, 2015 and is headquartered in Cambridge, Massachusetts. The Company is a clinical-stage, precision medicine company transforming the drug discovery process by combining leading-edge computational and experimental technologies with the goal of bringing life-changing therapies to patients. As the Company believes it is among the first of a new breed of biotech created at the intersection of complementary techniques and technologies, the Company aims to push the boundaries of what’s possible in drug discovery. The Company’s Dynamo platform integrates an array of leading-edge computational and experimental approaches designed to drug protein targets that have previously been intractable or inadequately addressed. The Company’s initial focus is on enhancing small molecule therapeutic discovery in targeted oncology and genetic disease indications. The Company’s lead product candidates, RLY-2608, RLY-4008 (lirafugratinib), and GDC-1971 (migoprotafib, formerly known as RLY-1971), are in clinical development. The Company also has more than seven</w:t>
      </w:r>
      <w:r>
        <w:rPr>
          <w:rFonts w:ascii="Times New Roman" w:hAnsi="Times New Roman"/>
          <w:color w:val="000000"/>
          <w:sz w:val="20"/>
        </w:rPr>
        <w:t xml:space="preserve"> </w:t>
      </w:r>
      <w:r>
        <w:rPr>
          <w:rFonts w:ascii="Times New Roman" w:hAnsi="Times New Roman"/>
          <w:color w:val="000000"/>
          <w:sz w:val="18"/>
        </w:rPr>
        <w:t>active discovery stage programs across both precision oncology and genetic diseases.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has devoted substantially all of its resources to developing its product candidates by developing its computation and experimental approaches, building its intellectual property portfolio, business planning, raising capital and providing general and administrative support for these operations.</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has incurred net operating losses since inception and had an accumulated deficit of $1.4</w:t>
      </w:r>
      <w:r>
        <w:rPr>
          <w:rFonts w:ascii="Times New Roman" w:hAnsi="Times New Roman"/>
          <w:color w:val="000000"/>
          <w:sz w:val="20"/>
        </w:rPr>
        <w:t xml:space="preserve"> </w:t>
      </w:r>
      <w:r>
        <w:rPr>
          <w:rFonts w:ascii="Times New Roman" w:hAnsi="Times New Roman"/>
          <w:color w:val="000000"/>
          <w:sz w:val="18"/>
        </w:rPr>
        <w:t>billion as of December 31, 2023. The Company expects that its existing cash, cash equivalents, and investments as of December 31, 2023 will enable it to fund its planned operating expenses and capital expenditure requirements for at least one year from the date of the issuance of these consolidated financial statements. The future viability of the Company is dependent on its ability to generate cash from operating activities or to raise additional capital to finance its operations. The Company’s failure to raise capital as and when needed could have a material adverse effect on its financial condition and ability to pursue its business strategies. The Company may not be able to obtain financing on acceptable terms, or at all, and the Company may not be able to enter into license or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 In the event the Company requires additional funding, there can be no assurance that it will be successful in obtaining sufficient funding on terms acceptable to the Company to fund its continuing operations, if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2.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accompanying consolidated financial statements have been prepared in conformity with accounting principles generally accepted in the United States of America ("GAAP") and pursuant to the rules and regulations of the U.S. Securities and Exchange Commission ("SEC") for reporting on Form 10-K.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Company’s consolidated financial statements include the accounts of Relay Therapeutics, Inc. and its wholly-owned subsidiaries, Relay Securities Corporation and Relay ML Discovery, LLC.</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intercompany balances and transactions have been eliminated.</w:t>
      </w:r>
    </w:p>
    <w:p>
      <w:pPr>
        <w:pStyle w:val="TextBody"/>
        <w:bidi w:val="0"/>
        <w:spacing w:before="240" w:after="283"/>
        <w:jc w:val="left"/>
        <w:rPr>
          <w:rFonts w:ascii="Times New Roman" w:hAnsi="Times New Roman"/>
          <w:sz w:val="20"/>
        </w:rPr>
      </w:pPr>
      <w:r>
        <w:rPr>
          <w:rFonts w:ascii="Times New Roman" w:hAnsi="Times New Roman"/>
          <w:b/>
          <w:color w:val="000000"/>
          <w:sz w:val="18"/>
        </w:rPr>
        <w:t>Use of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fair value of contingent milestone payments in connection with the acquisition of ZebiAI Therapeutics, Inc. ("ZebiAI"), the determination of the transaction price and standalone selling price of performance obligations under Financial Accounting Standards Board ("FASB") Accounting Standards Codification ("ASC") Topic 606, </w:t>
      </w:r>
      <w:r>
        <w:rPr>
          <w:rFonts w:ascii="Times New Roman" w:hAnsi="Times New Roman"/>
          <w:i/>
          <w:color w:val="000000"/>
          <w:sz w:val="18"/>
        </w:rPr>
        <w:t>Revenue from Contracts with Customers</w:t>
      </w:r>
      <w:r>
        <w:rPr>
          <w:rFonts w:ascii="Times New Roman" w:hAnsi="Times New Roman"/>
          <w:color w:val="000000"/>
          <w:sz w:val="20"/>
        </w:rPr>
        <w:t xml:space="preserve"> </w:t>
      </w:r>
      <w:r>
        <w:rPr>
          <w:rFonts w:ascii="Times New Roman" w:hAnsi="Times New Roman"/>
          <w:color w:val="000000"/>
          <w:sz w:val="18"/>
        </w:rPr>
        <w:t>("ASC 606"), the accrual of research and development and manufacturing expenses, the valuation of equity instruments, and the incremental borrowing rate for determining operating lease assets and liabilities. Estimates are periodically reviewed in light of changes in circumstances, facts, and experience.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Segment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general, operating segments are identified as components of an enterprise about which separate discrete financial information is available for evaluation by the chief operating decision maker in making decisions on how to allocate resources and assess performance. The Company's chief operating decision maker is the president and chief executive officer. The Company and the chief operating decision maker view the Company's operations as one</w:t>
      </w:r>
      <w:r>
        <w:rPr>
          <w:rFonts w:ascii="Times New Roman" w:hAnsi="Times New Roman"/>
          <w:color w:val="000000"/>
          <w:sz w:val="20"/>
        </w:rPr>
        <w:t xml:space="preserve"> </w:t>
      </w:r>
      <w:r>
        <w:rPr>
          <w:rFonts w:ascii="Times New Roman" w:hAnsi="Times New Roman"/>
          <w:color w:val="000000"/>
          <w:sz w:val="18"/>
        </w:rPr>
        <w:t>operating segment. The Company's singular focus is on using innovative experimental and computational approaches on protein motion for making medicines to drug protein targets that have previously been intractable or inadequately addressed. The Company operates in the United States and all tangible assets are held in the United States.</w:t>
      </w:r>
    </w:p>
    <w:p>
      <w:pPr>
        <w:pStyle w:val="TextBody"/>
        <w:bidi w:val="0"/>
        <w:spacing w:before="240" w:after="283"/>
        <w:jc w:val="left"/>
        <w:rPr>
          <w:rFonts w:ascii="Times New Roman" w:hAnsi="Times New Roman"/>
          <w:sz w:val="20"/>
        </w:rPr>
      </w:pPr>
      <w:r>
        <w:rPr>
          <w:rFonts w:ascii="Times New Roman" w:hAnsi="Times New Roman"/>
          <w:b/>
          <w:color w:val="000000"/>
          <w:sz w:val="18"/>
        </w:rPr>
        <w:t>Cash Equivalents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considers all short-term, highly liquid investments with original maturities of 90 days or less at acquisition date to be cash equivalents.</w:t>
      </w:r>
      <w:r>
        <w:rPr>
          <w:rFonts w:ascii="Times New Roman" w:hAnsi="Times New Roman"/>
          <w:color w:val="000000"/>
          <w:sz w:val="20"/>
        </w:rPr>
        <w:t xml:space="preserve"> </w:t>
      </w:r>
      <w:r>
        <w:rPr>
          <w:rFonts w:ascii="Times New Roman" w:hAnsi="Times New Roman"/>
          <w:color w:val="000000"/>
          <w:sz w:val="18"/>
        </w:rPr>
        <w:t>Cash equivalents, which consist of money market funds, are stated at fair value.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Restricted Cash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and 2022, the Company had restricted cash of $2.7</w:t>
      </w:r>
      <w:r>
        <w:rPr>
          <w:rFonts w:ascii="Times New Roman" w:hAnsi="Times New Roman"/>
          <w:color w:val="000000"/>
          <w:sz w:val="20"/>
        </w:rPr>
        <w:t xml:space="preserve"> </w:t>
      </w:r>
      <w:r>
        <w:rPr>
          <w:rFonts w:ascii="Times New Roman" w:hAnsi="Times New Roman"/>
          <w:color w:val="000000"/>
          <w:sz w:val="18"/>
        </w:rPr>
        <w:t>million and $2.6</w:t>
      </w:r>
      <w:r>
        <w:rPr>
          <w:rFonts w:ascii="Times New Roman" w:hAnsi="Times New Roman"/>
          <w:color w:val="000000"/>
          <w:sz w:val="20"/>
        </w:rPr>
        <w:t xml:space="preserve"> </w:t>
      </w:r>
      <w:r>
        <w:rPr>
          <w:rFonts w:ascii="Times New Roman" w:hAnsi="Times New Roman"/>
          <w:color w:val="000000"/>
          <w:sz w:val="18"/>
        </w:rPr>
        <w:t xml:space="preserve">million, respectively, to secure letters of credit in connection with operating leases of the Company’s facilities, as detailed in Note 13, </w:t>
      </w:r>
      <w:r>
        <w:rPr>
          <w:rFonts w:ascii="Times New Roman" w:hAnsi="Times New Roman"/>
          <w:i/>
          <w:color w:val="000000"/>
          <w:sz w:val="18"/>
        </w:rPr>
        <w:t>Leases</w:t>
      </w:r>
      <w:r>
        <w:rPr>
          <w:rFonts w:ascii="Times New Roman" w:hAnsi="Times New Roman"/>
          <w:color w:val="000000"/>
          <w:sz w:val="18"/>
        </w:rPr>
        <w:t>. The Company classified the restricted cash as a noncurrent asset on its consolidated balance sheets, consistent with the terms of the lease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Investments in marketable securities are classified as available-for-sale.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Available-for-sale securities are measured and reported at fair value using quoted prices in active markets for similar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Premiums or discounts from par value are amortized to investment income over the life of the underlying investment.</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 xml:space="preserve">In June 2016, the FASB issued Accounting Standards Update ("ASU") No. 2016-13, </w:t>
      </w:r>
      <w:r>
        <w:rPr>
          <w:rFonts w:ascii="Times New Roman" w:hAnsi="Times New Roman"/>
          <w:i/>
          <w:color w:val="000000"/>
          <w:sz w:val="18"/>
        </w:rPr>
        <w:t>Financial Instruments—Credit Losses (Topic 326): Measurement of Credit Losses on Financial Instruments</w:t>
      </w:r>
      <w:r>
        <w:rPr>
          <w:rFonts w:ascii="Times New Roman" w:hAnsi="Times New Roman"/>
          <w:color w:val="000000"/>
          <w:sz w:val="20"/>
        </w:rPr>
        <w:t xml:space="preserve"> </w:t>
      </w:r>
      <w:r>
        <w:rPr>
          <w:rFonts w:ascii="Times New Roman" w:hAnsi="Times New Roman"/>
          <w:color w:val="000000"/>
          <w:sz w:val="18"/>
        </w:rPr>
        <w:t>("ASU 2016-13"). Certain amendments thereto were also issued by the FASB. The Company adopted ASU 2016-13, as well as the related amendments thereto, on January 1, 2022, pursuant to which the Company reviews investments whenever the fair value of an investment is less than the amortized cost and evidence indicates that an investment’s carrying amount is not recoverable within a reasonable period of time. In connection therewith, the Company evaluates whether the decline in fair value has resulted from credit losses or other factors, considering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on the consolidated balance sheet, limited by the amount that the fair value is less than the amortized cost basis. Any impairment that is not related to credit is recognized in other comprehensive loss as a separate component of stockholders' equity. Changes in the allowance for credit losses are recorded as a provision for (or reversal of) credit loss expense in general and administrative expenses within the consolidated statements of operations and comprehensive loss. Losses are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18"/>
        </w:rPr>
        <w:t>charged against the allowance when the Company believes the uncollectability of an available-for-sale security is confirmed or when either of the criteria regarding intent or requirement to sell is met.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of the Company’s available-for-sale securities are available to the Company for use in current operations. As a result, the Company classified all such securities as current assets as of December 31, 2023 and 2022, although the stated maturity of some individual securities may be one year or more beyond the balance sheet dates.</w:t>
      </w:r>
    </w:p>
    <w:p>
      <w:pPr>
        <w:pStyle w:val="TextBody"/>
        <w:bidi w:val="0"/>
        <w:spacing w:before="240" w:after="283"/>
        <w:jc w:val="left"/>
        <w:rPr>
          <w:rFonts w:ascii="Times New Roman" w:hAnsi="Times New Roman"/>
          <w:sz w:val="20"/>
        </w:rPr>
      </w:pPr>
      <w:r>
        <w:rPr>
          <w:rFonts w:ascii="Times New Roman" w:hAnsi="Times New Roman"/>
          <w:color w:val="000000"/>
          <w:sz w:val="18"/>
        </w:rPr>
        <w:t>The cost of securities sold is determined on a specific identification basis, and realized gains and losses are included in general and administrative expenses within the consolidated statements of operations and comprehensive loss.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Concentration of Credit Risk and Significant Suppliers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Financial instruments that potentially expose the Company to concentrations of credit risk consist primarily of cash, cash equivalents, and investments. From time to time, the Company has maintained all of its cash, cash equivalents, and investments at certain accredited financial institutions in amounts that exceed federally insured limits. The Company generally invests its excess capital in money market funds, U.S. treasury bonds, U.S. treasury bills, and agency bonds, all of which are subject to minimal credit and market risk. Management has established guidelines relative to credit ratings and maturities intended to safeguard principal balances and maintain liquidity. The investment portfolio is maintained in accordance with the Company’s investment policy, which defines allowable investments, specifies credit quality standards, and limits the credit exposure of any single issuer.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The Company is dependent on third-party suppliers for research and development activities of its programs, including preclinical and clinical testing. In particular, the Company relies and expects to continue to rely on a small number of these suppliers, including D. E. Shaw Research, LLC, as discussed in Note 12, </w:t>
      </w:r>
      <w:r>
        <w:rPr>
          <w:rFonts w:ascii="Times New Roman" w:hAnsi="Times New Roman"/>
          <w:i/>
          <w:color w:val="000000"/>
          <w:sz w:val="18"/>
        </w:rPr>
        <w:t>Commitments and Contingencies</w:t>
      </w:r>
      <w:r>
        <w:rPr>
          <w:rFonts w:ascii="Times New Roman" w:hAnsi="Times New Roman"/>
          <w:color w:val="000000"/>
          <w:sz w:val="18"/>
        </w:rPr>
        <w:t>, to meet its requirements for certain of its programs. These programs could be adversely affected by a significant interruption in preclinical and clinical testing, as well as the supply of active pharmaceutical ingredients and formulated drugs.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 xml:space="preserve">Level 1—Quoted prices in active markets for identical assets or liabilities.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sz w:val="20"/>
        </w:rPr>
      </w:pPr>
      <w:r>
        <w:rPr>
          <w:rFonts w:ascii="Times New Roman" w:hAnsi="Times New Roman"/>
          <w:color w:val="000000"/>
          <w:sz w:val="18"/>
        </w:rPr>
        <w:t>Level 3—Unobservable inputs that are supported by little or no market activity and that are significant to determining the fair value of the assets or liabilities, including pricing models, discounted cash flow methodologies, and similar techniques.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Property and Equipment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Property and equipment are stated at cost less accumulated depreciation. Depreciation expense is recognized using the straight-line method over the useful life of the asset. Laboratory and computer equipment are depreciated over three years. Furniture and fixtures are depreciated over five years. Leasehold improvements are amortized over the shorter of the lease term or the estimated useful life of the underlying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Impairment of Long-Lived Assets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continually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impaired, the impairment to be recognized is measured in an amount by which the book values of the assets exceed their fair value. The Company did not recognize any impairment losses for the years ended December 31, 2023, 2022, and 2021.</w:t>
      </w:r>
    </w:p>
    <w:p>
      <w:pPr>
        <w:pStyle w:val="TextBody"/>
        <w:bidi w:val="0"/>
        <w:spacing w:before="240" w:after="283"/>
        <w:jc w:val="left"/>
        <w:rPr>
          <w:rFonts w:ascii="Times New Roman" w:hAnsi="Times New Roman"/>
          <w:sz w:val="20"/>
        </w:rPr>
      </w:pPr>
      <w:r>
        <w:rPr>
          <w:rFonts w:ascii="Times New Roman" w:hAnsi="Times New Roman"/>
          <w:b/>
          <w:color w:val="000000"/>
          <w:sz w:val="18"/>
        </w:rPr>
        <w:t>Research and Development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Research and development costs are expensed as incurred. Research and development expenses include salaries, stock compensation and benefits of employees, third-party license fees, and other operational costs related to the Company’s research and development activities, including allocated facility-related expenses and external costs of outside vendors engaged to conduct both preclinical studies and clinical trials. Nonrefundable advance payments for goods and services that will be used in future research and development activities are expensed when the activity has been performed or when the goods have been received rather than when the payment is made.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Patent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All patent-related costs incurred in connection with filing and prosecuting patent applications are expensed as incurred due to the uncertainty about the recovery of the expenditure. Amounts incurred are classified as 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Stock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For stock options and restricted stock units ("RSUs") granted to employees, directors, and other consultants with vesting over specified periods of continued service, the Company measures their fair value on the grant date using (a) the Black-Scholes Option Pricing Model for stock options and (b) the Company’s closing stock price on such date for RSUs. In connection therewith, compensation expense for such awards is recognized under the straight-line method over the requisite service period, which is generally the vesting period. The Company recognizes the impact of forfeitures on compensation expense as they occur.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For stock options and RSUs granted to employees, directors, and other consultants with vesting over specified periods of continued service and contingent upon achievement of certain performance conditions, the Company measures their fair value on the grant date using (a) the Black-Scholes Option Pricing Model for stock options and (b) the Company’s closing stock price on such date for RSUs. In connection therewith, compensation expense for such awards is recognized under the accelerated attribution method over the requisite service period, which is generally the vesting period. The Company recognizes the impact of forfeitures on compensation expense as they occur.</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2023, the Company granted stock options and RSUs to certain employees, with vesting over specified periods of continued service and contingent upon achievement of certain market conditions. The Company measured the fair value of such awards on the grant date using a Monte Carlo Simulation, incorporating various option pricing inputs. In connection therewith, compensation expense for such awards is recognized under the accelerated attribution method over the requisite service period, regardless of whether the market conditions have been achieved. The Company recognizes the impact of forfeitures from market-based awards on compensation expense as they occur.</w:t>
      </w:r>
    </w:p>
    <w:p>
      <w:pPr>
        <w:pStyle w:val="TextBody"/>
        <w:bidi w:val="0"/>
        <w:spacing w:before="240" w:after="283"/>
        <w:jc w:val="left"/>
        <w:rPr>
          <w:rFonts w:ascii="Times New Roman" w:hAnsi="Times New Roman"/>
          <w:sz w:val="20"/>
        </w:rPr>
      </w:pPr>
      <w:r>
        <w:rPr>
          <w:rFonts w:ascii="Times New Roman" w:hAnsi="Times New Roman"/>
          <w:b/>
          <w:color w:val="000000"/>
          <w:sz w:val="18"/>
        </w:rPr>
        <w:t>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accounts for revenue recognition in accordance with ASC 606, pursuant to which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customer(s); (ii) identify the performance obligation(s) in the contract(s); (iii) determine the transaction price; (iv) allocate the transaction price to the performance obligation(s) in the contract(s); and (v) recognize revenue when (or as) the entity satisfies a performance obligation.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At contract inception, once the contract is determined to be within the scope of ASC 606, the Company assesses the goods or services promised within the contract and determines those that are performance obligations. The Company then determines the transaction price and allocates it to the performance obligations. As part of the accounting for such arrangements, the Company must use judgment to determine: (a) the number of performance obligations based on the determination under step (ii) above; (b) the transaction price under step (iii) above, including the determination of whether milestones or other variable consideration should be included in the transaction price; and (c) the stand-alone selling price for each performance obligation identified in the contract for the allocation of the transaction price in step (iv) above.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utilizes key assumptions and judgments in (a) determining the stand-alone selling price for each performance obligation, which may include discounted cash flow models, evaluation of comparable transactions, and pricing considered in negotiating the transaction and estimated costs, and (b) determining how the transaction price is allocated amongst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performance obligations. The Company also uses judgment to determine whether milestones or other variable consideration should be included in the transaction price. As part of management’s evaluation of the transaction price, the Company considers numerous factors, including whether the achievement of the milestones is outside of the Company's control, contingent upon the efforts of others, or subject to scientific risks of success. If the Company concludes it is probable that a significant revenue reversal would not occur, the associated milestone payment is included in the transaction price. Milestone payments that are not within the Company's control, such as regulatory approvals, are generally not considered probable until those milestones are achieved. The Company re-evaluates the transaction price, including estimated variable consideration included in the transaction price and all constrained amounts, in each reporting period and as uncertain events are resolved or other changes in circumstances occur. For revenue-based royalties, including milestone payments based on the level of sales, the Company will include royalties in the transaction price at the later of (i) when the related sales occur, or (ii) when the performance obligation to which some or all of the royalty is allocated has been satisfied (or partially satisfied).</w:t>
      </w:r>
    </w:p>
    <w:p>
      <w:pPr>
        <w:pStyle w:val="TextBody"/>
        <w:bidi w:val="0"/>
        <w:spacing w:before="240" w:after="283"/>
        <w:jc w:val="left"/>
        <w:rPr>
          <w:rFonts w:ascii="Times New Roman" w:hAnsi="Times New Roman"/>
          <w:sz w:val="20"/>
        </w:rPr>
      </w:pPr>
      <w:r>
        <w:rPr>
          <w:rFonts w:ascii="Times New Roman" w:hAnsi="Times New Roman"/>
          <w:color w:val="000000"/>
          <w:sz w:val="18"/>
        </w:rPr>
        <w:t>Once the performance obligations are identified, the transaction price is allocated to each performance obligation based on the relative stand-alone selling price. The Company then recognizes as revenue the amount of the transaction price allocated to the respective performance obligation when (or as) it is satisfied, either at a point in time or over time. If the performance obligation is satisfied over time, the Company recognizes revenue based on the use of either an output or input method.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Collaboration Agreements</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The Company enters into collaborative agreements with third parties to research, develop, and commercialize drug candidates, pursuant to which the risks and rewards for such activities are shared between the parties. Such arrangements also provide for cost sharing between the parties during the research and development phase, as well as potential future profit share payments during the commercialization phase. In general, such contracts are evaluated under the provisions of FASB ASC 808, </w:t>
      </w:r>
      <w:r>
        <w:rPr>
          <w:rFonts w:ascii="Times New Roman" w:hAnsi="Times New Roman"/>
          <w:i/>
          <w:color w:val="000000"/>
          <w:sz w:val="18"/>
        </w:rPr>
        <w:t>Collaborative Arrangements</w:t>
      </w:r>
      <w:r>
        <w:rPr>
          <w:rFonts w:ascii="Times New Roman" w:hAnsi="Times New Roman"/>
          <w:color w:val="000000"/>
          <w:sz w:val="20"/>
        </w:rPr>
        <w:t xml:space="preserve"> </w:t>
      </w:r>
      <w:r>
        <w:rPr>
          <w:rFonts w:ascii="Times New Roman" w:hAnsi="Times New Roman"/>
          <w:color w:val="000000"/>
          <w:sz w:val="18"/>
        </w:rPr>
        <w:t>("ASC 808"). The amounts receivable and payable for research and development activities are presented net within research and development expense on the consolidated statements of operations and comprehensive loss. As such, the net costs reflect the Company’s share of the ongoing research and development efforts. The amounts receivable and payable for commercialization activities are presented net as either collaboration revenue, separate from revenue from contracts with customers, or collaboration expense on the consolidated statements of operations, as appropriate.</w:t>
      </w:r>
    </w:p>
    <w:p>
      <w:pPr>
        <w:pStyle w:val="TextBody"/>
        <w:bidi w:val="0"/>
        <w:spacing w:before="240" w:after="283"/>
        <w:jc w:val="left"/>
        <w:rPr>
          <w:rFonts w:ascii="Times New Roman" w:hAnsi="Times New Roman"/>
          <w:sz w:val="20"/>
        </w:rPr>
      </w:pPr>
      <w:r>
        <w:rPr>
          <w:rFonts w:ascii="Times New Roman" w:hAnsi="Times New Roman"/>
          <w:b/>
          <w:color w:val="000000"/>
          <w:sz w:val="18"/>
        </w:rPr>
        <w:t>Research and Manufacturing Contracts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has entered into various research and development contracts with research institutions and other companies whose costs are included in research and development expense in the accompanying consolidated statements of operations and comprehensive loss. These agreements are generally cancelable and related payments are recorded as research and development expenses as the underlying services are performed. When evaluating the adequacy of the expense recognized, the Company analyzes progress of the services, including the phase or completion of events, invoices received, and contracted costs. Judgments and estimates are made in determining the expense recognized and the related prepaid or accrued balances at the end of any reporting period. Actual results could differ from the Company’s estimates. The Company’s historical estimates have not been materially different from the actual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Lease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Pursuant to ASC 842, </w:t>
      </w:r>
      <w:r>
        <w:rPr>
          <w:rFonts w:ascii="Times New Roman" w:hAnsi="Times New Roman"/>
          <w:i/>
          <w:color w:val="000000"/>
          <w:sz w:val="18"/>
        </w:rPr>
        <w:t>Leases</w:t>
      </w:r>
      <w:r>
        <w:rPr>
          <w:rFonts w:ascii="Times New Roman" w:hAnsi="Times New Roman"/>
          <w:color w:val="000000"/>
          <w:sz w:val="18"/>
        </w:rPr>
        <w:t>, the Company determines if an arrangement is or contains a lease at inception. For leases with a term of 12 months or less, the Company does not recognize a right-of-use asset or lease liability. The Company’s operating leases are recognized on its consolidated balance sheets as other noncurrent assets, other current liabilities, and other noncurrent liabilities. The Company does not have any finance leases.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the Company’s leases typically do not provide an implicit rate, the Company uses an estimate of its incremental borrowing rate based on the information available at the lease commencement date in determining the present value of lease payments. Operating lease right-of-use assets also include the effect of any lease payments made prior to commencement and exclude lease incentives. The lease terms may include options to extend</w:t>
      </w:r>
      <w:r>
        <w:rPr>
          <w:rFonts w:ascii="Times New Roman" w:hAnsi="Times New Roman"/>
          <w:color w:val="000000"/>
          <w:sz w:val="20"/>
        </w:rPr>
        <w:t xml:space="preserve"> </w:t>
      </w:r>
      <w:r>
        <w:rPr>
          <w:rFonts w:ascii="Times New Roman" w:hAnsi="Times New Roman"/>
          <w:color w:val="000000"/>
          <w:sz w:val="18"/>
        </w:rPr>
        <w:t>or terminate</w:t>
      </w:r>
      <w:r>
        <w:rPr>
          <w:rFonts w:ascii="Times New Roman" w:hAnsi="Times New Roman"/>
          <w:color w:val="000000"/>
          <w:sz w:val="20"/>
        </w:rPr>
        <w:t xml:space="preserve"> </w:t>
      </w:r>
      <w:r>
        <w:rPr>
          <w:rFonts w:ascii="Times New Roman" w:hAnsi="Times New Roman"/>
          <w:color w:val="000000"/>
          <w:sz w:val="18"/>
        </w:rPr>
        <w:t>the lease when it is reasonably certain that the Company will exercise that option. Lease expense is recognized on a straight-line basis over the lease term.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has lease agreements with lease and non-lease components, which are accounted for as a combined element.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Acquired In-Process Research and Development</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In an asset acquisition, the cost allocated to acquire in-process research and development ("IPR&amp;D") with no alternative future use is charged to expense at the acquisition date. Please refer to Note 10, </w:t>
      </w:r>
      <w:r>
        <w:rPr>
          <w:rFonts w:ascii="Times New Roman" w:hAnsi="Times New Roman"/>
          <w:i/>
          <w:color w:val="000000"/>
          <w:sz w:val="18"/>
        </w:rPr>
        <w:t>Acquisition of ZebiAI</w:t>
      </w:r>
      <w:r>
        <w:rPr>
          <w:rFonts w:ascii="Times New Roman" w:hAnsi="Times New Roman"/>
          <w:color w:val="000000"/>
          <w:sz w:val="18"/>
        </w:rPr>
        <w:t>, for a more detailed description of the accounting policies applied to the Company's only asset acquisition during the three years ended December 31, 2023.</w:t>
      </w:r>
    </w:p>
    <w:p>
      <w:pPr>
        <w:pStyle w:val="TextBody"/>
        <w:bidi w:val="0"/>
        <w:spacing w:before="240" w:after="283"/>
        <w:jc w:val="left"/>
        <w:rPr>
          <w:rFonts w:ascii="Times New Roman" w:hAnsi="Times New Roman"/>
          <w:sz w:val="20"/>
        </w:rPr>
      </w:pPr>
      <w:r>
        <w:rPr>
          <w:rFonts w:ascii="Times New Roman" w:hAnsi="Times New Roman"/>
          <w:b/>
          <w:color w:val="000000"/>
          <w:sz w:val="18"/>
        </w:rPr>
        <w:t>Comprehensive Loss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Comprehensive loss includes net loss, as well as other changes in stockholders’ equity that result from transactions and economic events other than those with stockholders. For the years ended December 31, 2023, 2022, and 2021, other comprehensive income (loss) consisted of changes in unrealized gains and losses from available-for-sale investments.</w:t>
      </w:r>
    </w:p>
    <w:p>
      <w:pPr>
        <w:pStyle w:val="TextBody"/>
        <w:bidi w:val="0"/>
        <w:spacing w:before="240" w:after="283"/>
        <w:jc w:val="left"/>
        <w:rPr>
          <w:rFonts w:ascii="Times New Roman" w:hAnsi="Times New Roman"/>
          <w:sz w:val="20"/>
        </w:rPr>
      </w:pPr>
      <w:r>
        <w:rPr>
          <w:rFonts w:ascii="Times New Roman" w:hAnsi="Times New Roman"/>
          <w:b/>
          <w:color w:val="000000"/>
          <w:sz w:val="18"/>
        </w:rPr>
        <w:t>Net Loss per Common Share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Basic net loss per share is computed using the weighted-average number of common shares outstanding during the period. Diluted net loss per share is computed using the sum of the weighted-average number of common shares outstanding during the period and the effect of any dilutive securities. For periods in which the Company reports a net loss, diluted net loss per share is the same as basic net loss per share, since dilutive common shares are not assumed to have been issued if their effect is anti-dilutive.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For additional discussion of net loss per common share, please refer to Note 9, </w:t>
      </w:r>
      <w:r>
        <w:rPr>
          <w:rFonts w:ascii="Times New Roman" w:hAnsi="Times New Roman"/>
          <w:i/>
          <w:color w:val="000000"/>
          <w:sz w:val="18"/>
        </w:rPr>
        <w:t>Net Loss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w:t>
      </w:r>
      <w:r>
        <w:rPr>
          <w:rFonts w:ascii="Times New Roman" w:hAnsi="Times New Roman"/>
          <w:color w:val="000000"/>
          <w:sz w:val="20"/>
        </w:rPr>
        <w:t xml:space="preserve"> </w:t>
      </w:r>
      <w:r>
        <w:rPr>
          <w:rFonts w:ascii="Times New Roman" w:hAnsi="Times New Roman"/>
          <w:color w:val="000000"/>
          <w:sz w:val="18"/>
        </w:rPr>
        <w:t>likelihood of being realized upon ultimate settlement. The provision for income taxes includes the effects of any resulting tax reserves, or unrecognized tax benefits, that are considered appropriate as well as the related net interest and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Recently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noted above, the Company adopted ASU 2016-13, as well as the related amendments thereto, on January 1, 2022. The adoption of ASU 2016-13, as well as the related amendments thereto, did not have a material impact on the Company’s consolidated financial statements or disclosures.</w:t>
      </w:r>
    </w:p>
    <w:p>
      <w:pPr>
        <w:pStyle w:val="TextBody"/>
        <w:bidi w:val="0"/>
        <w:spacing w:before="240" w:after="283"/>
        <w:jc w:val="left"/>
        <w:rPr>
          <w:rFonts w:ascii="Times New Roman" w:hAnsi="Times New Roman"/>
          <w:sz w:val="20"/>
        </w:rPr>
      </w:pPr>
      <w:r>
        <w:rPr>
          <w:rFonts w:ascii="Times New Roman" w:hAnsi="Times New Roman"/>
          <w:b/>
          <w:color w:val="000000"/>
          <w:sz w:val="18"/>
        </w:rPr>
        <w:t>Recently Issued Accounting Pronouncements Not Yet Adopted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November 2023, the FASB issued ASU 2023-07, Segment Reporting (Topic 280): Improvements to Reportable Segment Disclosures, which is intended to provide enhancements to segment disclosures, even for entities with only one reportable segment. In particular, the standard will require disclosures of significant segment expenses regularly provided to the chief operating decision maker and included within each reported measure of segment profit and loss. The standard will also require disclosure of all other segment items by reportable segment and a description of its composition. Finally, the standard will require disclosure of the title and position of the chief operating decision maker and an explanation of how the chief operating decision maker uses the reported measure(s) of segment profit or loss in assessing segment performance and deciding how to allocate resources. The standard is effective for annual periods beginning after December 15, 2023, and interim periods within annual periods beginning after December 15, 2024. Early adoption is permitted. The Company is currently evaluating the impact of the standard on the presentation of its consolidated financial statements and footnotes.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 December 2023, the FASB issued ASU 2023-09, Income Taxes (Topic 740): Improvements to Income Tax Disclosures, which is intended to provide enhancements to annual income tax disclosures. In particular, the standard will require more detailed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information in the income tax rate reconciliation, as well as the disclosure of income taxes paid disaggregated by jurisdiction, among other enhancements. The standard is effective for years beginning after December 15, 2024 and early adoption is permitted. The Company is currently evaluating the impact of the standard on the presentation of its consolidated financial statements and footnotes.</w:t>
      </w:r>
    </w:p>
    <w:p>
      <w:pPr>
        <w:pStyle w:val="TextBody"/>
        <w:bidi w:val="0"/>
        <w:spacing w:before="240" w:after="283"/>
        <w:jc w:val="left"/>
        <w:rPr>
          <w:rFonts w:ascii="Times New Roman" w:hAnsi="Times New Roman"/>
          <w:sz w:val="20"/>
        </w:rPr>
      </w:pPr>
      <w:r>
        <w:rPr>
          <w:rFonts w:ascii="Times New Roman" w:hAnsi="Times New Roman"/>
          <w:b/>
          <w:color w:val="000000"/>
          <w:sz w:val="18"/>
        </w:rPr>
        <w:t>3. Fair Value Measurements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tables present information about the Company’s financial assets and liabilities measured at fair value on a recurring basis and indicate the level of the fair value hierarchy utilized to determine such fair values:</w:t>
      </w:r>
    </w:p>
    <w:tbl>
      <w:tblPr>
        <w:tblW w:w="7367" w:type="dxa"/>
        <w:jc w:val="left"/>
        <w:tblInd w:w="0" w:type="dxa"/>
        <w:tblLayout w:type="fixed"/>
        <w:tblCellMar>
          <w:top w:w="28" w:type="dxa"/>
          <w:left w:w="28" w:type="dxa"/>
          <w:bottom w:w="28" w:type="dxa"/>
          <w:right w:w="28" w:type="dxa"/>
        </w:tblCellMar>
      </w:tblPr>
      <w:tblGrid>
        <w:gridCol w:w="2586"/>
        <w:gridCol w:w="146"/>
        <w:gridCol w:w="196"/>
        <w:gridCol w:w="691"/>
        <w:gridCol w:w="146"/>
        <w:gridCol w:w="146"/>
        <w:gridCol w:w="196"/>
        <w:gridCol w:w="691"/>
        <w:gridCol w:w="146"/>
        <w:gridCol w:w="146"/>
        <w:gridCol w:w="196"/>
        <w:gridCol w:w="511"/>
        <w:gridCol w:w="146"/>
        <w:gridCol w:w="146"/>
        <w:gridCol w:w="196"/>
        <w:gridCol w:w="691"/>
        <w:gridCol w:w="3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4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Measurements as of</w:t>
              <w:b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44" w:type="dxa"/>
            <w:gridSpan w:val="14"/>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140,466</w:t>
            </w:r>
          </w:p>
        </w:tc>
        <w:tc>
          <w:tcPr>
            <w:tcW w:w="391" w:type="dxa"/>
            <w:tcBorders/>
            <w:shd w:fill="CFF0FC" w:val="cle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140,466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140,466</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416,008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190,342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606,350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606,350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606,350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746,816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Contingent Milestone Payments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7457" w:type="dxa"/>
        <w:jc w:val="left"/>
        <w:tblInd w:w="0" w:type="dxa"/>
        <w:tblLayout w:type="fixed"/>
        <w:tblCellMar>
          <w:top w:w="28" w:type="dxa"/>
          <w:left w:w="28" w:type="dxa"/>
          <w:bottom w:w="28" w:type="dxa"/>
          <w:right w:w="28" w:type="dxa"/>
        </w:tblCellMar>
      </w:tblPr>
      <w:tblGrid>
        <w:gridCol w:w="2586"/>
        <w:gridCol w:w="146"/>
        <w:gridCol w:w="196"/>
        <w:gridCol w:w="691"/>
        <w:gridCol w:w="146"/>
        <w:gridCol w:w="146"/>
        <w:gridCol w:w="196"/>
        <w:gridCol w:w="691"/>
        <w:gridCol w:w="146"/>
        <w:gridCol w:w="146"/>
        <w:gridCol w:w="196"/>
        <w:gridCol w:w="601"/>
        <w:gridCol w:w="146"/>
        <w:gridCol w:w="146"/>
        <w:gridCol w:w="196"/>
        <w:gridCol w:w="691"/>
        <w:gridCol w:w="3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Measurements as of</w:t>
              <w:b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34" w:type="dxa"/>
            <w:gridSpan w:val="14"/>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118,446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128,396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5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466,603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466,603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380,520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847,123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8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118,446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857,073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975,519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5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Contingent Milestone Payments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8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In determining the fair value of its investments at each date presented above, the Company relied on quoted prices for similar securities in active markets or using other inputs that are observable or can be corroborated by observable market data.</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Fair Value of Contingent Consideration</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In April 2021, the Company acquired ZebiAI, as detailed further in Note 10, </w:t>
      </w:r>
      <w:r>
        <w:rPr>
          <w:rFonts w:ascii="Times New Roman" w:hAnsi="Times New Roman"/>
          <w:i/>
          <w:color w:val="000000"/>
          <w:sz w:val="18"/>
        </w:rPr>
        <w:t>Acquisition of ZebiAI</w:t>
      </w:r>
      <w:r>
        <w:rPr>
          <w:rFonts w:ascii="Times New Roman" w:hAnsi="Times New Roman"/>
          <w:color w:val="000000"/>
          <w:sz w:val="18"/>
        </w:rPr>
        <w:t>.</w:t>
      </w:r>
    </w:p>
    <w:p>
      <w:pPr>
        <w:pStyle w:val="TextBody"/>
        <w:bidi w:val="0"/>
        <w:spacing w:before="240" w:after="283"/>
        <w:jc w:val="left"/>
        <w:rPr>
          <w:rFonts w:ascii="Times New Roman" w:hAnsi="Times New Roman"/>
          <w:sz w:val="20"/>
        </w:rPr>
      </w:pPr>
      <w:r>
        <w:rPr>
          <w:rFonts w:ascii="Times New Roman" w:hAnsi="Times New Roman"/>
          <w:color w:val="000000"/>
          <w:sz w:val="18"/>
        </w:rPr>
        <w:t>The Company’s Level 3 contingent consideration liability is related to $85.0</w:t>
      </w:r>
      <w:r>
        <w:rPr>
          <w:rFonts w:ascii="Times New Roman" w:hAnsi="Times New Roman"/>
          <w:color w:val="000000"/>
          <w:sz w:val="20"/>
        </w:rPr>
        <w:t xml:space="preserve"> </w:t>
      </w:r>
      <w:r>
        <w:rPr>
          <w:rFonts w:ascii="Times New Roman" w:hAnsi="Times New Roman"/>
          <w:color w:val="000000"/>
          <w:sz w:val="18"/>
        </w:rPr>
        <w:t>million of platform and program milestones ("Contingent Milestone Payments") payable to ZebiAI’s former equity holders upon achievement. The contingent consideration liability for the Contingent Milestone Payments is measured at fair value at each reporting date pursuant to FASB ASC Topic 480, Distinguishing Liabilities from Equity ("ASC 480"). The Company determines the fair value of the Contingent Milestone Payments based on the probability of achieving the milestones, the related timing, and, to a lesser extent, an appropriate discount rate. Significant judgment is used in determining the underlying assumptions. Due to the uncertainties associated with the development of platforms and drug candidates in the pharmaceutical industry and the effects of changes in assumptions, including probability of success and related timing, the Company expects its estimates regarding the fair value of Contingent Milestone Payments to continue to change, resulting in adjustments to the fair value of the Company’s Contingent Milestone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Payments. The effect of any such adjustments could be material through the date on which the milestones must either be achieved or contractually expire.</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sz w:val="20"/>
        </w:rPr>
      </w:pPr>
      <w:r>
        <w:rPr>
          <w:rFonts w:ascii="Times New Roman" w:hAnsi="Times New Roman"/>
          <w:color w:val="000000"/>
          <w:sz w:val="18"/>
        </w:rPr>
        <w:t>The Company also has a contingent consideration liability related to the fair value of $100.0</w:t>
      </w:r>
      <w:r>
        <w:rPr>
          <w:rFonts w:ascii="Times New Roman" w:hAnsi="Times New Roman"/>
          <w:color w:val="000000"/>
          <w:sz w:val="20"/>
        </w:rPr>
        <w:t xml:space="preserve"> </w:t>
      </w:r>
      <w:r>
        <w:rPr>
          <w:rFonts w:ascii="Times New Roman" w:hAnsi="Times New Roman"/>
          <w:color w:val="000000"/>
          <w:sz w:val="18"/>
        </w:rPr>
        <w:t>million in earnout payments ("Contingent Earnout Payments"). Because the Contingent Earnout Payments were not accounted for as derivatives under FASB ASC Topic 815, Derivatives and Hedging ("ASC 815"), they were only measured at fair value as of the acquisition date and are not re-assessed at fair value at each reporting period. The Contingent Earnout Payments will be adjusted when the contingency is resolved and the consideration is paid or becomes payable.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0"/>
        </w:rPr>
        <w:br/>
      </w:r>
      <w:r>
        <w:rPr>
          <w:rFonts w:ascii="Times New Roman" w:hAnsi="Times New Roman"/>
          <w:color w:val="000000"/>
          <w:sz w:val="18"/>
        </w:rPr>
        <w:t>The following table reconciles the change in the contingent consideration liability:</w:t>
      </w:r>
    </w:p>
    <w:tbl>
      <w:tblPr>
        <w:tblW w:w="7523" w:type="dxa"/>
        <w:jc w:val="left"/>
        <w:tblInd w:w="0" w:type="dxa"/>
        <w:tblLayout w:type="fixed"/>
        <w:tblCellMar>
          <w:top w:w="28" w:type="dxa"/>
          <w:left w:w="28" w:type="dxa"/>
          <w:bottom w:w="28" w:type="dxa"/>
          <w:right w:w="28" w:type="dxa"/>
        </w:tblCellMar>
      </w:tblPr>
      <w:tblGrid>
        <w:gridCol w:w="4051"/>
        <w:gridCol w:w="146"/>
        <w:gridCol w:w="196"/>
        <w:gridCol w:w="661"/>
        <w:gridCol w:w="166"/>
        <w:gridCol w:w="146"/>
        <w:gridCol w:w="196"/>
        <w:gridCol w:w="661"/>
        <w:gridCol w:w="166"/>
        <w:gridCol w:w="146"/>
        <w:gridCol w:w="196"/>
        <w:gridCol w:w="601"/>
        <w:gridCol w:w="1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3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35" w:type="dxa"/>
            <w:gridSpan w:val="1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beginning of period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Fair value of contingent consideration upon acquisition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47,422</w:t>
            </w:r>
          </w:p>
        </w:tc>
        <w:tc>
          <w:tcPr>
            <w:tcW w:w="191" w:type="dxa"/>
            <w:tcBorders/>
            <w:shd w:fill="FFFFFF" w:val="cle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Contingent Milestone Payments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2,836</w:t>
            </w:r>
          </w:p>
        </w:tc>
        <w:tc>
          <w:tcPr>
            <w:tcW w:w="191" w:type="dxa"/>
            <w:tcBorders/>
            <w:shd w:fill="CFF0FC" w:val="cle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upon milestone achievement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outstanding Contingent Milestone Payments are payable in shares of the Company's common stock based on a fixed amount assigned to each milestone and the volume weighted-average closing price of the Company’s common stock for a specified period prior to the milestone achievement.</w:t>
      </w:r>
      <w:r>
        <w:rPr>
          <w:rFonts w:ascii="Times New Roman" w:hAnsi="Times New Roman"/>
          <w:color w:val="000000"/>
          <w:sz w:val="20"/>
        </w:rPr>
        <w:t xml:space="preserve"> </w:t>
      </w:r>
      <w:r>
        <w:rPr>
          <w:rFonts w:ascii="Times New Roman" w:hAnsi="Times New Roman"/>
          <w:color w:val="000000"/>
          <w:sz w:val="18"/>
        </w:rPr>
        <w:t>Accordingly, the number of shares of common stock to be issued upon a milestone achievement varies dependent on the Company’s common stock price. If the outstanding milestones were achieved in full on December 31, 2023, the number of shares of common stock to be issued would have been 5,272,112</w:t>
      </w:r>
      <w:r>
        <w:rPr>
          <w:rFonts w:ascii="Times New Roman" w:hAnsi="Times New Roman"/>
          <w:color w:val="000000"/>
          <w:sz w:val="20"/>
        </w:rPr>
        <w:t xml:space="preserve"> </w:t>
      </w:r>
      <w:r>
        <w:rPr>
          <w:rFonts w:ascii="Times New Roman" w:hAnsi="Times New Roman"/>
          <w:color w:val="000000"/>
          <w:sz w:val="18"/>
        </w:rPr>
        <w:t>based on a volume weighted-average closing price of the Company's common stock of $11.29</w:t>
      </w:r>
      <w:r>
        <w:rPr>
          <w:rFonts w:ascii="Times New Roman" w:hAnsi="Times New Roman"/>
          <w:color w:val="000000"/>
          <w:sz w:val="20"/>
        </w:rPr>
        <w:t xml:space="preserve"> </w:t>
      </w:r>
      <w:r>
        <w:rPr>
          <w:rFonts w:ascii="Times New Roman" w:hAnsi="Times New Roman"/>
          <w:color w:val="000000"/>
          <w:sz w:val="18"/>
        </w:rPr>
        <w:t>for a specified period prior to December 31, 2023.</w:t>
      </w:r>
    </w:p>
    <w:p>
      <w:pPr>
        <w:pStyle w:val="TextBody"/>
        <w:bidi w:val="0"/>
        <w:spacing w:before="240" w:after="283"/>
        <w:jc w:val="left"/>
        <w:rPr>
          <w:rFonts w:ascii="Times New Roman" w:hAnsi="Times New Roman"/>
          <w:sz w:val="20"/>
        </w:rPr>
      </w:pPr>
      <w:r>
        <w:rPr>
          <w:rFonts w:ascii="Times New Roman" w:hAnsi="Times New Roman"/>
          <w:b/>
          <w:color w:val="000000"/>
          <w:sz w:val="18"/>
        </w:rPr>
        <w:t>4. Investments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tables present the fair value of available-for-sale investments by type of security:</w:t>
      </w:r>
    </w:p>
    <w:tbl>
      <w:tblPr>
        <w:tblW w:w="8795" w:type="dxa"/>
        <w:jc w:val="left"/>
        <w:tblInd w:w="0" w:type="dxa"/>
        <w:tblLayout w:type="fixed"/>
        <w:tblCellMar>
          <w:top w:w="28" w:type="dxa"/>
          <w:left w:w="28" w:type="dxa"/>
          <w:bottom w:w="28" w:type="dxa"/>
          <w:right w:w="28" w:type="dxa"/>
        </w:tblCellMar>
      </w:tblPr>
      <w:tblGrid>
        <w:gridCol w:w="4086"/>
        <w:gridCol w:w="146"/>
        <w:gridCol w:w="196"/>
        <w:gridCol w:w="691"/>
        <w:gridCol w:w="146"/>
        <w:gridCol w:w="146"/>
        <w:gridCol w:w="257"/>
        <w:gridCol w:w="494"/>
        <w:gridCol w:w="146"/>
        <w:gridCol w:w="146"/>
        <w:gridCol w:w="232"/>
        <w:gridCol w:w="519"/>
        <w:gridCol w:w="166"/>
        <w:gridCol w:w="146"/>
        <w:gridCol w:w="196"/>
        <w:gridCol w:w="691"/>
        <w:gridCol w:w="3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72" w:type="dxa"/>
            <w:gridSpan w:val="14"/>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0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314,957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314,558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investments with a maturity of one year or less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499,901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sz w:val="4"/>
                <w:szCs w:val="4"/>
              </w:rPr>
            </w:pPr>
            <w:r>
              <w:rPr>
                <w:sz w:val="4"/>
                <w:szCs w:val="4"/>
              </w:rPr>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2"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101,450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investments with a maturity of one to two years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105,917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106,449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606,350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01" w:type="dxa"/>
        <w:jc w:val="left"/>
        <w:tblInd w:w="0" w:type="dxa"/>
        <w:tblLayout w:type="fixed"/>
        <w:tblCellMar>
          <w:top w:w="28" w:type="dxa"/>
          <w:left w:w="28" w:type="dxa"/>
          <w:bottom w:w="28" w:type="dxa"/>
          <w:right w:w="28" w:type="dxa"/>
        </w:tblCellMar>
      </w:tblPr>
      <w:tblGrid>
        <w:gridCol w:w="4086"/>
        <w:gridCol w:w="146"/>
        <w:gridCol w:w="196"/>
        <w:gridCol w:w="691"/>
        <w:gridCol w:w="146"/>
        <w:gridCol w:w="146"/>
        <w:gridCol w:w="257"/>
        <w:gridCol w:w="494"/>
        <w:gridCol w:w="146"/>
        <w:gridCol w:w="146"/>
        <w:gridCol w:w="196"/>
        <w:gridCol w:w="661"/>
        <w:gridCol w:w="166"/>
        <w:gridCol w:w="146"/>
        <w:gridCol w:w="196"/>
        <w:gridCol w:w="691"/>
        <w:gridCol w:w="3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7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278" w:type="dxa"/>
            <w:gridSpan w:val="14"/>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40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356,728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(5,523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351,214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236,483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233,428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investments with a maturity of one year or less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593,211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584,642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gridSpan w:val="2"/>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sz w:val="4"/>
                <w:szCs w:val="4"/>
              </w:rPr>
            </w:pPr>
            <w:r>
              <w:rPr>
                <w:sz w:val="4"/>
                <w:szCs w:val="4"/>
              </w:rPr>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49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115,389</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147,092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investments with a maturity of one to two years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264,332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262,481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857,543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847,123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tables summarize the Company's available-for-sale debt securities in an unrealized loss position for which an allowance for credit losses has not been recorded, aggregated by major security type and length of time in a continuous unrealized loss position:</w:t>
      </w:r>
    </w:p>
    <w:tbl>
      <w:tblPr>
        <w:tblW w:w="8577" w:type="dxa"/>
        <w:jc w:val="left"/>
        <w:tblInd w:w="0" w:type="dxa"/>
        <w:tblLayout w:type="fixed"/>
        <w:tblCellMar>
          <w:top w:w="28" w:type="dxa"/>
          <w:left w:w="28" w:type="dxa"/>
          <w:bottom w:w="28" w:type="dxa"/>
          <w:right w:w="28" w:type="dxa"/>
        </w:tblCellMar>
      </w:tblPr>
      <w:tblGrid>
        <w:gridCol w:w="1696"/>
        <w:gridCol w:w="146"/>
        <w:gridCol w:w="196"/>
        <w:gridCol w:w="691"/>
        <w:gridCol w:w="146"/>
        <w:gridCol w:w="146"/>
        <w:gridCol w:w="232"/>
        <w:gridCol w:w="519"/>
        <w:gridCol w:w="166"/>
        <w:gridCol w:w="146"/>
        <w:gridCol w:w="196"/>
        <w:gridCol w:w="601"/>
        <w:gridCol w:w="146"/>
        <w:gridCol w:w="146"/>
        <w:gridCol w:w="232"/>
        <w:gridCol w:w="519"/>
        <w:gridCol w:w="166"/>
        <w:gridCol w:w="146"/>
        <w:gridCol w:w="196"/>
        <w:gridCol w:w="691"/>
        <w:gridCol w:w="146"/>
        <w:gridCol w:w="146"/>
        <w:gridCol w:w="232"/>
        <w:gridCol w:w="519"/>
        <w:gridCol w:w="41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12 Months or Longer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24" w:type="dxa"/>
            <w:gridSpan w:val="2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200,447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4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64,564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373,545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tbl>
      <w:tblPr>
        <w:tblW w:w="8805" w:type="dxa"/>
        <w:jc w:val="left"/>
        <w:tblInd w:w="0" w:type="dxa"/>
        <w:tblLayout w:type="fixed"/>
        <w:tblCellMar>
          <w:top w:w="28" w:type="dxa"/>
          <w:left w:w="28" w:type="dxa"/>
          <w:bottom w:w="28" w:type="dxa"/>
          <w:right w:w="28" w:type="dxa"/>
        </w:tblCellMar>
      </w:tblPr>
      <w:tblGrid>
        <w:gridCol w:w="1696"/>
        <w:gridCol w:w="146"/>
        <w:gridCol w:w="196"/>
        <w:gridCol w:w="691"/>
        <w:gridCol w:w="146"/>
        <w:gridCol w:w="146"/>
        <w:gridCol w:w="196"/>
        <w:gridCol w:w="571"/>
        <w:gridCol w:w="166"/>
        <w:gridCol w:w="146"/>
        <w:gridCol w:w="196"/>
        <w:gridCol w:w="691"/>
        <w:gridCol w:w="146"/>
        <w:gridCol w:w="146"/>
        <w:gridCol w:w="196"/>
        <w:gridCol w:w="571"/>
        <w:gridCol w:w="166"/>
        <w:gridCol w:w="146"/>
        <w:gridCol w:w="196"/>
        <w:gridCol w:w="691"/>
        <w:gridCol w:w="146"/>
        <w:gridCol w:w="146"/>
        <w:gridCol w:w="196"/>
        <w:gridCol w:w="661"/>
        <w:gridCol w:w="41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5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12 Months or Longer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552" w:type="dxa"/>
            <w:gridSpan w:val="22"/>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vAlign w:val="center"/>
          </w:tcPr>
          <w:p>
            <w:pPr>
              <w:pStyle w:val="TableContents"/>
              <w:bidi w:val="0"/>
              <w:spacing w:before="0" w:after="283"/>
              <w:jc w:val="center"/>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(4,578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418,534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(6,438</w:t>
            </w:r>
          </w:p>
        </w:tc>
        <w:tc>
          <w:tcPr>
            <w:tcW w:w="4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190,468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97,305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372,750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706,307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As summarized in the tables immediately above, the Company held 70</w:t>
      </w:r>
      <w:r>
        <w:rPr>
          <w:rFonts w:ascii="Times New Roman" w:hAnsi="Times New Roman"/>
          <w:color w:val="000000"/>
          <w:sz w:val="20"/>
        </w:rPr>
        <w:t xml:space="preserve"> </w:t>
      </w:r>
      <w:r>
        <w:rPr>
          <w:rFonts w:ascii="Times New Roman" w:hAnsi="Times New Roman"/>
          <w:color w:val="000000"/>
          <w:sz w:val="18"/>
        </w:rPr>
        <w:t>and 126</w:t>
      </w:r>
      <w:r>
        <w:rPr>
          <w:rFonts w:ascii="Times New Roman" w:hAnsi="Times New Roman"/>
          <w:color w:val="000000"/>
          <w:sz w:val="20"/>
        </w:rPr>
        <w:t xml:space="preserve"> </w:t>
      </w:r>
      <w:r>
        <w:rPr>
          <w:rFonts w:ascii="Times New Roman" w:hAnsi="Times New Roman"/>
          <w:color w:val="000000"/>
          <w:sz w:val="18"/>
        </w:rPr>
        <w:t>debt securities that were in an unrealized loss position as of December 31, 2023 and 2022, respectively. The unrealized losses at December 31, 2023 and 2022</w:t>
      </w:r>
      <w:r>
        <w:rPr>
          <w:rFonts w:ascii="Times New Roman" w:hAnsi="Times New Roman"/>
          <w:color w:val="000000"/>
          <w:sz w:val="20"/>
        </w:rPr>
        <w:t xml:space="preserve"> </w:t>
      </w:r>
      <w:r>
        <w:rPr>
          <w:rFonts w:ascii="Times New Roman" w:hAnsi="Times New Roman"/>
          <w:color w:val="000000"/>
          <w:sz w:val="18"/>
        </w:rPr>
        <w:t>were attributable to changes in interest rates and the unrealized losses do not represent credit losses. The Company does not intend to sell these securities and it is not more likely than not that it will be required to sell them before recovery of their amortized cost basis.</w:t>
      </w:r>
    </w:p>
    <w:p>
      <w:pPr>
        <w:pStyle w:val="TextBody"/>
        <w:bidi w:val="0"/>
        <w:spacing w:before="240" w:after="283"/>
        <w:jc w:val="left"/>
        <w:rPr>
          <w:rFonts w:ascii="Times New Roman" w:hAnsi="Times New Roman"/>
          <w:sz w:val="20"/>
        </w:rPr>
      </w:pPr>
      <w:r>
        <w:rPr>
          <w:rFonts w:ascii="Times New Roman" w:hAnsi="Times New Roman"/>
          <w:b/>
          <w:color w:val="000000"/>
          <w:sz w:val="18"/>
        </w:rPr>
        <w:t>5. Property and Equipment</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Property and equipment, net consisted of the following:</w:t>
      </w:r>
      <w:r>
        <w:rPr>
          <w:rFonts w:ascii="Times New Roman" w:hAnsi="Times New Roman"/>
          <w:color w:val="000000"/>
          <w:sz w:val="20"/>
        </w:rPr>
        <w:t xml:space="preserve"> </w:t>
      </w:r>
    </w:p>
    <w:tbl>
      <w:tblPr>
        <w:tblW w:w="5074" w:type="dxa"/>
        <w:jc w:val="left"/>
        <w:tblInd w:w="0" w:type="dxa"/>
        <w:tblLayout w:type="fixed"/>
        <w:tblCellMar>
          <w:top w:w="28" w:type="dxa"/>
          <w:left w:w="28" w:type="dxa"/>
          <w:bottom w:w="28" w:type="dxa"/>
          <w:right w:w="28" w:type="dxa"/>
        </w:tblCellMar>
      </w:tblPr>
      <w:tblGrid>
        <w:gridCol w:w="2511"/>
        <w:gridCol w:w="146"/>
        <w:gridCol w:w="196"/>
        <w:gridCol w:w="661"/>
        <w:gridCol w:w="166"/>
        <w:gridCol w:w="146"/>
        <w:gridCol w:w="196"/>
        <w:gridCol w:w="661"/>
        <w:gridCol w:w="39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26"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5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5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Laboratory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21,472</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Computer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5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Furniture and fixtures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Construction in process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30,023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Less: accumulated depreciation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(18,389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Company recorded $5.3</w:t>
      </w:r>
      <w:r>
        <w:rPr>
          <w:rFonts w:ascii="Times New Roman" w:hAnsi="Times New Roman"/>
          <w:color w:val="000000"/>
          <w:sz w:val="20"/>
        </w:rPr>
        <w:t xml:space="preserve"> </w:t>
      </w:r>
      <w:r>
        <w:rPr>
          <w:rFonts w:ascii="Times New Roman" w:hAnsi="Times New Roman"/>
          <w:color w:val="000000"/>
          <w:sz w:val="18"/>
        </w:rPr>
        <w:t>million, $4.1</w:t>
      </w:r>
      <w:r>
        <w:rPr>
          <w:rFonts w:ascii="Times New Roman" w:hAnsi="Times New Roman"/>
          <w:color w:val="000000"/>
          <w:sz w:val="20"/>
        </w:rPr>
        <w:t xml:space="preserve"> </w:t>
      </w:r>
      <w:r>
        <w:rPr>
          <w:rFonts w:ascii="Times New Roman" w:hAnsi="Times New Roman"/>
          <w:color w:val="000000"/>
          <w:sz w:val="18"/>
        </w:rPr>
        <w:t>million, and $3.9</w:t>
      </w:r>
      <w:r>
        <w:rPr>
          <w:rFonts w:ascii="Times New Roman" w:hAnsi="Times New Roman"/>
          <w:color w:val="000000"/>
          <w:sz w:val="20"/>
        </w:rPr>
        <w:t xml:space="preserve"> </w:t>
      </w:r>
      <w:r>
        <w:rPr>
          <w:rFonts w:ascii="Times New Roman" w:hAnsi="Times New Roman"/>
          <w:color w:val="000000"/>
          <w:sz w:val="18"/>
        </w:rPr>
        <w:t>million of depreciation expense for the years ended December 31, 2023, 2022, and 2021, respectively.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6. Accrued Expenses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Accrued expenses consisted of the following:</w:t>
      </w:r>
      <w:r>
        <w:rPr>
          <w:rFonts w:ascii="Times New Roman" w:hAnsi="Times New Roman"/>
          <w:color w:val="000000"/>
          <w:sz w:val="20"/>
        </w:rPr>
        <w:t xml:space="preserve"> </w:t>
      </w:r>
    </w:p>
    <w:tbl>
      <w:tblPr>
        <w:tblW w:w="5209" w:type="dxa"/>
        <w:jc w:val="left"/>
        <w:tblInd w:w="0" w:type="dxa"/>
        <w:tblLayout w:type="fixed"/>
        <w:tblCellMar>
          <w:top w:w="28" w:type="dxa"/>
          <w:left w:w="28" w:type="dxa"/>
          <w:bottom w:w="28" w:type="dxa"/>
          <w:right w:w="28" w:type="dxa"/>
        </w:tblCellMar>
      </w:tblPr>
      <w:tblGrid>
        <w:gridCol w:w="2986"/>
        <w:gridCol w:w="146"/>
        <w:gridCol w:w="196"/>
        <w:gridCol w:w="601"/>
        <w:gridCol w:w="146"/>
        <w:gridCol w:w="146"/>
        <w:gridCol w:w="196"/>
        <w:gridCol w:w="601"/>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6"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research and development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19,276</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and professional services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831</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costs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accrued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22,703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8"/>
        </w:rPr>
        <w:t>7.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Each share of common stock entitles the stockholder to one vote on all matters submitted to a vote of the Company’s stockholders.</w:t>
      </w:r>
      <w:r>
        <w:rPr>
          <w:rFonts w:ascii="Times New Roman" w:hAnsi="Times New Roman"/>
          <w:color w:val="000000"/>
          <w:sz w:val="20"/>
        </w:rPr>
        <w:t xml:space="preserve"> </w:t>
      </w:r>
      <w:r>
        <w:rPr>
          <w:rFonts w:ascii="Times New Roman" w:hAnsi="Times New Roman"/>
          <w:color w:val="000000"/>
          <w:sz w:val="18"/>
        </w:rPr>
        <w:t>Common stockholders are entitled to receive dividends, as may be declared by the Company’s board of directors. As of December 31, 2023, no</w:t>
      </w:r>
      <w:r>
        <w:rPr>
          <w:rFonts w:ascii="Times New Roman" w:hAnsi="Times New Roman"/>
          <w:color w:val="000000"/>
          <w:sz w:val="20"/>
        </w:rPr>
        <w:t xml:space="preserve"> </w:t>
      </w:r>
      <w:r>
        <w:rPr>
          <w:rFonts w:ascii="Times New Roman" w:hAnsi="Times New Roman"/>
          <w:color w:val="000000"/>
          <w:sz w:val="18"/>
        </w:rPr>
        <w:t>dividends had been declared.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Restricted Common Stock</w:t>
      </w:r>
    </w:p>
    <w:p>
      <w:pPr>
        <w:pStyle w:val="TextBody"/>
        <w:bidi w:val="0"/>
        <w:spacing w:before="240" w:after="283"/>
        <w:jc w:val="left"/>
        <w:rPr>
          <w:rFonts w:ascii="Times New Roman" w:hAnsi="Times New Roman"/>
          <w:sz w:val="20"/>
        </w:rPr>
      </w:pPr>
      <w:r>
        <w:rPr>
          <w:rFonts w:ascii="Times New Roman" w:hAnsi="Times New Roman"/>
          <w:color w:val="000000"/>
          <w:sz w:val="18"/>
        </w:rPr>
        <w:t>In prior years, the Company issued restricted shares of common stock to its founders and consultants. The Company also issued restricted shares of common stock upon the early exercise of stock options under the Company’s 2016 Stock Option and Grant Plan (the "2016 Stock Plan"). The restrictions on the common shares generally lapsed over vesting terms of</w:t>
      </w:r>
      <w:r>
        <w:rPr>
          <w:rFonts w:ascii="Times New Roman" w:hAnsi="Times New Roman"/>
          <w:color w:val="000000"/>
          <w:sz w:val="20"/>
        </w:rPr>
        <w:t xml:space="preserve"> </w:t>
      </w:r>
      <w:r>
        <w:rPr>
          <w:rFonts w:ascii="Times New Roman" w:hAnsi="Times New Roman"/>
          <w:color w:val="000000"/>
          <w:sz w:val="18"/>
        </w:rPr>
        <w:t>four years. The Company included the proceeds from the issuance of the restricted shares of common stock as a restricted stock liability on the accompanying consolidated balance sheets. Amounts were reclassified to additional paid-in capital as the restrictions lapsed. The Company had the right to repurchase any unvested shares of restricted common stock at the original cost upon termination.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2021, the restrictions had lapsed on each share of restricted common stock issued in prior years.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At-the-Market Offerings</w:t>
      </w:r>
    </w:p>
    <w:p>
      <w:pPr>
        <w:pStyle w:val="TextBody"/>
        <w:bidi w:val="0"/>
        <w:spacing w:before="240" w:after="283"/>
        <w:jc w:val="left"/>
        <w:rPr>
          <w:rFonts w:ascii="Times New Roman" w:hAnsi="Times New Roman"/>
          <w:sz w:val="20"/>
        </w:rPr>
      </w:pPr>
      <w:r>
        <w:rPr>
          <w:rFonts w:ascii="Times New Roman" w:hAnsi="Times New Roman"/>
          <w:color w:val="000000"/>
          <w:sz w:val="18"/>
        </w:rPr>
        <w:t>In August 2021, the Company</w:t>
      </w:r>
      <w:r>
        <w:rPr>
          <w:rFonts w:ascii="Times New Roman" w:hAnsi="Times New Roman"/>
          <w:color w:val="000000"/>
          <w:sz w:val="20"/>
        </w:rPr>
        <w:t xml:space="preserve"> </w:t>
      </w:r>
      <w:r>
        <w:rPr>
          <w:rFonts w:ascii="Times New Roman" w:hAnsi="Times New Roman"/>
          <w:color w:val="000000"/>
          <w:sz w:val="18"/>
        </w:rPr>
        <w:t>entered into a sales agreement, (the "Sales Agreement"), with Cowen and Company, LLC ("Cowen"), pursuant to which the Company may offer and sell shares of its common stock having aggregate gross proceeds of up to $300.0</w:t>
      </w:r>
      <w:r>
        <w:rPr>
          <w:rFonts w:ascii="Times New Roman" w:hAnsi="Times New Roman"/>
          <w:color w:val="000000"/>
          <w:sz w:val="20"/>
        </w:rPr>
        <w:t xml:space="preserve"> </w:t>
      </w:r>
      <w:r>
        <w:rPr>
          <w:rFonts w:ascii="Times New Roman" w:hAnsi="Times New Roman"/>
          <w:color w:val="000000"/>
          <w:sz w:val="18"/>
        </w:rPr>
        <w:t>million from time to time in "at-the-market" offerings through Cowen, as the Company’s sales agent ("At-the-Market Offerings").</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2022, no</w:t>
      </w:r>
      <w:r>
        <w:rPr>
          <w:rFonts w:ascii="Times New Roman" w:hAnsi="Times New Roman"/>
          <w:color w:val="000000"/>
          <w:sz w:val="20"/>
        </w:rPr>
        <w:t xml:space="preserve"> </w:t>
      </w:r>
      <w:r>
        <w:rPr>
          <w:rFonts w:ascii="Times New Roman" w:hAnsi="Times New Roman"/>
          <w:color w:val="000000"/>
          <w:sz w:val="18"/>
        </w:rPr>
        <w:t>shares of common stock had been sold via At-the-Market Offerings under the Sales Agreement.</w:t>
      </w:r>
    </w:p>
    <w:p>
      <w:pPr>
        <w:pStyle w:val="TextBody"/>
        <w:bidi w:val="0"/>
        <w:spacing w:before="240" w:after="283"/>
        <w:jc w:val="left"/>
        <w:rPr>
          <w:rFonts w:ascii="Times New Roman" w:hAnsi="Times New Roman"/>
          <w:sz w:val="20"/>
        </w:rPr>
      </w:pPr>
      <w:r>
        <w:rPr>
          <w:rFonts w:ascii="Times New Roman" w:hAnsi="Times New Roman"/>
          <w:color w:val="000000"/>
          <w:sz w:val="18"/>
        </w:rPr>
        <w:t>During the year ended December 31, 2023, the Company sold 3,026,072</w:t>
      </w:r>
      <w:r>
        <w:rPr>
          <w:rFonts w:ascii="Times New Roman" w:hAnsi="Times New Roman"/>
          <w:color w:val="000000"/>
          <w:sz w:val="20"/>
        </w:rPr>
        <w:t xml:space="preserve"> </w:t>
      </w:r>
      <w:r>
        <w:rPr>
          <w:rFonts w:ascii="Times New Roman" w:hAnsi="Times New Roman"/>
          <w:color w:val="000000"/>
          <w:sz w:val="18"/>
        </w:rPr>
        <w:t>shares of common stock via At-the-Market Offerings under the Sales Agreement at a weighted-average average price of $10.26</w:t>
      </w:r>
      <w:r>
        <w:rPr>
          <w:rFonts w:ascii="Times New Roman" w:hAnsi="Times New Roman"/>
          <w:color w:val="000000"/>
          <w:sz w:val="20"/>
        </w:rPr>
        <w:t xml:space="preserve"> </w:t>
      </w:r>
      <w:r>
        <w:rPr>
          <w:rFonts w:ascii="Times New Roman" w:hAnsi="Times New Roman"/>
          <w:color w:val="000000"/>
          <w:sz w:val="18"/>
        </w:rPr>
        <w:t>per share. The Company received proceeds of $30.3</w:t>
      </w:r>
      <w:r>
        <w:rPr>
          <w:rFonts w:ascii="Times New Roman" w:hAnsi="Times New Roman"/>
          <w:color w:val="000000"/>
          <w:sz w:val="20"/>
        </w:rPr>
        <w:t xml:space="preserve"> </w:t>
      </w:r>
      <w:r>
        <w:rPr>
          <w:rFonts w:ascii="Times New Roman" w:hAnsi="Times New Roman"/>
          <w:color w:val="000000"/>
          <w:sz w:val="18"/>
        </w:rPr>
        <w:t>million, which was net of $0.8</w:t>
      </w:r>
      <w:r>
        <w:rPr>
          <w:rFonts w:ascii="Times New Roman" w:hAnsi="Times New Roman"/>
          <w:color w:val="000000"/>
          <w:sz w:val="20"/>
        </w:rPr>
        <w:t xml:space="preserve"> </w:t>
      </w:r>
      <w:r>
        <w:rPr>
          <w:rFonts w:ascii="Times New Roman" w:hAnsi="Times New Roman"/>
          <w:color w:val="000000"/>
          <w:sz w:val="18"/>
        </w:rPr>
        <w:t>million in commissions paid to Cowen and other offering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Follow-On Offerings</w:t>
      </w:r>
    </w:p>
    <w:p>
      <w:pPr>
        <w:pStyle w:val="TextBody"/>
        <w:bidi w:val="0"/>
        <w:spacing w:before="240" w:after="283"/>
        <w:jc w:val="left"/>
        <w:rPr>
          <w:rFonts w:ascii="Times New Roman" w:hAnsi="Times New Roman"/>
          <w:sz w:val="20"/>
        </w:rPr>
      </w:pPr>
      <w:r>
        <w:rPr>
          <w:rFonts w:ascii="Times New Roman" w:hAnsi="Times New Roman"/>
          <w:color w:val="000000"/>
          <w:sz w:val="18"/>
        </w:rPr>
        <w:t>In October 2021, the Company completed a public offering of 15,188,679</w:t>
      </w:r>
      <w:r>
        <w:rPr>
          <w:rFonts w:ascii="Times New Roman" w:hAnsi="Times New Roman"/>
          <w:color w:val="000000"/>
          <w:sz w:val="20"/>
        </w:rPr>
        <w:t xml:space="preserve"> </w:t>
      </w:r>
      <w:r>
        <w:rPr>
          <w:rFonts w:ascii="Times New Roman" w:hAnsi="Times New Roman"/>
          <w:color w:val="000000"/>
          <w:sz w:val="18"/>
        </w:rPr>
        <w:t>shares of common stock, including the exercise in full of the underwriters’ option to purchase an additional 1,981,132</w:t>
      </w:r>
      <w:r>
        <w:rPr>
          <w:rFonts w:ascii="Times New Roman" w:hAnsi="Times New Roman"/>
          <w:color w:val="000000"/>
          <w:sz w:val="20"/>
        </w:rPr>
        <w:t xml:space="preserve"> </w:t>
      </w:r>
      <w:r>
        <w:rPr>
          <w:rFonts w:ascii="Times New Roman" w:hAnsi="Times New Roman"/>
          <w:color w:val="000000"/>
          <w:sz w:val="18"/>
        </w:rPr>
        <w:t>shares, at an offering price of $26.50</w:t>
      </w:r>
      <w:r>
        <w:rPr>
          <w:rFonts w:ascii="Times New Roman" w:hAnsi="Times New Roman"/>
          <w:color w:val="000000"/>
          <w:sz w:val="20"/>
        </w:rPr>
        <w:t xml:space="preserve"> </w:t>
      </w:r>
      <w:r>
        <w:rPr>
          <w:rFonts w:ascii="Times New Roman" w:hAnsi="Times New Roman"/>
          <w:color w:val="000000"/>
          <w:sz w:val="18"/>
        </w:rPr>
        <w:t>per share. The Company received proceeds of $382.2</w:t>
      </w:r>
      <w:r>
        <w:rPr>
          <w:rFonts w:ascii="Times New Roman" w:hAnsi="Times New Roman"/>
          <w:color w:val="000000"/>
          <w:sz w:val="20"/>
        </w:rPr>
        <w:t xml:space="preserve"> </w:t>
      </w:r>
      <w:r>
        <w:rPr>
          <w:rFonts w:ascii="Times New Roman" w:hAnsi="Times New Roman"/>
          <w:color w:val="000000"/>
          <w:sz w:val="18"/>
        </w:rPr>
        <w:t>million, which was net of $20.3</w:t>
      </w:r>
      <w:r>
        <w:rPr>
          <w:rFonts w:ascii="Times New Roman" w:hAnsi="Times New Roman"/>
          <w:color w:val="000000"/>
          <w:sz w:val="20"/>
        </w:rPr>
        <w:t xml:space="preserve"> </w:t>
      </w:r>
      <w:r>
        <w:rPr>
          <w:rFonts w:ascii="Times New Roman" w:hAnsi="Times New Roman"/>
          <w:color w:val="000000"/>
          <w:sz w:val="18"/>
        </w:rPr>
        <w:t>million in underwriting discounts and commissions, as well as other offering expenses.</w:t>
      </w:r>
    </w:p>
    <w:p>
      <w:pPr>
        <w:pStyle w:val="TextBody"/>
        <w:bidi w:val="0"/>
        <w:spacing w:before="240" w:after="283"/>
        <w:jc w:val="left"/>
        <w:rPr>
          <w:rFonts w:ascii="Times New Roman" w:hAnsi="Times New Roman"/>
          <w:sz w:val="20"/>
        </w:rPr>
      </w:pPr>
      <w:r>
        <w:rPr>
          <w:rFonts w:ascii="Times New Roman" w:hAnsi="Times New Roman"/>
          <w:color w:val="000000"/>
          <w:sz w:val="18"/>
        </w:rPr>
        <w:t>In September 2022, the Company completed a public offering of 11,320,755</w:t>
      </w:r>
      <w:r>
        <w:rPr>
          <w:rFonts w:ascii="Times New Roman" w:hAnsi="Times New Roman"/>
          <w:color w:val="000000"/>
          <w:sz w:val="20"/>
        </w:rPr>
        <w:t xml:space="preserve"> </w:t>
      </w:r>
      <w:r>
        <w:rPr>
          <w:rFonts w:ascii="Times New Roman" w:hAnsi="Times New Roman"/>
          <w:color w:val="000000"/>
          <w:sz w:val="18"/>
        </w:rPr>
        <w:t>shares of common stock at an offering price of $26.50</w:t>
      </w:r>
      <w:r>
        <w:rPr>
          <w:rFonts w:ascii="Times New Roman" w:hAnsi="Times New Roman"/>
          <w:color w:val="000000"/>
          <w:sz w:val="20"/>
        </w:rPr>
        <w:t xml:space="preserve"> </w:t>
      </w:r>
      <w:r>
        <w:rPr>
          <w:rFonts w:ascii="Times New Roman" w:hAnsi="Times New Roman"/>
          <w:color w:val="000000"/>
          <w:sz w:val="18"/>
        </w:rPr>
        <w:t>per share. The Company received proceeds of $284.7</w:t>
      </w:r>
      <w:r>
        <w:rPr>
          <w:rFonts w:ascii="Times New Roman" w:hAnsi="Times New Roman"/>
          <w:color w:val="000000"/>
          <w:sz w:val="20"/>
        </w:rPr>
        <w:t xml:space="preserve"> </w:t>
      </w:r>
      <w:r>
        <w:rPr>
          <w:rFonts w:ascii="Times New Roman" w:hAnsi="Times New Roman"/>
          <w:color w:val="000000"/>
          <w:sz w:val="18"/>
        </w:rPr>
        <w:t>million, which was net of $15.3</w:t>
      </w:r>
      <w:r>
        <w:rPr>
          <w:rFonts w:ascii="Times New Roman" w:hAnsi="Times New Roman"/>
          <w:color w:val="000000"/>
          <w:sz w:val="20"/>
        </w:rPr>
        <w:t xml:space="preserve"> </w:t>
      </w:r>
      <w:r>
        <w:rPr>
          <w:rFonts w:ascii="Times New Roman" w:hAnsi="Times New Roman"/>
          <w:color w:val="000000"/>
          <w:sz w:val="18"/>
        </w:rPr>
        <w:t>million in underwriting discounts and commissions, as well as other offering expenses.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Private Placement</w:t>
      </w:r>
    </w:p>
    <w:p>
      <w:pPr>
        <w:pStyle w:val="TextBody"/>
        <w:bidi w:val="0"/>
        <w:spacing w:before="240" w:after="283"/>
        <w:jc w:val="left"/>
        <w:rPr>
          <w:rFonts w:ascii="Times New Roman" w:hAnsi="Times New Roman"/>
          <w:sz w:val="20"/>
        </w:rPr>
      </w:pPr>
      <w:r>
        <w:rPr>
          <w:rFonts w:ascii="Times New Roman" w:hAnsi="Times New Roman"/>
          <w:color w:val="000000"/>
          <w:sz w:val="18"/>
        </w:rPr>
        <w:t>In January 2024, the Company entered into a securities purchase agreement with Nextech Crossover I SCP for the private placement of 2,500,000</w:t>
      </w:r>
      <w:r>
        <w:rPr>
          <w:rFonts w:ascii="Times New Roman" w:hAnsi="Times New Roman"/>
          <w:color w:val="000000"/>
          <w:sz w:val="20"/>
        </w:rPr>
        <w:t xml:space="preserve"> </w:t>
      </w:r>
      <w:r>
        <w:rPr>
          <w:rFonts w:ascii="Times New Roman" w:hAnsi="Times New Roman"/>
          <w:color w:val="000000"/>
          <w:sz w:val="18"/>
        </w:rPr>
        <w:t>shares of common stock at $12.00</w:t>
      </w:r>
      <w:r>
        <w:rPr>
          <w:rFonts w:ascii="Times New Roman" w:hAnsi="Times New Roman"/>
          <w:color w:val="000000"/>
          <w:sz w:val="20"/>
        </w:rPr>
        <w:t xml:space="preserve"> </w:t>
      </w:r>
      <w:r>
        <w:rPr>
          <w:rFonts w:ascii="Times New Roman" w:hAnsi="Times New Roman"/>
          <w:color w:val="000000"/>
          <w:sz w:val="18"/>
        </w:rPr>
        <w:t>per share (the "Private Placement"). The aggregate gross proceeds for the Private Placement were approximately $30.0</w:t>
      </w:r>
      <w:r>
        <w:rPr>
          <w:rFonts w:ascii="Times New Roman" w:hAnsi="Times New Roman"/>
          <w:color w:val="000000"/>
          <w:sz w:val="20"/>
        </w:rPr>
        <w:t xml:space="preserve"> </w:t>
      </w:r>
      <w:r>
        <w:rPr>
          <w:rFonts w:ascii="Times New Roman" w:hAnsi="Times New Roman"/>
          <w:color w:val="000000"/>
          <w:sz w:val="18"/>
        </w:rPr>
        <w:t>million, before deducting offering expenses payable by the Company in 2024.</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8. Stock Compensation</w:t>
      </w:r>
    </w:p>
    <w:p>
      <w:pPr>
        <w:pStyle w:val="TextBody"/>
        <w:bidi w:val="0"/>
        <w:spacing w:before="240" w:after="283"/>
        <w:jc w:val="left"/>
        <w:rPr>
          <w:rFonts w:ascii="Times New Roman" w:hAnsi="Times New Roman"/>
          <w:sz w:val="20"/>
        </w:rPr>
      </w:pPr>
      <w:r>
        <w:rPr>
          <w:rFonts w:ascii="Times New Roman" w:hAnsi="Times New Roman"/>
          <w:color w:val="000000"/>
          <w:sz w:val="18"/>
        </w:rPr>
        <w:t>In 2016, the Company adopted the 2016 Stock Plan. Subsequent to July 2020, no</w:t>
      </w:r>
      <w:r>
        <w:rPr>
          <w:rFonts w:ascii="Times New Roman" w:hAnsi="Times New Roman"/>
          <w:color w:val="000000"/>
          <w:sz w:val="20"/>
        </w:rPr>
        <w:t xml:space="preserve"> </w:t>
      </w:r>
      <w:r>
        <w:rPr>
          <w:rFonts w:ascii="Times New Roman" w:hAnsi="Times New Roman"/>
          <w:color w:val="000000"/>
          <w:sz w:val="18"/>
        </w:rPr>
        <w:t>further awards have been granted under the 2016 Stock Plan and all equity-based awards have been and will continue to be granted under the 2020 Stock Option and Incentive Plan (the "2020 Stock Plan"). To the extent outstanding options granted under the 2016 Stock Plan are cancelled, forfeited, or otherwise terminated without being exercised and would otherwise have been returned to the share reserve under the 2016 Stock Plan, the number of shares underlying such awards will be available for future grant under the 2020 Stock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2020, the Company’s stockholders approved the 2020 Stock Plan. All of the Company’s employees, officers, directors, and consultants are eligible to be granted options, restricted stock units, and other stock-based awards under the terms of the 2020 Stock Plan, which originally provided for the issuance of up to 8,376,080</w:t>
      </w:r>
      <w:r>
        <w:rPr>
          <w:rFonts w:ascii="Times New Roman" w:hAnsi="Times New Roman"/>
          <w:color w:val="000000"/>
          <w:sz w:val="20"/>
        </w:rPr>
        <w:t xml:space="preserve"> </w:t>
      </w:r>
      <w:r>
        <w:rPr>
          <w:rFonts w:ascii="Times New Roman" w:hAnsi="Times New Roman"/>
          <w:color w:val="000000"/>
          <w:sz w:val="18"/>
        </w:rPr>
        <w:t>of stock-based awards. The 2020 Stock Plan is also subject to annual increases to be added on the first day of each fiscal year, commencing on January 1, 2021, equal to 5% of the number of outstanding shares on the immediately preceding December 31 or such lesser number of shares approved by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Company’s board of directors or compensation committee of the board of directors. On January 1, 2023, the number of shares available for issuance under the 2020 Stock Plan was increased by 6,056,111</w:t>
      </w:r>
      <w:r>
        <w:rPr>
          <w:rFonts w:ascii="Times New Roman" w:hAnsi="Times New Roman"/>
          <w:color w:val="000000"/>
          <w:sz w:val="20"/>
        </w:rPr>
        <w:t xml:space="preserve"> </w:t>
      </w:r>
      <w:r>
        <w:rPr>
          <w:rFonts w:ascii="Times New Roman" w:hAnsi="Times New Roman"/>
          <w:color w:val="000000"/>
          <w:sz w:val="18"/>
        </w:rPr>
        <w:t>shares of common stock. There were 9,160,736</w:t>
      </w:r>
      <w:r>
        <w:rPr>
          <w:rFonts w:ascii="Times New Roman" w:hAnsi="Times New Roman"/>
          <w:color w:val="000000"/>
          <w:sz w:val="20"/>
        </w:rPr>
        <w:t xml:space="preserve"> </w:t>
      </w:r>
      <w:r>
        <w:rPr>
          <w:rFonts w:ascii="Times New Roman" w:hAnsi="Times New Roman"/>
          <w:color w:val="000000"/>
          <w:sz w:val="18"/>
        </w:rPr>
        <w:t>stock-based awards available for grant at December 31, 2023 under the 2020 Stock Plan.</w:t>
      </w:r>
    </w:p>
    <w:p>
      <w:pPr>
        <w:pStyle w:val="TextBody"/>
        <w:bidi w:val="0"/>
        <w:spacing w:before="240" w:after="283"/>
        <w:jc w:val="left"/>
        <w:rPr>
          <w:rFonts w:ascii="Times New Roman" w:hAnsi="Times New Roman"/>
          <w:sz w:val="20"/>
        </w:rPr>
      </w:pPr>
      <w:r>
        <w:rPr>
          <w:rFonts w:ascii="Times New Roman" w:hAnsi="Times New Roman"/>
          <w:color w:val="000000"/>
          <w:sz w:val="18"/>
        </w:rPr>
        <w:t>In 2020, the Company adopted an Employee Stock Purchase Plan ("ESPP") that permits eligible employees to enroll in six-month offering periods. Participants may purchase shares of the Company’s common stock, through after-tax payroll deductions, at a price equal to 85% of the fair market value of the common stock on the first or last day of the applicable six-month offering period, whichever is lower. Purchase dates under the ESPP occur on or about June 30 and December 31 each year, with the initial purchase date under the ESPP on December 31, 2021. The Company’s stockholders originally authorized 1,092,532</w:t>
      </w:r>
      <w:r>
        <w:rPr>
          <w:rFonts w:ascii="Times New Roman" w:hAnsi="Times New Roman"/>
          <w:color w:val="000000"/>
          <w:sz w:val="20"/>
        </w:rPr>
        <w:t xml:space="preserve"> </w:t>
      </w:r>
      <w:r>
        <w:rPr>
          <w:rFonts w:ascii="Times New Roman" w:hAnsi="Times New Roman"/>
          <w:color w:val="000000"/>
          <w:sz w:val="18"/>
        </w:rPr>
        <w:t>shares for issuance pursuant to the ESPP, which is subject to annual increases to be added on the first day of each fiscal year, commencing on January 1, 2021, equal to the lesser of 2,185,064</w:t>
      </w:r>
      <w:r>
        <w:rPr>
          <w:rFonts w:ascii="Times New Roman" w:hAnsi="Times New Roman"/>
          <w:color w:val="000000"/>
          <w:sz w:val="20"/>
        </w:rPr>
        <w:t xml:space="preserve"> </w:t>
      </w:r>
      <w:r>
        <w:rPr>
          <w:rFonts w:ascii="Times New Roman" w:hAnsi="Times New Roman"/>
          <w:color w:val="000000"/>
          <w:sz w:val="18"/>
        </w:rPr>
        <w:t>shares of the Company’s common stock, 1% of the number of outstanding shares on the immediately preceding December 31, or an amount determined by the Company’s board of directors. On January 1, 2023, the number of shares available for issuance under the ESPP was increased by 1,211,222</w:t>
      </w:r>
      <w:r>
        <w:rPr>
          <w:rFonts w:ascii="Times New Roman" w:hAnsi="Times New Roman"/>
          <w:color w:val="000000"/>
          <w:sz w:val="20"/>
        </w:rPr>
        <w:t xml:space="preserve"> </w:t>
      </w:r>
      <w:r>
        <w:rPr>
          <w:rFonts w:ascii="Times New Roman" w:hAnsi="Times New Roman"/>
          <w:color w:val="000000"/>
          <w:sz w:val="18"/>
        </w:rPr>
        <w:t>shares of common stock. There were 3,874,096</w:t>
      </w:r>
      <w:r>
        <w:rPr>
          <w:rFonts w:ascii="Times New Roman" w:hAnsi="Times New Roman"/>
          <w:color w:val="000000"/>
          <w:sz w:val="20"/>
        </w:rPr>
        <w:t xml:space="preserve"> </w:t>
      </w:r>
      <w:r>
        <w:rPr>
          <w:rFonts w:ascii="Times New Roman" w:hAnsi="Times New Roman"/>
          <w:color w:val="000000"/>
          <w:sz w:val="18"/>
        </w:rPr>
        <w:t>shares available for grant at December 31, 2023 under the ESPP.</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In connection with all stock-based payments, total stock compensation expense recognized was as follows:</w:t>
      </w:r>
    </w:p>
    <w:tbl>
      <w:tblPr>
        <w:tblW w:w="6013" w:type="dxa"/>
        <w:jc w:val="left"/>
        <w:tblInd w:w="0" w:type="dxa"/>
        <w:tblLayout w:type="fixed"/>
        <w:tblCellMar>
          <w:top w:w="28" w:type="dxa"/>
          <w:left w:w="28" w:type="dxa"/>
          <w:bottom w:w="28" w:type="dxa"/>
          <w:right w:w="28" w:type="dxa"/>
        </w:tblCellMar>
      </w:tblPr>
      <w:tblGrid>
        <w:gridCol w:w="2701"/>
        <w:gridCol w:w="146"/>
        <w:gridCol w:w="196"/>
        <w:gridCol w:w="601"/>
        <w:gridCol w:w="146"/>
        <w:gridCol w:w="146"/>
        <w:gridCol w:w="196"/>
        <w:gridCol w:w="601"/>
        <w:gridCol w:w="146"/>
        <w:gridCol w:w="146"/>
        <w:gridCol w:w="196"/>
        <w:gridCol w:w="60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center"/>
              <w:rPr/>
            </w:pPr>
            <w:r>
              <w:rPr/>
              <w:t> </w:t>
            </w:r>
          </w:p>
        </w:tc>
        <w:tc>
          <w:tcPr>
            <w:tcW w:w="3121" w:type="dxa"/>
            <w:gridSpan w:val="11"/>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24,922</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48,454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Time-Based Stock Options</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has historically granted stock options to employees, directors, and consultants with vesting conditions based on continued service over time. Accordingly, stock compensation expense for such awards is recognized using a straight-line attribution model over the vesting term of each option.</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The following table summarizes activity for time-based stock options under the 2016 Stock Plan and the 2020 Stock Plan for the year ended December 31, 2023:</w:t>
      </w:r>
      <w:r>
        <w:rPr>
          <w:rFonts w:ascii="Times New Roman" w:hAnsi="Times New Roman"/>
          <w:color w:val="000000"/>
          <w:sz w:val="20"/>
        </w:rPr>
        <w:t xml:space="preserve"> </w:t>
      </w:r>
    </w:p>
    <w:tbl>
      <w:tblPr>
        <w:tblW w:w="8528" w:type="dxa"/>
        <w:jc w:val="left"/>
        <w:tblInd w:w="0" w:type="dxa"/>
        <w:tblLayout w:type="fixed"/>
        <w:tblCellMar>
          <w:top w:w="28" w:type="dxa"/>
          <w:left w:w="28" w:type="dxa"/>
          <w:bottom w:w="28" w:type="dxa"/>
          <w:right w:w="28" w:type="dxa"/>
        </w:tblCellMar>
      </w:tblPr>
      <w:tblGrid>
        <w:gridCol w:w="2596"/>
        <w:gridCol w:w="146"/>
        <w:gridCol w:w="146"/>
        <w:gridCol w:w="916"/>
        <w:gridCol w:w="166"/>
        <w:gridCol w:w="146"/>
        <w:gridCol w:w="337"/>
        <w:gridCol w:w="879"/>
        <w:gridCol w:w="146"/>
        <w:gridCol w:w="146"/>
        <w:gridCol w:w="313"/>
        <w:gridCol w:w="903"/>
        <w:gridCol w:w="146"/>
        <w:gridCol w:w="146"/>
        <w:gridCol w:w="247"/>
        <w:gridCol w:w="758"/>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Weighted-Average</w:t>
              <w:br/>
              <w:t xml:space="preserve">Remaining 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Aggregate</w:t>
              <w:br/>
              <w:t>Intrinsic 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9,276,552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34,647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4,129,710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(366,025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Cancelled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12,391,815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18,907</w:t>
            </w:r>
          </w:p>
        </w:tc>
        <w:tc>
          <w:tcPr>
            <w:tcW w:w="3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6,651,356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18,559</w:t>
            </w:r>
          </w:p>
        </w:tc>
        <w:tc>
          <w:tcPr>
            <w:tcW w:w="3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5,740,459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total intrinsic value of time-based stock options exercised was $4.4</w:t>
      </w:r>
      <w:r>
        <w:rPr>
          <w:rFonts w:ascii="Times New Roman" w:hAnsi="Times New Roman"/>
          <w:color w:val="000000"/>
          <w:sz w:val="20"/>
        </w:rPr>
        <w:t xml:space="preserve"> </w:t>
      </w:r>
      <w:r>
        <w:rPr>
          <w:rFonts w:ascii="Times New Roman" w:hAnsi="Times New Roman"/>
          <w:color w:val="000000"/>
          <w:sz w:val="18"/>
        </w:rPr>
        <w:t>million, $15.5</w:t>
      </w:r>
      <w:r>
        <w:rPr>
          <w:rFonts w:ascii="Times New Roman" w:hAnsi="Times New Roman"/>
          <w:color w:val="000000"/>
          <w:sz w:val="20"/>
        </w:rPr>
        <w:t xml:space="preserve"> </w:t>
      </w:r>
      <w:r>
        <w:rPr>
          <w:rFonts w:ascii="Times New Roman" w:hAnsi="Times New Roman"/>
          <w:color w:val="000000"/>
          <w:sz w:val="18"/>
        </w:rPr>
        <w:t>million, and $32.4</w:t>
      </w:r>
      <w:r>
        <w:rPr>
          <w:rFonts w:ascii="Times New Roman" w:hAnsi="Times New Roman"/>
          <w:color w:val="000000"/>
          <w:sz w:val="20"/>
        </w:rPr>
        <w:t xml:space="preserve"> </w:t>
      </w:r>
      <w:r>
        <w:rPr>
          <w:rFonts w:ascii="Times New Roman" w:hAnsi="Times New Roman"/>
          <w:color w:val="000000"/>
          <w:sz w:val="18"/>
        </w:rPr>
        <w:t>million for the years ended December 31, 2023, 2022, and 2021, respectively.</w:t>
      </w:r>
    </w:p>
    <w:p>
      <w:pPr>
        <w:pStyle w:val="TextBody"/>
        <w:bidi w:val="0"/>
        <w:spacing w:before="240" w:after="240"/>
        <w:jc w:val="left"/>
        <w:rPr>
          <w:rFonts w:ascii="Times New Roman" w:hAnsi="Times New Roman"/>
          <w:sz w:val="20"/>
        </w:rPr>
      </w:pPr>
      <w:r>
        <w:rPr>
          <w:rFonts w:ascii="Times New Roman" w:hAnsi="Times New Roman"/>
          <w:color w:val="000000"/>
          <w:sz w:val="18"/>
        </w:rPr>
        <w:t>The fair value of each time-based stock option granted is estimated on the date of grant using the Black-Scholes option pricing model, pursuant to which the weighted-average grant date fair values were $12.83, $13.67, and $22.95</w:t>
      </w:r>
      <w:r>
        <w:rPr>
          <w:rFonts w:ascii="Times New Roman" w:hAnsi="Times New Roman"/>
          <w:color w:val="000000"/>
          <w:sz w:val="20"/>
        </w:rPr>
        <w:t xml:space="preserve"> </w:t>
      </w:r>
      <w:r>
        <w:rPr>
          <w:rFonts w:ascii="Times New Roman" w:hAnsi="Times New Roman"/>
          <w:color w:val="000000"/>
          <w:sz w:val="18"/>
        </w:rPr>
        <w:t>during the years ended December 31, 2023, 2022, and 2021, respectively. The following table summarizes the assumptions used in calculating the fair value of the time-based stock options granted.</w:t>
      </w:r>
    </w:p>
    <w:tbl>
      <w:tblPr>
        <w:tblW w:w="6112" w:type="dxa"/>
        <w:jc w:val="left"/>
        <w:tblInd w:w="0" w:type="dxa"/>
        <w:tblLayout w:type="fixed"/>
        <w:tblCellMar>
          <w:top w:w="28" w:type="dxa"/>
          <w:left w:w="28" w:type="dxa"/>
          <w:bottom w:w="28" w:type="dxa"/>
          <w:right w:w="28" w:type="dxa"/>
        </w:tblCellMar>
      </w:tblPr>
      <w:tblGrid>
        <w:gridCol w:w="1846"/>
        <w:gridCol w:w="146"/>
        <w:gridCol w:w="1261"/>
        <w:gridCol w:w="146"/>
        <w:gridCol w:w="1261"/>
        <w:gridCol w:w="146"/>
        <w:gridCol w:w="13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r>
      <w:tr>
        <w:trPr/>
        <w:tc>
          <w:tcPr>
            <w:tcW w:w="1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(in years)</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46" w:type="dxa"/>
            <w:tcBorders/>
            <w:shd w:fill="CFF0FC" w:val="clear"/>
            <w:vAlign w:val="center"/>
          </w:tcPr>
          <w:p>
            <w:pPr>
              <w:pStyle w:val="TableContents"/>
              <w:bidi w:val="0"/>
              <w:spacing w:before="0" w:after="283"/>
              <w:jc w:val="righ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46" w:type="dxa"/>
            <w:tcBorders/>
            <w:shd w:fill="CFF0FC" w:val="clear"/>
            <w:vAlign w:val="center"/>
          </w:tcPr>
          <w:p>
            <w:pPr>
              <w:pStyle w:val="TableContents"/>
              <w:bidi w:val="0"/>
              <w:spacing w:before="0" w:after="283"/>
              <w:jc w:val="left"/>
              <w:rPr/>
            </w:pPr>
            <w:r>
              <w:rPr/>
              <w:t> </w:t>
            </w:r>
          </w:p>
        </w:tc>
        <w:tc>
          <w:tcPr>
            <w:tcW w:w="13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 to 5.0%</w:t>
            </w:r>
          </w:p>
        </w:tc>
        <w:tc>
          <w:tcPr>
            <w:tcW w:w="146" w:type="dxa"/>
            <w:tcBorders/>
            <w:shd w:fill="FFFFFF" w:val="clear"/>
            <w:vAlign w:val="center"/>
          </w:tcPr>
          <w:p>
            <w:pPr>
              <w:pStyle w:val="TableContents"/>
              <w:bidi w:val="0"/>
              <w:spacing w:before="0" w:after="283"/>
              <w:jc w:val="righ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 to 4.2%</w:t>
            </w:r>
          </w:p>
        </w:tc>
        <w:tc>
          <w:tcPr>
            <w:tcW w:w="14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 to 1.6%</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CFF0FC" w:val="clear"/>
            <w:vAlign w:val="center"/>
          </w:tcPr>
          <w:p>
            <w:pPr>
              <w:pStyle w:val="TableContents"/>
              <w:bidi w:val="0"/>
              <w:spacing w:before="0" w:after="283"/>
              <w:jc w:val="lef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 to 79.8%</w:t>
            </w:r>
          </w:p>
        </w:tc>
        <w:tc>
          <w:tcPr>
            <w:tcW w:w="146" w:type="dxa"/>
            <w:tcBorders/>
            <w:shd w:fill="CFF0FC" w:val="clear"/>
            <w:vAlign w:val="center"/>
          </w:tcPr>
          <w:p>
            <w:pPr>
              <w:pStyle w:val="TableContents"/>
              <w:bidi w:val="0"/>
              <w:spacing w:before="0" w:after="283"/>
              <w:jc w:val="right"/>
              <w:rPr/>
            </w:pPr>
            <w:r>
              <w:rPr/>
              <w:t> </w:t>
            </w:r>
          </w:p>
        </w:tc>
        <w:tc>
          <w:tcPr>
            <w:tcW w:w="126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 to 76.2%</w:t>
            </w:r>
          </w:p>
        </w:tc>
        <w:tc>
          <w:tcPr>
            <w:tcW w:w="146" w:type="dxa"/>
            <w:tcBorders/>
            <w:shd w:fill="CFF0FC" w:val="clear"/>
            <w:vAlign w:val="center"/>
          </w:tcPr>
          <w:p>
            <w:pPr>
              <w:pStyle w:val="TableContents"/>
              <w:bidi w:val="0"/>
              <w:spacing w:before="0" w:after="283"/>
              <w:jc w:val="left"/>
              <w:rPr/>
            </w:pPr>
            <w:r>
              <w:rPr/>
              <w:t> </w:t>
            </w:r>
          </w:p>
        </w:tc>
        <w:tc>
          <w:tcPr>
            <w:tcW w:w="130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74.7% to 76.6%</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Company uses the simplified method to calculate the expected term, as it does not have sufficient historical exercise data as a public company to provide a reasonable basis upon which to estimate the expected term for time-based stock options granted.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The expected term is applied to the time-based stock option grant group as a whole, as the Company does not expect substantially different exercise or post-vesting termination behavior among the Company’s employees, directors, and consultants. The risk-free interest rate is based on a U.S. treasury instrument, whose term is consistent with the expected term of the time-based stock options. The Company’s stock price volatility assumption is based on historical volatility of a group of peer companies with similar characteristics to the Company and who have similar risk profiles and positions within the industry. The Company accounts for forfeitures as they occur.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the total unrecognized stock compensation related to unvested time-based stock options was $73.1</w:t>
      </w:r>
      <w:r>
        <w:rPr>
          <w:rFonts w:ascii="Times New Roman" w:hAnsi="Times New Roman"/>
          <w:color w:val="000000"/>
          <w:sz w:val="20"/>
        </w:rPr>
        <w:t xml:space="preserve"> </w:t>
      </w:r>
      <w:r>
        <w:rPr>
          <w:rFonts w:ascii="Times New Roman" w:hAnsi="Times New Roman"/>
          <w:color w:val="000000"/>
          <w:sz w:val="18"/>
        </w:rPr>
        <w:t>million, which the Company expects to recognize over a weighted-average period of approximately 1.35</w:t>
      </w:r>
      <w:r>
        <w:rPr>
          <w:rFonts w:ascii="Times New Roman" w:hAnsi="Times New Roman"/>
          <w:color w:val="000000"/>
          <w:sz w:val="20"/>
        </w:rPr>
        <w:t xml:space="preserve"> </w:t>
      </w:r>
      <w:r>
        <w:rPr>
          <w:rFonts w:ascii="Times New Roman" w:hAnsi="Times New Roman"/>
          <w:color w:val="000000"/>
          <w:sz w:val="18"/>
        </w:rPr>
        <w:t>years.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Performance-Based Stock Options</w:t>
      </w:r>
    </w:p>
    <w:p>
      <w:pPr>
        <w:pStyle w:val="TextBody"/>
        <w:bidi w:val="0"/>
        <w:spacing w:before="240" w:after="283"/>
        <w:jc w:val="left"/>
        <w:rPr>
          <w:rFonts w:ascii="Times New Roman" w:hAnsi="Times New Roman"/>
          <w:sz w:val="20"/>
        </w:rPr>
      </w:pPr>
      <w:r>
        <w:rPr>
          <w:rFonts w:ascii="Times New Roman" w:hAnsi="Times New Roman"/>
          <w:color w:val="000000"/>
          <w:sz w:val="18"/>
        </w:rPr>
        <w:t>In March 2020 and September 2021, the Company granted options to certain employees with performance-based vesting conditions under the 2016 Stock Plan and 2020 Stock Plan. In both instances, the commencement of vesting is based on the achievement of various scientific and operational milestones during specified periods, subject to the discretion and approval of either the Company’s board of directors or President and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For the performance-based stock options, the Company applies variable accounting until the performance criteria are determined to be achieved, at which time vesting commences over contractual service periods. Furthermore, because (a) the awards were authorized prior to the accounting grant date in the context of ASC 718, </w:t>
      </w:r>
      <w:r>
        <w:rPr>
          <w:rFonts w:ascii="Times New Roman" w:hAnsi="Times New Roman"/>
          <w:i/>
          <w:color w:val="000000"/>
          <w:sz w:val="18"/>
        </w:rPr>
        <w:t>Stock Compensation</w:t>
      </w:r>
      <w:r>
        <w:rPr>
          <w:rFonts w:ascii="Times New Roman" w:hAnsi="Times New Roman"/>
          <w:color w:val="000000"/>
          <w:sz w:val="18"/>
        </w:rPr>
        <w:t>, (b) the recipients were providing service prior to the accounting grant date, and (c) there were performance conditions that, if not met by the accounting grant date, would have resulted in the forfeiture of the award, the service inception dates preceded the accounting grant dates. Ultimately, the stock compensation expense for the options is determined based on the fair value of the awards on the accounting grant dates, which is then recognized using an accelerated attribution model over the vesting term commencing upon the actual or expected accounting grant 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For the performance-based stock options granted in March 2020 and September 2021, all performance conditions were resolved in prior periods and the grant dates were set at or prior to December 31, 2023</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activity for performance-based stock options for the year ended December 31, 2023:</w:t>
      </w:r>
    </w:p>
    <w:tbl>
      <w:tblPr>
        <w:tblW w:w="8438" w:type="dxa"/>
        <w:jc w:val="left"/>
        <w:tblInd w:w="0" w:type="dxa"/>
        <w:tblLayout w:type="fixed"/>
        <w:tblCellMar>
          <w:top w:w="28" w:type="dxa"/>
          <w:left w:w="28" w:type="dxa"/>
          <w:bottom w:w="28" w:type="dxa"/>
          <w:right w:w="28" w:type="dxa"/>
        </w:tblCellMar>
      </w:tblPr>
      <w:tblGrid>
        <w:gridCol w:w="2596"/>
        <w:gridCol w:w="146"/>
        <w:gridCol w:w="146"/>
        <w:gridCol w:w="826"/>
        <w:gridCol w:w="166"/>
        <w:gridCol w:w="146"/>
        <w:gridCol w:w="386"/>
        <w:gridCol w:w="830"/>
        <w:gridCol w:w="146"/>
        <w:gridCol w:w="146"/>
        <w:gridCol w:w="313"/>
        <w:gridCol w:w="903"/>
        <w:gridCol w:w="146"/>
        <w:gridCol w:w="146"/>
        <w:gridCol w:w="247"/>
        <w:gridCol w:w="758"/>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Weighted-Average</w:t>
              <w:br/>
              <w:t xml:space="preserve">Remaining 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Aggregate</w:t>
              <w:br/>
              <w:t>Intrinsic 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1,774,183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17,128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5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(33,473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25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Cancelled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8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jc w:val="righ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1,705,951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9,808</w:t>
            </w:r>
          </w:p>
        </w:tc>
        <w:tc>
          <w:tcPr>
            <w:tcW w:w="391" w:type="dxa"/>
            <w:tcBorders/>
            <w:shd w:fill="FFFFFF" w:val="clear"/>
            <w:vAlign w:val="center"/>
          </w:tcPr>
          <w:p>
            <w:pPr>
              <w:pStyle w:val="TableContents"/>
              <w:bidi w:val="0"/>
              <w:spacing w:before="0" w:after="283"/>
              <w:jc w:val="left"/>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3" w:type="dxa"/>
            <w:tcBorders/>
            <w:shd w:fill="CFF0FC" w:val="clear"/>
            <w:vAlign w:val="center"/>
          </w:tcPr>
          <w:p>
            <w:pPr>
              <w:pStyle w:val="TableContents"/>
              <w:bidi w:val="0"/>
              <w:spacing w:before="0" w:after="283"/>
              <w:jc w:val="left"/>
              <w:rPr/>
            </w:pPr>
            <w:r>
              <w:rPr/>
              <w:t> </w:t>
            </w:r>
          </w:p>
        </w:tc>
        <w:tc>
          <w:tcPr>
            <w:tcW w:w="90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7,691</w:t>
            </w:r>
          </w:p>
        </w:tc>
        <w:tc>
          <w:tcPr>
            <w:tcW w:w="391" w:type="dxa"/>
            <w:tcBorders/>
            <w:shd w:fill="CFF0FC" w:val="clear"/>
            <w:vAlign w:val="center"/>
          </w:tcPr>
          <w:p>
            <w:pPr>
              <w:pStyle w:val="TableContents"/>
              <w:bidi w:val="0"/>
              <w:spacing w:before="0" w:after="283"/>
              <w:jc w:val="left"/>
              <w:rPr/>
            </w:pPr>
            <w:r>
              <w:rPr/>
              <w:t> </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375,491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3"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2,117</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total intrinsic value of performance-based stock options exercised was $0.3</w:t>
      </w:r>
      <w:r>
        <w:rPr>
          <w:rFonts w:ascii="Times New Roman" w:hAnsi="Times New Roman"/>
          <w:color w:val="000000"/>
          <w:sz w:val="20"/>
        </w:rPr>
        <w:t xml:space="preserve"> </w:t>
      </w:r>
      <w:r>
        <w:rPr>
          <w:rFonts w:ascii="Times New Roman" w:hAnsi="Times New Roman"/>
          <w:color w:val="000000"/>
          <w:sz w:val="18"/>
        </w:rPr>
        <w:t>million, $0.4</w:t>
      </w:r>
      <w:r>
        <w:rPr>
          <w:rFonts w:ascii="Times New Roman" w:hAnsi="Times New Roman"/>
          <w:color w:val="000000"/>
          <w:sz w:val="20"/>
        </w:rPr>
        <w:t xml:space="preserve"> </w:t>
      </w:r>
      <w:r>
        <w:rPr>
          <w:rFonts w:ascii="Times New Roman" w:hAnsi="Times New Roman"/>
          <w:color w:val="000000"/>
          <w:sz w:val="18"/>
        </w:rPr>
        <w:t>million, and $1.1</w:t>
      </w:r>
      <w:r>
        <w:rPr>
          <w:rFonts w:ascii="Times New Roman" w:hAnsi="Times New Roman"/>
          <w:color w:val="000000"/>
          <w:sz w:val="20"/>
        </w:rPr>
        <w:t xml:space="preserve"> </w:t>
      </w:r>
      <w:r>
        <w:rPr>
          <w:rFonts w:ascii="Times New Roman" w:hAnsi="Times New Roman"/>
          <w:color w:val="000000"/>
          <w:sz w:val="18"/>
        </w:rPr>
        <w:t>million, for the years ended December 31, 2023, 2022, and 2021, respectively.</w:t>
      </w:r>
    </w:p>
    <w:p>
      <w:pPr>
        <w:pStyle w:val="TextBody"/>
        <w:bidi w:val="0"/>
        <w:spacing w:before="240" w:after="283"/>
        <w:jc w:val="left"/>
        <w:rPr>
          <w:rFonts w:ascii="Times New Roman" w:hAnsi="Times New Roman"/>
          <w:sz w:val="20"/>
        </w:rPr>
      </w:pPr>
      <w:r>
        <w:rPr>
          <w:rFonts w:ascii="Times New Roman" w:hAnsi="Times New Roman"/>
          <w:color w:val="000000"/>
          <w:sz w:val="18"/>
        </w:rPr>
        <w:t>The fair value of each performance-based stock option granted is estimated on the accounting grant date, or at the end of each reporting period if variable accounting is applied, using the Black-Scholes option-pricing model, pursuant to which the grant date fair value was $20.28</w:t>
      </w:r>
      <w:r>
        <w:rPr>
          <w:rFonts w:ascii="Times New Roman" w:hAnsi="Times New Roman"/>
          <w:color w:val="000000"/>
          <w:sz w:val="20"/>
        </w:rPr>
        <w:t xml:space="preserve"> </w:t>
      </w:r>
      <w:r>
        <w:rPr>
          <w:rFonts w:ascii="Times New Roman" w:hAnsi="Times New Roman"/>
          <w:color w:val="000000"/>
          <w:sz w:val="18"/>
        </w:rPr>
        <w:t>for performance-based stock options granted during the year ended December 31, 2021. There were no</w:t>
      </w:r>
      <w:r>
        <w:rPr>
          <w:rFonts w:ascii="Times New Roman" w:hAnsi="Times New Roman"/>
          <w:color w:val="000000"/>
          <w:sz w:val="20"/>
        </w:rPr>
        <w:t xml:space="preserve"> </w:t>
      </w:r>
      <w:r>
        <w:rPr>
          <w:rFonts w:ascii="Times New Roman" w:hAnsi="Times New Roman"/>
          <w:color w:val="000000"/>
          <w:sz w:val="18"/>
        </w:rPr>
        <w:t>performance-based stock options granted during the years ended December 31, 2023 and 2022. The assumptions and methodologies used in calculating the fair value of performance-based stock options granted during the year ended December 31, 2021 was similar to the assumptions and methodologies used in calculating the fair value of time-based stock options granted during the year ended December 31, 2021.</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the total unrecognized stock compensation related to unvested performance-based stock options was $1.9</w:t>
      </w:r>
      <w:r>
        <w:rPr>
          <w:rFonts w:ascii="Times New Roman" w:hAnsi="Times New Roman"/>
          <w:color w:val="000000"/>
          <w:sz w:val="20"/>
        </w:rPr>
        <w:t xml:space="preserve"> </w:t>
      </w:r>
      <w:r>
        <w:rPr>
          <w:rFonts w:ascii="Times New Roman" w:hAnsi="Times New Roman"/>
          <w:color w:val="000000"/>
          <w:sz w:val="18"/>
        </w:rPr>
        <w:t>million, which the Company expects to recognize over a weighted-average period of approximately 0.48</w:t>
      </w:r>
      <w:r>
        <w:rPr>
          <w:rFonts w:ascii="Times New Roman" w:hAnsi="Times New Roman"/>
          <w:color w:val="000000"/>
          <w:sz w:val="20"/>
        </w:rPr>
        <w:t xml:space="preserve"> </w:t>
      </w:r>
      <w:r>
        <w:rPr>
          <w:rFonts w:ascii="Times New Roman" w:hAnsi="Times New Roman"/>
          <w:color w:val="000000"/>
          <w:sz w:val="18"/>
        </w:rPr>
        <w:t>years.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RSUs</w:t>
      </w:r>
    </w:p>
    <w:p>
      <w:pPr>
        <w:pStyle w:val="TextBody"/>
        <w:bidi w:val="0"/>
        <w:spacing w:before="240" w:after="283"/>
        <w:jc w:val="left"/>
        <w:rPr>
          <w:rFonts w:ascii="Times New Roman" w:hAnsi="Times New Roman"/>
          <w:sz w:val="20"/>
        </w:rPr>
      </w:pPr>
      <w:r>
        <w:rPr>
          <w:rFonts w:ascii="Times New Roman" w:hAnsi="Times New Roman"/>
          <w:color w:val="000000"/>
          <w:sz w:val="18"/>
        </w:rPr>
        <w:t>Starting in 2021, the Company has granted RSUs to employees, directors, and consultants under the 2020 Stock Plan. Each of the RSUs represents the right to receive one share of the Company’s common stock upon vesting. The majority of RSUs granted to date have vesting conditions based on continued service over time. Accordingly, stock compensation expense for the majority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such awards is recognized using a straight-line attribution model over the vesting term of each RSU. The fair value of each RSU is based on the closing price of the Company’s common stock on the date of grant.</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activity for RSUs under the 2020 Stock Plan for the year ended December 31, 2023:</w:t>
      </w:r>
    </w:p>
    <w:tbl>
      <w:tblPr>
        <w:tblW w:w="6671" w:type="dxa"/>
        <w:jc w:val="left"/>
        <w:tblInd w:w="0" w:type="dxa"/>
        <w:tblLayout w:type="fixed"/>
        <w:tblCellMar>
          <w:top w:w="28" w:type="dxa"/>
          <w:left w:w="28" w:type="dxa"/>
          <w:bottom w:w="28" w:type="dxa"/>
          <w:right w:w="28" w:type="dxa"/>
        </w:tblCellMar>
      </w:tblPr>
      <w:tblGrid>
        <w:gridCol w:w="2401"/>
        <w:gridCol w:w="146"/>
        <w:gridCol w:w="331"/>
        <w:gridCol w:w="1874"/>
        <w:gridCol w:w="166"/>
        <w:gridCol w:w="146"/>
        <w:gridCol w:w="337"/>
        <w:gridCol w:w="879"/>
        <w:gridCol w:w="3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 Underlying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Weighted-Average</w:t>
              <w:br/>
              <w:t xml:space="preserve">Grant Date </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at December 31, 2022</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8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1,566,760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24.62</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c>
          <w:tcPr>
            <w:tcW w:w="18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2,591,453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c>
          <w:tcPr>
            <w:tcW w:w="18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(883,652</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21.50</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4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Cancelled</w:t>
            </w:r>
          </w:p>
        </w:tc>
        <w:tc>
          <w:tcPr>
            <w:tcW w:w="146" w:type="dxa"/>
            <w:tcBorders/>
            <w:shd w:fill="FFFFFF" w:val="cle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(282,314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37" w:type="dxa"/>
            <w:tcBorders/>
            <w:shd w:fill="FFFFFF" w:val="clear"/>
            <w:vAlign w:val="center"/>
          </w:tcPr>
          <w:p>
            <w:pPr>
              <w:pStyle w:val="TableContents"/>
              <w:bidi w:val="0"/>
              <w:spacing w:before="0" w:after="283"/>
              <w:jc w:val="left"/>
              <w:rPr/>
            </w:pPr>
            <w:r>
              <w:rPr/>
              <w:t> </w:t>
            </w:r>
          </w:p>
        </w:tc>
        <w:tc>
          <w:tcPr>
            <w:tcW w:w="87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24.00</w:t>
            </w:r>
          </w:p>
        </w:tc>
        <w:tc>
          <w:tcPr>
            <w:tcW w:w="391" w:type="dxa"/>
            <w:tcBorders/>
            <w:shd w:fill="FFFFFF" w:val="clear"/>
            <w:vAlign w:val="center"/>
          </w:tcPr>
          <w:p>
            <w:pPr>
              <w:pStyle w:val="TableContents"/>
              <w:bidi w:val="0"/>
              <w:spacing w:before="0" w:after="283"/>
              <w:jc w:val="left"/>
              <w:rPr/>
            </w:pPr>
            <w:r>
              <w:rPr/>
              <w:t> </w:t>
            </w:r>
          </w:p>
        </w:tc>
      </w:tr>
      <w:tr>
        <w:trPr/>
        <w:tc>
          <w:tcPr>
            <w:tcW w:w="24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at December 31, 2023</w:t>
            </w:r>
          </w:p>
        </w:tc>
        <w:tc>
          <w:tcPr>
            <w:tcW w:w="146" w:type="dxa"/>
            <w:tcBorders/>
            <w:shd w:fill="CFF0FC" w:val="clear"/>
            <w:vAlign w:val="center"/>
          </w:tcPr>
          <w:p>
            <w:pPr>
              <w:pStyle w:val="TableContents"/>
              <w:bidi w:val="0"/>
              <w:spacing w:before="0" w:after="283"/>
              <w:jc w:val="left"/>
              <w:rPr/>
            </w:pPr>
            <w:r>
              <w:rPr/>
              <w:t> </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2,992,247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7" w:type="dxa"/>
            <w:tcBorders/>
            <w:shd w:fill="CFF0FC" w:val="clear"/>
            <w:vAlign w:val="center"/>
          </w:tcPr>
          <w:p>
            <w:pPr>
              <w:pStyle w:val="TableContents"/>
              <w:bidi w:val="0"/>
              <w:spacing w:before="0" w:after="283"/>
              <w:jc w:val="left"/>
              <w:rPr/>
            </w:pPr>
            <w:r>
              <w:rPr/>
              <w:t> </w:t>
            </w:r>
          </w:p>
        </w:tc>
        <w:tc>
          <w:tcPr>
            <w:tcW w:w="87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w:t>
            </w:r>
          </w:p>
        </w:tc>
        <w:tc>
          <w:tcPr>
            <w:tcW w:w="391" w:type="dxa"/>
            <w:tcBorders/>
            <w:shd w:fill="CFF0FC"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fair value of RSUs that vested during the year ended December 31, 2023</w:t>
      </w:r>
      <w:r>
        <w:rPr>
          <w:rFonts w:ascii="Times New Roman" w:hAnsi="Times New Roman"/>
          <w:color w:val="000000"/>
          <w:sz w:val="20"/>
        </w:rPr>
        <w:t xml:space="preserve"> </w:t>
      </w:r>
      <w:r>
        <w:rPr>
          <w:rFonts w:ascii="Times New Roman" w:hAnsi="Times New Roman"/>
          <w:color w:val="000000"/>
          <w:sz w:val="18"/>
        </w:rPr>
        <w:t>was $10.5</w:t>
      </w:r>
      <w:r>
        <w:rPr>
          <w:rFonts w:ascii="Times New Roman" w:hAnsi="Times New Roman"/>
          <w:color w:val="000000"/>
          <w:sz w:val="20"/>
        </w:rPr>
        <w:t xml:space="preserve"> </w:t>
      </w:r>
      <w:r>
        <w:rPr>
          <w:rFonts w:ascii="Times New Roman" w:hAnsi="Times New Roman"/>
          <w:color w:val="000000"/>
          <w:sz w:val="18"/>
        </w:rPr>
        <w:t>million.</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the total unrecognized compensation related to unvested RSUs granted was $51.3</w:t>
      </w:r>
      <w:r>
        <w:rPr>
          <w:rFonts w:ascii="Times New Roman" w:hAnsi="Times New Roman"/>
          <w:color w:val="000000"/>
          <w:sz w:val="20"/>
        </w:rPr>
        <w:t xml:space="preserve"> </w:t>
      </w:r>
      <w:r>
        <w:rPr>
          <w:rFonts w:ascii="Times New Roman" w:hAnsi="Times New Roman"/>
          <w:color w:val="000000"/>
          <w:sz w:val="18"/>
        </w:rPr>
        <w:t>million, which the Company expects to recognize over a weighted-average period of approximately 1.41</w:t>
      </w:r>
      <w:r>
        <w:rPr>
          <w:rFonts w:ascii="Times New Roman" w:hAnsi="Times New Roman"/>
          <w:color w:val="000000"/>
          <w:sz w:val="20"/>
        </w:rPr>
        <w:t xml:space="preserve"> </w:t>
      </w:r>
      <w:r>
        <w:rPr>
          <w:rFonts w:ascii="Times New Roman" w:hAnsi="Times New Roman"/>
          <w:color w:val="000000"/>
          <w:sz w:val="18"/>
        </w:rPr>
        <w:t>years.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Market-Based Awards</w:t>
      </w:r>
    </w:p>
    <w:p>
      <w:pPr>
        <w:pStyle w:val="TextBody"/>
        <w:bidi w:val="0"/>
        <w:spacing w:before="240" w:after="283"/>
        <w:jc w:val="left"/>
        <w:rPr>
          <w:rFonts w:ascii="Times New Roman" w:hAnsi="Times New Roman"/>
          <w:sz w:val="20"/>
        </w:rPr>
      </w:pPr>
      <w:r>
        <w:rPr>
          <w:rFonts w:ascii="Times New Roman" w:hAnsi="Times New Roman"/>
          <w:color w:val="000000"/>
          <w:sz w:val="18"/>
        </w:rPr>
        <w:t>During the year ended December 31, 2023, the Company granted 1,512,820</w:t>
      </w:r>
      <w:r>
        <w:rPr>
          <w:rFonts w:ascii="Times New Roman" w:hAnsi="Times New Roman"/>
          <w:color w:val="000000"/>
          <w:sz w:val="20"/>
        </w:rPr>
        <w:t xml:space="preserve"> </w:t>
      </w:r>
      <w:r>
        <w:rPr>
          <w:rFonts w:ascii="Times New Roman" w:hAnsi="Times New Roman"/>
          <w:color w:val="000000"/>
          <w:sz w:val="18"/>
        </w:rPr>
        <w:t>stock options and 405,770</w:t>
      </w:r>
      <w:r>
        <w:rPr>
          <w:rFonts w:ascii="Times New Roman" w:hAnsi="Times New Roman"/>
          <w:color w:val="000000"/>
          <w:sz w:val="20"/>
        </w:rPr>
        <w:t xml:space="preserve"> </w:t>
      </w:r>
      <w:r>
        <w:rPr>
          <w:rFonts w:ascii="Times New Roman" w:hAnsi="Times New Roman"/>
          <w:color w:val="000000"/>
          <w:sz w:val="18"/>
        </w:rPr>
        <w:t>RSUs under the 2020 Stock Plan to certain employees, with vesting over three years</w:t>
      </w:r>
      <w:r>
        <w:rPr>
          <w:rFonts w:ascii="Times New Roman" w:hAnsi="Times New Roman"/>
          <w:color w:val="000000"/>
          <w:sz w:val="20"/>
        </w:rPr>
        <w:t xml:space="preserve"> </w:t>
      </w:r>
      <w:r>
        <w:rPr>
          <w:rFonts w:ascii="Times New Roman" w:hAnsi="Times New Roman"/>
          <w:color w:val="000000"/>
          <w:sz w:val="18"/>
        </w:rPr>
        <w:t>of continued service and contingent upon achievement of certain market conditions ("2023 Market-Based Awards"). The Company measured the fair value of the 2023 Market-Based Awards on the grant date using a Monte Carlo Simulation, incorporating various option pricing inputs, including (a) the contractual term, or 10.0</w:t>
      </w:r>
      <w:r>
        <w:rPr>
          <w:rFonts w:ascii="Times New Roman" w:hAnsi="Times New Roman"/>
          <w:color w:val="000000"/>
          <w:sz w:val="20"/>
        </w:rPr>
        <w:t xml:space="preserve"> </w:t>
      </w:r>
      <w:r>
        <w:rPr>
          <w:rFonts w:ascii="Times New Roman" w:hAnsi="Times New Roman"/>
          <w:color w:val="000000"/>
          <w:sz w:val="18"/>
        </w:rPr>
        <w:t>years, (b) exercise price for the stock options and stock price on the grant date for the RSUs, or $20.45, (c) estimated expected term, or 6.5</w:t>
      </w:r>
      <w:r>
        <w:rPr>
          <w:rFonts w:ascii="Times New Roman" w:hAnsi="Times New Roman"/>
          <w:color w:val="000000"/>
          <w:sz w:val="20"/>
        </w:rPr>
        <w:t xml:space="preserve"> </w:t>
      </w:r>
      <w:r>
        <w:rPr>
          <w:rFonts w:ascii="Times New Roman" w:hAnsi="Times New Roman"/>
          <w:color w:val="000000"/>
          <w:sz w:val="18"/>
        </w:rPr>
        <w:t>years, (d) risk-free interest rate, or 3.5%, (e) historical volatility, or 75.0%, and (f) dividend yield, or 0.0%. Ultimately, the fair value of the 2023 Market-Based Awards was estimated as $12.53</w:t>
      </w:r>
      <w:r>
        <w:rPr>
          <w:rFonts w:ascii="Times New Roman" w:hAnsi="Times New Roman"/>
          <w:color w:val="000000"/>
          <w:sz w:val="20"/>
        </w:rPr>
        <w:t xml:space="preserve"> </w:t>
      </w:r>
      <w:r>
        <w:rPr>
          <w:rFonts w:ascii="Times New Roman" w:hAnsi="Times New Roman"/>
          <w:color w:val="000000"/>
          <w:sz w:val="18"/>
        </w:rPr>
        <w:t>per share for the stock options and $16.11</w:t>
      </w:r>
      <w:r>
        <w:rPr>
          <w:rFonts w:ascii="Times New Roman" w:hAnsi="Times New Roman"/>
          <w:color w:val="000000"/>
          <w:sz w:val="20"/>
        </w:rPr>
        <w:t xml:space="preserve"> </w:t>
      </w:r>
      <w:r>
        <w:rPr>
          <w:rFonts w:ascii="Times New Roman" w:hAnsi="Times New Roman"/>
          <w:color w:val="000000"/>
          <w:sz w:val="18"/>
        </w:rPr>
        <w:t>per share for the RSUs, yielding a total of $25.5</w:t>
      </w:r>
      <w:r>
        <w:rPr>
          <w:rFonts w:ascii="Times New Roman" w:hAnsi="Times New Roman"/>
          <w:color w:val="000000"/>
          <w:sz w:val="20"/>
        </w:rPr>
        <w:t xml:space="preserve"> </w:t>
      </w:r>
      <w:r>
        <w:rPr>
          <w:rFonts w:ascii="Times New Roman" w:hAnsi="Times New Roman"/>
          <w:color w:val="000000"/>
          <w:sz w:val="18"/>
        </w:rPr>
        <w:t>million. The total compensation expense, or $25.5</w:t>
      </w:r>
      <w:r>
        <w:rPr>
          <w:rFonts w:ascii="Times New Roman" w:hAnsi="Times New Roman"/>
          <w:color w:val="000000"/>
          <w:sz w:val="20"/>
        </w:rPr>
        <w:t xml:space="preserve"> </w:t>
      </w:r>
      <w:r>
        <w:rPr>
          <w:rFonts w:ascii="Times New Roman" w:hAnsi="Times New Roman"/>
          <w:color w:val="000000"/>
          <w:sz w:val="18"/>
        </w:rPr>
        <w:t>million, is being recognized pursuant to the accelerated attribution method over the requisite service period of three years, regardless of whether the market conditions have been achieved. The impact of forfeitures, if any, will be recognized upon occurrence.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2023, the market conditions underlying the 2023 Market-Based Awards had not been achieved.</w:t>
      </w:r>
    </w:p>
    <w:p>
      <w:pPr>
        <w:pStyle w:val="TextBody"/>
        <w:bidi w:val="0"/>
        <w:spacing w:before="240" w:after="283"/>
        <w:jc w:val="left"/>
        <w:rPr>
          <w:rFonts w:ascii="Times New Roman" w:hAnsi="Times New Roman"/>
          <w:sz w:val="20"/>
        </w:rPr>
      </w:pPr>
      <w:r>
        <w:rPr>
          <w:rFonts w:ascii="Times New Roman" w:hAnsi="Times New Roman"/>
          <w:color w:val="000000"/>
          <w:sz w:val="18"/>
        </w:rPr>
        <w:t>During the year ended December 31, 2023, none</w:t>
      </w:r>
      <w:r>
        <w:rPr>
          <w:rFonts w:ascii="Times New Roman" w:hAnsi="Times New Roman"/>
          <w:color w:val="000000"/>
          <w:sz w:val="20"/>
        </w:rPr>
        <w:t xml:space="preserve"> </w:t>
      </w:r>
      <w:r>
        <w:rPr>
          <w:rFonts w:ascii="Times New Roman" w:hAnsi="Times New Roman"/>
          <w:color w:val="000000"/>
          <w:sz w:val="18"/>
        </w:rPr>
        <w:t>of the 2023 Market-Based Awards vested and, therefore, none</w:t>
      </w:r>
      <w:r>
        <w:rPr>
          <w:rFonts w:ascii="Times New Roman" w:hAnsi="Times New Roman"/>
          <w:color w:val="000000"/>
          <w:sz w:val="20"/>
        </w:rPr>
        <w:t xml:space="preserve"> </w:t>
      </w:r>
      <w:r>
        <w:rPr>
          <w:rFonts w:ascii="Times New Roman" w:hAnsi="Times New Roman"/>
          <w:color w:val="000000"/>
          <w:sz w:val="18"/>
        </w:rPr>
        <w:t>of the options were exercised and none</w:t>
      </w:r>
      <w:r>
        <w:rPr>
          <w:rFonts w:ascii="Times New Roman" w:hAnsi="Times New Roman"/>
          <w:color w:val="000000"/>
          <w:sz w:val="20"/>
        </w:rPr>
        <w:t xml:space="preserve"> </w:t>
      </w:r>
      <w:r>
        <w:rPr>
          <w:rFonts w:ascii="Times New Roman" w:hAnsi="Times New Roman"/>
          <w:color w:val="000000"/>
          <w:sz w:val="18"/>
        </w:rPr>
        <w:t>of the RSUs were released. There were also no</w:t>
      </w:r>
      <w:r>
        <w:rPr>
          <w:rFonts w:ascii="Times New Roman" w:hAnsi="Times New Roman"/>
          <w:color w:val="000000"/>
          <w:sz w:val="20"/>
        </w:rPr>
        <w:t xml:space="preserve"> </w:t>
      </w:r>
      <w:r>
        <w:rPr>
          <w:rFonts w:ascii="Times New Roman" w:hAnsi="Times New Roman"/>
          <w:color w:val="000000"/>
          <w:sz w:val="18"/>
        </w:rPr>
        <w:t>cancellations of the 2023 Market-Based Awards through December 31, 2023</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the total unrecognized compensation related to unvested market-based awards granted was $9.0</w:t>
      </w:r>
      <w:r>
        <w:rPr>
          <w:rFonts w:ascii="Times New Roman" w:hAnsi="Times New Roman"/>
          <w:color w:val="000000"/>
          <w:sz w:val="20"/>
        </w:rPr>
        <w:t xml:space="preserve"> </w:t>
      </w:r>
      <w:r>
        <w:rPr>
          <w:rFonts w:ascii="Times New Roman" w:hAnsi="Times New Roman"/>
          <w:color w:val="000000"/>
          <w:sz w:val="18"/>
        </w:rPr>
        <w:t>million, which the Company expects to recognize over a period of 2.07</w:t>
      </w:r>
      <w:r>
        <w:rPr>
          <w:rFonts w:ascii="Times New Roman" w:hAnsi="Times New Roman"/>
          <w:color w:val="000000"/>
          <w:sz w:val="20"/>
        </w:rPr>
        <w:t xml:space="preserve"> </w:t>
      </w:r>
      <w:r>
        <w:rPr>
          <w:rFonts w:ascii="Times New Roman" w:hAnsi="Times New Roman"/>
          <w:color w:val="000000"/>
          <w:sz w:val="18"/>
        </w:rPr>
        <w:t>years.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Employee Stock Purchase Plan</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activity under the Company's ESPP from the initial offering period, or July 1, 2021 through December 31, 2023, including (a) after-tax contributions from employees, (b) shares purchased, and (c) weighted-average assumptions used in the Black-Scholes option pricing model to estimate the fair value of the option component of the shares purchased under the ESPP in each period.</w:t>
      </w:r>
    </w:p>
    <w:tbl>
      <w:tblPr>
        <w:tblW w:w="6298" w:type="dxa"/>
        <w:jc w:val="left"/>
        <w:tblInd w:w="0" w:type="dxa"/>
        <w:tblLayout w:type="fixed"/>
        <w:tblCellMar>
          <w:top w:w="28" w:type="dxa"/>
          <w:left w:w="28" w:type="dxa"/>
          <w:bottom w:w="28" w:type="dxa"/>
          <w:right w:w="28" w:type="dxa"/>
        </w:tblCellMar>
      </w:tblPr>
      <w:tblGrid>
        <w:gridCol w:w="2806"/>
        <w:gridCol w:w="146"/>
        <w:gridCol w:w="196"/>
        <w:gridCol w:w="691"/>
        <w:gridCol w:w="146"/>
        <w:gridCol w:w="146"/>
        <w:gridCol w:w="196"/>
        <w:gridCol w:w="691"/>
        <w:gridCol w:w="146"/>
        <w:gridCol w:w="146"/>
        <w:gridCol w:w="196"/>
        <w:gridCol w:w="60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5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After-tax contributions (in thousands)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1,141</w:t>
            </w:r>
          </w:p>
        </w:tc>
        <w:tc>
          <w:tcPr>
            <w:tcW w:w="191" w:type="dxa"/>
            <w:tcBorders/>
            <w:shd w:fill="CFF0FC" w:val="clear"/>
            <w:vAlign w:val="center"/>
          </w:tcPr>
          <w:p>
            <w:pPr>
              <w:pStyle w:val="TableContents"/>
              <w:bidi w:val="0"/>
              <w:spacing w:before="0" w:after="283"/>
              <w:jc w:val="lef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of common stock purchased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43,685</w:t>
            </w:r>
          </w:p>
        </w:tc>
        <w:tc>
          <w:tcPr>
            <w:tcW w:w="191" w:type="dxa"/>
            <w:tcBorders/>
            <w:shd w:fill="FFFFFF" w:val="clear"/>
            <w:vAlign w:val="center"/>
          </w:tcPr>
          <w:p>
            <w:pPr>
              <w:pStyle w:val="TableContents"/>
              <w:bidi w:val="0"/>
              <w:spacing w:before="0" w:after="283"/>
              <w:jc w:val="lef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(in years)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0.50</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0.50</w:t>
            </w:r>
          </w:p>
        </w:tc>
        <w:tc>
          <w:tcPr>
            <w:tcW w:w="191" w:type="dxa"/>
            <w:tcBorders/>
            <w:shd w:fill="CFF0FC" w:val="clear"/>
            <w:vAlign w:val="center"/>
          </w:tcPr>
          <w:p>
            <w:pPr>
              <w:pStyle w:val="TableContents"/>
              <w:bidi w:val="0"/>
              <w:spacing w:before="0" w:after="283"/>
              <w:jc w:val="righ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91" w:type="dxa"/>
            <w:tcBorders/>
            <w:shd w:fill="FFFFFF" w:val="clear"/>
            <w:vAlign w:val="center"/>
          </w:tcPr>
          <w:p>
            <w:pPr>
              <w:pStyle w:val="TableContents"/>
              <w:bidi w:val="0"/>
              <w:spacing w:before="0" w:after="283"/>
              <w:jc w:val="right"/>
              <w:rPr/>
            </w:pPr>
            <w:r>
              <w:rPr/>
              <w:t> </w:t>
            </w:r>
          </w:p>
        </w:tc>
      </w:tr>
      <w:tr>
        <w:trPr/>
        <w:tc>
          <w:tcPr>
            <w:tcW w:w="280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797" w:type="dxa"/>
            <w:gridSpan w:val="2"/>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191" w:type="dxa"/>
            <w:tcBorders/>
            <w:shd w:fill="CFF0FC" w:val="clear"/>
            <w:vAlign w:val="center"/>
          </w:tcPr>
          <w:p>
            <w:pPr>
              <w:pStyle w:val="TableContents"/>
              <w:bidi w:val="0"/>
              <w:spacing w:before="0" w:after="283"/>
              <w:jc w:val="right"/>
              <w:rPr/>
            </w:pPr>
            <w:r>
              <w:rPr/>
              <w:t> </w:t>
            </w:r>
          </w:p>
        </w:tc>
      </w:tr>
      <w:tr>
        <w:trPr/>
        <w:tc>
          <w:tcPr>
            <w:tcW w:w="280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91" w:type="dxa"/>
            <w:tcBorders/>
            <w:shd w:fill="FFFFFF" w:val="clear"/>
            <w:vAlign w:val="center"/>
          </w:tcPr>
          <w:p>
            <w:pPr>
              <w:pStyle w:val="TableContents"/>
              <w:bidi w:val="0"/>
              <w:spacing w:before="0" w:after="283"/>
              <w:jc w:val="right"/>
              <w:rPr/>
            </w:pPr>
            <w:r>
              <w:rPr/>
              <w:t> </w:t>
            </w:r>
          </w:p>
        </w:tc>
      </w:tr>
    </w:tbl>
    <w:p>
      <w:pPr>
        <w:pStyle w:val="TextBody"/>
        <w:bidi w:val="0"/>
        <w:spacing w:before="240" w:after="240"/>
        <w:jc w:val="left"/>
        <w:rPr>
          <w:rFonts w:ascii="Times New Roman" w:hAnsi="Times New Roman"/>
          <w:sz w:val="20"/>
        </w:rPr>
      </w:pPr>
      <w:r>
        <w:rPr>
          <w:rFonts w:ascii="Times New Roman" w:hAnsi="Times New Roman"/>
          <w:color w:val="000000"/>
          <w:sz w:val="18"/>
        </w:rPr>
        <w:t>As of December 31, 2023, there was no</w:t>
      </w:r>
      <w:r>
        <w:rPr>
          <w:rFonts w:ascii="Times New Roman" w:hAnsi="Times New Roman"/>
          <w:color w:val="000000"/>
          <w:sz w:val="20"/>
        </w:rPr>
        <w:t xml:space="preserve"> </w:t>
      </w:r>
      <w:r>
        <w:rPr>
          <w:rFonts w:ascii="Times New Roman" w:hAnsi="Times New Roman"/>
          <w:color w:val="000000"/>
          <w:sz w:val="18"/>
        </w:rPr>
        <w:t>unrecognized stock compensation expense related to ESPP, since the purchase for the offering period between July 1, 2023 and December 31, 2023 was transacted on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8"/>
        </w:rPr>
        <w:t>9. Net Loss per Share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the computation of basic and diluted net loss per share of the Company:</w:t>
      </w:r>
    </w:p>
    <w:tbl>
      <w:tblPr>
        <w:tblW w:w="8923" w:type="dxa"/>
        <w:jc w:val="left"/>
        <w:tblInd w:w="0" w:type="dxa"/>
        <w:tblLayout w:type="fixed"/>
        <w:tblCellMar>
          <w:top w:w="28" w:type="dxa"/>
          <w:left w:w="28" w:type="dxa"/>
          <w:bottom w:w="28" w:type="dxa"/>
          <w:right w:w="28" w:type="dxa"/>
        </w:tblCellMar>
      </w:tblPr>
      <w:tblGrid>
        <w:gridCol w:w="4426"/>
        <w:gridCol w:w="146"/>
        <w:gridCol w:w="196"/>
        <w:gridCol w:w="1006"/>
        <w:gridCol w:w="166"/>
        <w:gridCol w:w="146"/>
        <w:gridCol w:w="196"/>
        <w:gridCol w:w="1006"/>
        <w:gridCol w:w="166"/>
        <w:gridCol w:w="146"/>
        <w:gridCol w:w="196"/>
        <w:gridCol w:w="916"/>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1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vAlign w:val="center"/>
          </w:tcPr>
          <w:p>
            <w:pPr>
              <w:pStyle w:val="TableContents"/>
              <w:bidi w:val="0"/>
              <w:spacing w:before="0" w:after="283"/>
              <w:jc w:val="center"/>
              <w:rPr/>
            </w:pPr>
            <w:r>
              <w:rPr/>
              <w:t> </w:t>
            </w:r>
          </w:p>
        </w:tc>
        <w:tc>
          <w:tcPr>
            <w:tcW w:w="4286" w:type="dxa"/>
            <w:gridSpan w:val="11"/>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 except share and per share data)</w:t>
            </w:r>
          </w:p>
        </w:tc>
        <w:tc>
          <w:tcPr>
            <w:tcW w:w="211" w:type="dxa"/>
            <w:tcBorders/>
            <w:shd w:fill="FFFFFF" w:val="clear"/>
            <w:vAlign w:val="center"/>
          </w:tcPr>
          <w:p>
            <w:pPr>
              <w:pStyle w:val="TableContents"/>
              <w:bidi w:val="0"/>
              <w:spacing w:before="0" w:after="283"/>
              <w:jc w:val="center"/>
              <w:rPr/>
            </w:pPr>
            <w:r>
              <w:rPr/>
              <w:t> </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(290,509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(363,872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of common stock, basic and diluted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122,576,527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112,233,649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95,136,719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color w:val="000000"/>
          <w:sz w:val="18"/>
        </w:rPr>
        <w:t>For the years ended December 31, 2023, 2022, and 2021, the weighted-average number of shares of common stock outstanding used to calculate both basic and diluted net loss per share is the same. In computing diluted net loss per share for the years ended December 31, 2023, 2022, and 2021, the Company excluded the following potentially dilutive securities, as the effect would be anti-dilutive and reduce the net loss per share calculated for each period.</w:t>
      </w:r>
      <w:r>
        <w:rPr>
          <w:rFonts w:ascii="Times New Roman" w:hAnsi="Times New Roman"/>
          <w:color w:val="000000"/>
          <w:sz w:val="20"/>
        </w:rPr>
        <w:t xml:space="preserve"> </w:t>
      </w:r>
    </w:p>
    <w:tbl>
      <w:tblPr>
        <w:tblW w:w="7953" w:type="dxa"/>
        <w:jc w:val="left"/>
        <w:tblInd w:w="0" w:type="dxa"/>
        <w:tblLayout w:type="fixed"/>
        <w:tblCellMar>
          <w:top w:w="28" w:type="dxa"/>
          <w:left w:w="28" w:type="dxa"/>
          <w:bottom w:w="28" w:type="dxa"/>
          <w:right w:w="28" w:type="dxa"/>
        </w:tblCellMar>
      </w:tblPr>
      <w:tblGrid>
        <w:gridCol w:w="3736"/>
        <w:gridCol w:w="146"/>
        <w:gridCol w:w="146"/>
        <w:gridCol w:w="916"/>
        <w:gridCol w:w="146"/>
        <w:gridCol w:w="146"/>
        <w:gridCol w:w="146"/>
        <w:gridCol w:w="916"/>
        <w:gridCol w:w="146"/>
        <w:gridCol w:w="146"/>
        <w:gridCol w:w="146"/>
        <w:gridCol w:w="826"/>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6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outstanding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15,610,586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11,050,735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8,719,627</w:t>
            </w:r>
          </w:p>
        </w:tc>
        <w:tc>
          <w:tcPr>
            <w:tcW w:w="391"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and outstanding 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3,398,017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1,566,760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691,205</w:t>
            </w:r>
          </w:p>
        </w:tc>
        <w:tc>
          <w:tcPr>
            <w:tcW w:w="391"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upon milestone achievement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1,535,404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20,544,007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12,819,064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9,410,832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amounts included in the table above for options and RSUs are presented based on amounts outstanding at each period end.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amounts included in the table above for common stock issued upon milestone achievement are presented based on the weighted-average anti-dilutive effect from shares issued in connection with Contingent Milestone Payments in each of the periods presented.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10. Acquisition of ZebiAI</w:t>
      </w:r>
    </w:p>
    <w:p>
      <w:pPr>
        <w:pStyle w:val="TextBody"/>
        <w:bidi w:val="0"/>
        <w:spacing w:before="240" w:after="283"/>
        <w:jc w:val="left"/>
        <w:rPr>
          <w:rFonts w:ascii="Times New Roman" w:hAnsi="Times New Roman"/>
          <w:sz w:val="20"/>
        </w:rPr>
      </w:pPr>
      <w:r>
        <w:rPr>
          <w:rFonts w:ascii="Times New Roman" w:hAnsi="Times New Roman"/>
          <w:color w:val="000000"/>
          <w:sz w:val="18"/>
        </w:rPr>
        <w:t>On April 22, 2021</w:t>
      </w:r>
      <w:r>
        <w:rPr>
          <w:rFonts w:ascii="Times New Roman" w:hAnsi="Times New Roman"/>
          <w:color w:val="000000"/>
          <w:sz w:val="20"/>
        </w:rPr>
        <w:t xml:space="preserve"> </w:t>
      </w:r>
      <w:r>
        <w:rPr>
          <w:rFonts w:ascii="Times New Roman" w:hAnsi="Times New Roman"/>
          <w:color w:val="000000"/>
          <w:sz w:val="18"/>
        </w:rPr>
        <w:t>(the "Acquisition Date"), the Company acquired ZebiAI, a privately held company focused on using machine learning combined with DNA encoded library data sets for drug discovery. Pursuant to the Agreement and Plan of Merger (the "Merger Agreement"), upfront consideration included (a) payment of approximately $20.0</w:t>
      </w:r>
      <w:r>
        <w:rPr>
          <w:rFonts w:ascii="Times New Roman" w:hAnsi="Times New Roman"/>
          <w:color w:val="000000"/>
          <w:sz w:val="20"/>
        </w:rPr>
        <w:t xml:space="preserve"> </w:t>
      </w:r>
      <w:r>
        <w:rPr>
          <w:rFonts w:ascii="Times New Roman" w:hAnsi="Times New Roman"/>
          <w:color w:val="000000"/>
          <w:sz w:val="18"/>
        </w:rPr>
        <w:t>million in cash and (b) issuance of 1,914,219</w:t>
      </w:r>
      <w:r>
        <w:rPr>
          <w:rFonts w:ascii="Times New Roman" w:hAnsi="Times New Roman"/>
          <w:color w:val="000000"/>
          <w:sz w:val="20"/>
        </w:rPr>
        <w:t xml:space="preserve"> </w:t>
      </w:r>
      <w:r>
        <w:rPr>
          <w:rFonts w:ascii="Times New Roman" w:hAnsi="Times New Roman"/>
          <w:color w:val="000000"/>
          <w:sz w:val="18"/>
        </w:rPr>
        <w:t>shares of the Company’s common stock at an aggregate fair value of $61.8</w:t>
      </w:r>
      <w:r>
        <w:rPr>
          <w:rFonts w:ascii="Times New Roman" w:hAnsi="Times New Roman"/>
          <w:color w:val="000000"/>
          <w:sz w:val="20"/>
        </w:rPr>
        <w:t xml:space="preserve"> </w:t>
      </w:r>
      <w:r>
        <w:rPr>
          <w:rFonts w:ascii="Times New Roman" w:hAnsi="Times New Roman"/>
          <w:color w:val="000000"/>
          <w:sz w:val="18"/>
        </w:rPr>
        <w:t>million, both transferred to ZebiAI’s former stockholders, option holders, and warrant holders (the "ZebiAI Holders") upon closing. In addition, (i) the ZebiAI Holders are eligible to receive up to $85.0</w:t>
      </w:r>
      <w:r>
        <w:rPr>
          <w:rFonts w:ascii="Times New Roman" w:hAnsi="Times New Roman"/>
          <w:color w:val="000000"/>
          <w:sz w:val="20"/>
        </w:rPr>
        <w:t xml:space="preserve"> </w:t>
      </w:r>
      <w:r>
        <w:rPr>
          <w:rFonts w:ascii="Times New Roman" w:hAnsi="Times New Roman"/>
          <w:color w:val="000000"/>
          <w:sz w:val="18"/>
        </w:rPr>
        <w:t>million in other payments upon the achievement of certain platform or program milestones within a specified period from the closing date of the Merger Agreement, payable in shares of the Company's common stock (the "Contingent Milestone Payments"), a portion of which was paid to the ZebiAI Holders in 2022 and 2023, and (ii) the Company will pay 10% of payments it receives within a specified period from the closing date of the Merger Agreement from partnering, collaboration, or other agreements related to ZebiAI’s platform, up to an aggregate maximum amount of $100.0</w:t>
      </w:r>
      <w:r>
        <w:rPr>
          <w:rFonts w:ascii="Times New Roman" w:hAnsi="Times New Roman"/>
          <w:color w:val="000000"/>
          <w:sz w:val="20"/>
        </w:rPr>
        <w:t xml:space="preserve"> </w:t>
      </w:r>
      <w:r>
        <w:rPr>
          <w:rFonts w:ascii="Times New Roman" w:hAnsi="Times New Roman"/>
          <w:color w:val="000000"/>
          <w:sz w:val="18"/>
        </w:rPr>
        <w:t>million, payable in cash (the "Contingent Earnout Payments"), to the ZebiAI Holders.</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In accounting for the transaction, the Company assessed if ZebiAI represented an asset or business under ASC 805, </w:t>
      </w:r>
      <w:r>
        <w:rPr>
          <w:rFonts w:ascii="Times New Roman" w:hAnsi="Times New Roman"/>
          <w:i/>
          <w:color w:val="000000"/>
          <w:sz w:val="18"/>
        </w:rPr>
        <w:t>Business Combinations</w:t>
      </w:r>
      <w:r>
        <w:rPr>
          <w:rFonts w:ascii="Times New Roman" w:hAnsi="Times New Roman"/>
          <w:color w:val="000000"/>
          <w:sz w:val="20"/>
        </w:rPr>
        <w:t xml:space="preserve"> </w:t>
      </w:r>
      <w:r>
        <w:rPr>
          <w:rFonts w:ascii="Times New Roman" w:hAnsi="Times New Roman"/>
          <w:color w:val="000000"/>
          <w:sz w:val="18"/>
        </w:rPr>
        <w:t>("ASC 805"), as amended by ASU 2017-01. Pursuant to the guidance noted, the Company concluded ZebiAI did not constitute a business, since substantially all of the fair value of the gross assets acquired was concentrated in a single asset, which was the intellectual property for the AI platform and the related data sets in development by ZebiAI. The intellectual property acquired from ZebiAI was at an early stage of development and continues to require a significant investment of time and capital for development. There is no assurance the Company will be successful in completing the additional research and development activities.</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The Company also concluded the acquisition represented an initial consolidation of a variable interest entity that does not constitute a business in accordance with ASC 810, </w:t>
      </w:r>
      <w:r>
        <w:rPr>
          <w:rFonts w:ascii="Times New Roman" w:hAnsi="Times New Roman"/>
          <w:i/>
          <w:color w:val="000000"/>
          <w:sz w:val="18"/>
        </w:rPr>
        <w:t xml:space="preserve">Consolidation </w:t>
      </w:r>
      <w:r>
        <w:rPr>
          <w:rFonts w:ascii="Times New Roman" w:hAnsi="Times New Roman"/>
          <w:color w:val="000000"/>
          <w:sz w:val="18"/>
        </w:rPr>
        <w:t>("ASC 810"). In connection therewith, the Company determined ZebiAI was considered to be a variable interest entity, as it did not have sufficient equity to finance its activities without additional subordinated financial support. Prior to the Acquisition Date, the primary source of funding for ZebiAl had been preferred stock financings and convertible notes. The Company acquired all of the outstanding shares of ZebiAI and, therefore, is the sole equity holder. The Company will absorb the losses of ZebiAI, has the rights to the benefits derived from the ZebiAI platform, and the power to direct all activities. Therefore, the Company is the primary beneficiary. The net assets acquired and liabilities assumed in connection with the acquisition were recorded at their estimated fair values as of the Acquisition Date. Total consideration transferred of $135.5</w:t>
      </w:r>
      <w:r>
        <w:rPr>
          <w:rFonts w:ascii="Times New Roman" w:hAnsi="Times New Roman"/>
          <w:color w:val="000000"/>
          <w:sz w:val="20"/>
        </w:rPr>
        <w:t xml:space="preserve"> </w:t>
      </w:r>
      <w:r>
        <w:rPr>
          <w:rFonts w:ascii="Times New Roman" w:hAnsi="Times New Roman"/>
          <w:color w:val="000000"/>
          <w:sz w:val="18"/>
        </w:rPr>
        <w:t>million included the cash and shares of the Company's common stock issued to ZebiAI Holders, the fair value of the Contingent Milestone Payments, and the fair value of the Contingent Earnout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Payments, as well as an insignificant amount attributed to the replacement of stock options to ZebiAI Holders. The Contingent Milestone Payments were determined to be liabilities pursuant to ASC 480 and, therefore, included in consideration transferred. The Contingent Earnout Payments were required to be included in total consideration transferred as a result of the guidance under ASC 810. The difference between total consideration transferred and the fair value of net assets acquired and liabilities assumed of $11.9</w:t>
      </w:r>
      <w:r>
        <w:rPr>
          <w:rFonts w:ascii="Times New Roman" w:hAnsi="Times New Roman"/>
          <w:color w:val="000000"/>
          <w:sz w:val="20"/>
        </w:rPr>
        <w:t xml:space="preserve"> </w:t>
      </w:r>
      <w:r>
        <w:rPr>
          <w:rFonts w:ascii="Times New Roman" w:hAnsi="Times New Roman"/>
          <w:color w:val="000000"/>
          <w:sz w:val="18"/>
        </w:rPr>
        <w:t>million was recorded as loss on initial consolidation of a variable interest entity pursuant to ASC 810.</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net assets acquired based on their estimated fair values as of the Acquisition Date:</w:t>
      </w:r>
    </w:p>
    <w:tbl>
      <w:tblPr>
        <w:tblW w:w="4663" w:type="dxa"/>
        <w:jc w:val="left"/>
        <w:tblInd w:w="0" w:type="dxa"/>
        <w:tblLayout w:type="fixed"/>
        <w:tblCellMar>
          <w:top w:w="28" w:type="dxa"/>
          <w:left w:w="28" w:type="dxa"/>
          <w:bottom w:w="28" w:type="dxa"/>
          <w:right w:w="28" w:type="dxa"/>
        </w:tblCellMar>
      </w:tblPr>
      <w:tblGrid>
        <w:gridCol w:w="2851"/>
        <w:gridCol w:w="146"/>
        <w:gridCol w:w="321"/>
        <w:gridCol w:w="1134"/>
        <w:gridCol w:w="211"/>
      </w:tblGrid>
      <w:tr>
        <w:trPr/>
        <w:tc>
          <w:tcPr>
            <w:tcW w:w="2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Acquired IPR&amp;D asset</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123,000</w:t>
            </w:r>
          </w:p>
        </w:tc>
        <w:tc>
          <w:tcPr>
            <w:tcW w:w="21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initial consolidation of VIE</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11,855</w:t>
            </w:r>
          </w:p>
        </w:tc>
        <w:tc>
          <w:tcPr>
            <w:tcW w:w="21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 obtained in asset acquisition</w:t>
            </w:r>
          </w:p>
        </w:tc>
        <w:tc>
          <w:tcPr>
            <w:tcW w:w="146" w:type="dxa"/>
            <w:tcBorders/>
            <w:shd w:fill="CFF0FC" w:val="clear"/>
            <w:vAlign w:val="center"/>
          </w:tcPr>
          <w:p>
            <w:pPr>
              <w:pStyle w:val="TableContents"/>
              <w:bidi w:val="0"/>
              <w:spacing w:before="0" w:after="283"/>
              <w:jc w:val="left"/>
              <w:rPr/>
            </w:pPr>
            <w:r>
              <w:rPr/>
              <w:t> </w:t>
            </w:r>
          </w:p>
        </w:tc>
        <w:tc>
          <w:tcPr>
            <w:tcW w:w="321" w:type="dxa"/>
            <w:tcBorders/>
            <w:shd w:fill="CFF0FC" w:val="clear"/>
            <w:vAlign w:val="center"/>
          </w:tcPr>
          <w:p>
            <w:pPr>
              <w:pStyle w:val="TableContents"/>
              <w:bidi w:val="0"/>
              <w:spacing w:before="0" w:after="283"/>
              <w:jc w:val="left"/>
              <w:rPr/>
            </w:pPr>
            <w:r>
              <w:rPr/>
              <w:t> </w:t>
            </w:r>
          </w:p>
        </w:tc>
        <w:tc>
          <w:tcPr>
            <w:tcW w:w="113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w:t>
            </w:r>
          </w:p>
        </w:tc>
        <w:tc>
          <w:tcPr>
            <w:tcW w:w="211" w:type="dxa"/>
            <w:tcBorders/>
            <w:shd w:fill="CFF0FC" w:val="cle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 assumed in asset acquisition</w:t>
            </w:r>
          </w:p>
        </w:tc>
        <w:tc>
          <w:tcPr>
            <w:tcW w:w="146" w:type="dxa"/>
            <w:tcBorders/>
            <w:shd w:fill="FFFFFF" w:val="clear"/>
            <w:vAlign w:val="center"/>
          </w:tcPr>
          <w:p>
            <w:pPr>
              <w:pStyle w:val="TableContents"/>
              <w:bidi w:val="0"/>
              <w:spacing w:before="0" w:after="283"/>
              <w:jc w:val="left"/>
              <w:rPr/>
            </w:pPr>
            <w:r>
              <w:rPr/>
              <w:t> </w:t>
            </w:r>
          </w:p>
        </w:tc>
        <w:tc>
          <w:tcPr>
            <w:tcW w:w="321" w:type="dxa"/>
            <w:tcBorders/>
            <w:shd w:fill="FFFFFF" w:val="clear"/>
            <w:vAlign w:val="center"/>
          </w:tcPr>
          <w:p>
            <w:pPr>
              <w:pStyle w:val="TableContents"/>
              <w:bidi w:val="0"/>
              <w:spacing w:before="0" w:after="283"/>
              <w:jc w:val="left"/>
              <w:rPr/>
            </w:pPr>
            <w:r>
              <w:rPr/>
              <w:t> </w:t>
            </w:r>
          </w:p>
        </w:tc>
        <w:tc>
          <w:tcPr>
            <w:tcW w:w="113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(2,330</w:t>
            </w:r>
          </w:p>
        </w:tc>
        <w:tc>
          <w:tcPr>
            <w:tcW w:w="2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w:t>
            </w:r>
          </w:p>
        </w:tc>
        <w:tc>
          <w:tcPr>
            <w:tcW w:w="146" w:type="dxa"/>
            <w:tcBorders/>
            <w:shd w:fill="CFF0FC" w:val="cle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acquired assets</w:t>
            </w:r>
          </w:p>
        </w:tc>
        <w:tc>
          <w:tcPr>
            <w:tcW w:w="146" w:type="dxa"/>
            <w:tcBorders/>
            <w:shd w:fill="FFFFFF" w:val="cle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135,487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In estimating the fair value of the acquired tangible assets and liabilities assumed, the Company used the carrying value of the net working capital balances as the most reliable indicator of fair value based on the associated short-term nature of the balances. The remaining fair value was attributable to the acquired IPR&amp;D and an intangible asset. The fair value attributable to the IPR&amp;D asset was determined using an Avoided Cost Method, which includes all costs to develop the IPR&amp;D asset, including appropriate mark-ups on the cost estimate and an expected return related to developing the IPR&amp;D asset over a period of time. The fair value of the IPR&amp;D asset was expensed in the Company’s consolidated statements of operations and comprehensive loss for the year ended December 31, 2021, as the acquired IPR&amp;D had no alternative future use, which was determined by the Company in accordance with U.S. GAAP, including ASC 730,</w:t>
      </w:r>
      <w:r>
        <w:rPr>
          <w:rFonts w:ascii="Times New Roman" w:hAnsi="Times New Roman"/>
          <w:color w:val="000000"/>
          <w:sz w:val="20"/>
        </w:rPr>
        <w:t xml:space="preserve"> </w:t>
      </w:r>
      <w:r>
        <w:rPr>
          <w:rFonts w:ascii="Times New Roman" w:hAnsi="Times New Roman"/>
          <w:i/>
          <w:color w:val="000000"/>
          <w:sz w:val="18"/>
        </w:rPr>
        <w:t>Research and Development</w:t>
      </w:r>
      <w:r>
        <w:rPr>
          <w:rFonts w:ascii="Times New Roman" w:hAnsi="Times New Roman"/>
          <w:color w:val="000000"/>
          <w:sz w:val="20"/>
        </w:rPr>
        <w:t xml:space="preserve"> </w:t>
      </w:r>
      <w:r>
        <w:rPr>
          <w:rFonts w:ascii="Times New Roman" w:hAnsi="Times New Roman"/>
          <w:color w:val="000000"/>
          <w:sz w:val="18"/>
        </w:rPr>
        <w:t>("ASC 730"). The intangible asset represents the assembled workforce, for which the Company concluded there were no indicators of impairment through December 31, 2023. The Company recognized stock compensation expense of $4.6</w:t>
      </w:r>
      <w:r>
        <w:rPr>
          <w:rFonts w:ascii="Times New Roman" w:hAnsi="Times New Roman"/>
          <w:color w:val="000000"/>
          <w:sz w:val="20"/>
        </w:rPr>
        <w:t xml:space="preserve"> </w:t>
      </w:r>
      <w:r>
        <w:rPr>
          <w:rFonts w:ascii="Times New Roman" w:hAnsi="Times New Roman"/>
          <w:color w:val="000000"/>
          <w:sz w:val="18"/>
        </w:rPr>
        <w:t>million associated with accelerated vesting for certain stock options in connection with the acquisition within the consolidated statements of operations and comprehensive loss for the year ended December 31, 2021, with no</w:t>
      </w:r>
      <w:r>
        <w:rPr>
          <w:rFonts w:ascii="Times New Roman" w:hAnsi="Times New Roman"/>
          <w:color w:val="000000"/>
          <w:sz w:val="20"/>
        </w:rPr>
        <w:t xml:space="preserve"> </w:t>
      </w:r>
      <w:r>
        <w:rPr>
          <w:rFonts w:ascii="Times New Roman" w:hAnsi="Times New Roman"/>
          <w:color w:val="000000"/>
          <w:sz w:val="18"/>
        </w:rPr>
        <w:t>incremental charges in connection therewith for the years ended December 31, 2023 and 2022. Finally, the Company recognized other acquisition costs of $0.9</w:t>
      </w:r>
      <w:r>
        <w:rPr>
          <w:rFonts w:ascii="Times New Roman" w:hAnsi="Times New Roman"/>
          <w:color w:val="000000"/>
          <w:sz w:val="20"/>
        </w:rPr>
        <w:t xml:space="preserve"> </w:t>
      </w:r>
      <w:r>
        <w:rPr>
          <w:rFonts w:ascii="Times New Roman" w:hAnsi="Times New Roman"/>
          <w:color w:val="000000"/>
          <w:sz w:val="18"/>
        </w:rPr>
        <w:t>million within general and administrative expenses in the consolidated statements of operations and comprehensive loss for the year ended December 31, 2021, with no</w:t>
      </w:r>
      <w:r>
        <w:rPr>
          <w:rFonts w:ascii="Times New Roman" w:hAnsi="Times New Roman"/>
          <w:color w:val="000000"/>
          <w:sz w:val="20"/>
        </w:rPr>
        <w:t xml:space="preserve"> </w:t>
      </w:r>
      <w:r>
        <w:rPr>
          <w:rFonts w:ascii="Times New Roman" w:hAnsi="Times New Roman"/>
          <w:color w:val="000000"/>
          <w:sz w:val="18"/>
        </w:rPr>
        <w:t>incremental charges in connection therewith for the years ended December 31, 2023 and 2022.</w:t>
      </w:r>
    </w:p>
    <w:p>
      <w:pPr>
        <w:pStyle w:val="TextBody"/>
        <w:bidi w:val="0"/>
        <w:spacing w:before="240" w:after="283"/>
        <w:jc w:val="left"/>
        <w:rPr>
          <w:rFonts w:ascii="Times New Roman" w:hAnsi="Times New Roman"/>
          <w:sz w:val="20"/>
        </w:rPr>
      </w:pPr>
      <w:r>
        <w:rPr>
          <w:rFonts w:ascii="Times New Roman" w:hAnsi="Times New Roman"/>
          <w:color w:val="000000"/>
          <w:sz w:val="18"/>
        </w:rPr>
        <w:t>For the Contingent Milestone Payments and Contingent Earnout Payments, the Company recorded contingent consideration liabilities of $42.4</w:t>
      </w:r>
      <w:r>
        <w:rPr>
          <w:rFonts w:ascii="Times New Roman" w:hAnsi="Times New Roman"/>
          <w:color w:val="000000"/>
          <w:sz w:val="20"/>
        </w:rPr>
        <w:t xml:space="preserve"> </w:t>
      </w:r>
      <w:r>
        <w:rPr>
          <w:rFonts w:ascii="Times New Roman" w:hAnsi="Times New Roman"/>
          <w:color w:val="000000"/>
          <w:sz w:val="18"/>
        </w:rPr>
        <w:t>million and $5.0</w:t>
      </w:r>
      <w:r>
        <w:rPr>
          <w:rFonts w:ascii="Times New Roman" w:hAnsi="Times New Roman"/>
          <w:color w:val="000000"/>
          <w:sz w:val="20"/>
        </w:rPr>
        <w:t xml:space="preserve"> </w:t>
      </w:r>
      <w:r>
        <w:rPr>
          <w:rFonts w:ascii="Times New Roman" w:hAnsi="Times New Roman"/>
          <w:color w:val="000000"/>
          <w:sz w:val="18"/>
        </w:rPr>
        <w:t xml:space="preserve">million, respectively, representing the fair value of the payment provisions noted as of the Acquisition Date. The Company is required to re-assess the fair value of the Contingent Milestone Payments at each reporting period pursuant to ASC 480, as summarized within Note 3, </w:t>
      </w:r>
      <w:r>
        <w:rPr>
          <w:rFonts w:ascii="Times New Roman" w:hAnsi="Times New Roman"/>
          <w:i/>
          <w:color w:val="000000"/>
          <w:sz w:val="18"/>
        </w:rPr>
        <w:t>Fair Value Measurements</w:t>
      </w:r>
      <w:r>
        <w:rPr>
          <w:rFonts w:ascii="Times New Roman" w:hAnsi="Times New Roman"/>
          <w:color w:val="000000"/>
          <w:sz w:val="18"/>
        </w:rPr>
        <w:t>. However, the Contingent Earnout Payments were not accounted for as derivatives under ASC 815 and, therefore, are not re-assessed at fair value at each reporting period. The Contingent Earnout Payments will be adjusted when the contingency is resolved and the consideration is paid or becomes payable.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11. Collaboration and License Agreement with Genentech, Inc.</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Summary of Terms</w:t>
      </w:r>
    </w:p>
    <w:p>
      <w:pPr>
        <w:pStyle w:val="TextBody"/>
        <w:bidi w:val="0"/>
        <w:spacing w:before="240" w:after="283"/>
        <w:jc w:val="left"/>
        <w:rPr>
          <w:rFonts w:ascii="Times New Roman" w:hAnsi="Times New Roman"/>
          <w:sz w:val="20"/>
        </w:rPr>
      </w:pPr>
      <w:r>
        <w:rPr>
          <w:rFonts w:ascii="Times New Roman" w:hAnsi="Times New Roman"/>
          <w:color w:val="000000"/>
          <w:sz w:val="18"/>
        </w:rPr>
        <w:t>In December 2020, the Company and Genentech, Inc. ("Genentech") entered into the Collaboration and License Agreement (as amended from time to time, the "Genentech Agreement"), which granted Genentech a license to develop and commercialize GDC-1971 (migoprotafib, formerly known as RLY-1971).</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 the terms of the Genentech Agreement, the Company had the option, exercisable one time at the Company’s sole discretion, to share half of the net profits or net losses of commercializing migoprotafib in the U.S., subject to certain terms and conditions (such option, the "Opt-In Right"). During the year ended December 31, 2023, the Company elected to not exercise the Opt-In Right.</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consideration under the Genentech Agreement included (a) $86.8</w:t>
      </w:r>
      <w:r>
        <w:rPr>
          <w:rFonts w:ascii="Times New Roman" w:hAnsi="Times New Roman"/>
          <w:color w:val="000000"/>
          <w:sz w:val="20"/>
        </w:rPr>
        <w:t xml:space="preserve"> </w:t>
      </w:r>
      <w:r>
        <w:rPr>
          <w:rFonts w:ascii="Times New Roman" w:hAnsi="Times New Roman"/>
          <w:color w:val="000000"/>
          <w:sz w:val="18"/>
        </w:rPr>
        <w:t>million in non-refundable payments ("Genentech Non-Refundable Payments") and (b) $25.0</w:t>
      </w:r>
      <w:r>
        <w:rPr>
          <w:rFonts w:ascii="Times New Roman" w:hAnsi="Times New Roman"/>
          <w:color w:val="000000"/>
          <w:sz w:val="20"/>
        </w:rPr>
        <w:t xml:space="preserve"> </w:t>
      </w:r>
      <w:r>
        <w:rPr>
          <w:rFonts w:ascii="Times New Roman" w:hAnsi="Times New Roman"/>
          <w:color w:val="000000"/>
          <w:sz w:val="18"/>
        </w:rPr>
        <w:t>million in payments upon achievement of certain milestones, which were refundable if the Company had exercised the Opt-In Right ("Genentech Milestones Paid").</w:t>
      </w:r>
    </w:p>
    <w:p>
      <w:pPr>
        <w:pStyle w:val="TextBody"/>
        <w:bidi w:val="0"/>
        <w:spacing w:before="240" w:after="283"/>
        <w:jc w:val="left"/>
        <w:rPr>
          <w:rFonts w:ascii="Times New Roman" w:hAnsi="Times New Roman"/>
          <w:sz w:val="20"/>
        </w:rPr>
      </w:pPr>
      <w:r>
        <w:rPr>
          <w:rFonts w:ascii="Times New Roman" w:hAnsi="Times New Roman"/>
          <w:color w:val="000000"/>
          <w:sz w:val="18"/>
        </w:rPr>
        <w:t>In February 2024, the Company received an additional payment of $10.0</w:t>
      </w:r>
      <w:r>
        <w:rPr>
          <w:rFonts w:ascii="Times New Roman" w:hAnsi="Times New Roman"/>
          <w:color w:val="000000"/>
          <w:sz w:val="20"/>
        </w:rPr>
        <w:t xml:space="preserve"> </w:t>
      </w:r>
      <w:r>
        <w:rPr>
          <w:rFonts w:ascii="Times New Roman" w:hAnsi="Times New Roman"/>
          <w:color w:val="000000"/>
          <w:sz w:val="18"/>
        </w:rPr>
        <w:t>million in connection with a milestone achievement occurring after December 31, 2023. The Company is eligible to receive up to an aggregate of $675.0</w:t>
      </w:r>
      <w:r>
        <w:rPr>
          <w:rFonts w:ascii="Times New Roman" w:hAnsi="Times New Roman"/>
          <w:color w:val="000000"/>
          <w:sz w:val="20"/>
        </w:rPr>
        <w:t xml:space="preserve"> </w:t>
      </w:r>
      <w:r>
        <w:rPr>
          <w:rFonts w:ascii="Times New Roman" w:hAnsi="Times New Roman"/>
          <w:color w:val="000000"/>
          <w:sz w:val="18"/>
        </w:rPr>
        <w:t>million in additional payments upon achievement of other specified development, commercialization, and sales-based milestones for migoprotafib</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worldwide, as well as tiered royalties ranging from low-to-mid teens on annual worldwide net sales of migoprotafib, on a country-by-country basis, subject to reduction in certain circumstances. Due to the nature of the payments noted, such variable consideration was constrained and excluded from the transaction price of the Genentech Agreement as of December 31, 2023.</w:t>
      </w:r>
    </w:p>
    <w:p>
      <w:pPr>
        <w:pStyle w:val="TextBody"/>
        <w:bidi w:val="0"/>
        <w:spacing w:before="240" w:after="283"/>
        <w:jc w:val="left"/>
        <w:rPr>
          <w:rFonts w:ascii="Times New Roman" w:hAnsi="Times New Roman"/>
          <w:sz w:val="20"/>
        </w:rPr>
      </w:pPr>
      <w:r>
        <w:rPr>
          <w:rFonts w:ascii="Times New Roman" w:hAnsi="Times New Roman"/>
          <w:b/>
          <w:i/>
          <w:color w:val="000000"/>
          <w:sz w:val="18"/>
        </w:rPr>
        <w:t>Accounting Analysis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18"/>
        </w:rPr>
        <w:t>Identification of the Contract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concluded Genentech is a customer and, as such, the Genentech Agreement is within the scope of the revenue recognition guidance under ASC 606.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18"/>
        </w:rPr>
        <w:t>Identification of Performance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At the commencement of the Genentech Agreement, the Company identified the following performance obligations:</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License to develop and commercialize migoprotafib and the related know-how;</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Research and development services to complete the Phase 1a Trial for migoprotafib; and</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Transfer of active pharmaceutical ingredient and other materials related to migoprotafib.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concluded the performance obligations outlined above are both capable of being distinct and distinct within the context of the contract, given such rights and activities are independent of each other. The license can be used by Genentech without the research and development services or active pharmaceutical ingredient outlined above. Similarly, such services and inventory provide distinct benefit to Genentech within the context of the contract, separate from the license.</w:t>
      </w:r>
    </w:p>
    <w:p>
      <w:pPr>
        <w:pStyle w:val="TextBody"/>
        <w:bidi w:val="0"/>
        <w:spacing w:before="240" w:after="283"/>
        <w:jc w:val="left"/>
        <w:rPr>
          <w:rFonts w:ascii="Times New Roman" w:hAnsi="Times New Roman"/>
          <w:sz w:val="20"/>
        </w:rPr>
      </w:pPr>
      <w:r>
        <w:rPr>
          <w:rFonts w:ascii="Times New Roman" w:hAnsi="Times New Roman"/>
          <w:i/>
          <w:color w:val="000000"/>
          <w:sz w:val="18"/>
        </w:rPr>
        <w:t>Determination of Transaction Price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the Company concluded the transaction price for the Genentech Agreement was $111.8</w:t>
      </w:r>
      <w:r>
        <w:rPr>
          <w:rFonts w:ascii="Times New Roman" w:hAnsi="Times New Roman"/>
          <w:color w:val="000000"/>
          <w:sz w:val="20"/>
        </w:rPr>
        <w:t xml:space="preserve"> </w:t>
      </w:r>
      <w:r>
        <w:rPr>
          <w:rFonts w:ascii="Times New Roman" w:hAnsi="Times New Roman"/>
          <w:color w:val="000000"/>
          <w:sz w:val="18"/>
        </w:rPr>
        <w:t>million, which includes both the Genentech Non-Refundable Payments and Genentech Milestones Paid.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Upon the Company’s election to not exercise the Opt-In Right during the year ended December 31, 2023, the $25.0</w:t>
      </w:r>
      <w:r>
        <w:rPr>
          <w:rFonts w:ascii="Times New Roman" w:hAnsi="Times New Roman"/>
          <w:color w:val="000000"/>
          <w:sz w:val="20"/>
        </w:rPr>
        <w:t xml:space="preserve"> </w:t>
      </w:r>
      <w:r>
        <w:rPr>
          <w:rFonts w:ascii="Times New Roman" w:hAnsi="Times New Roman"/>
          <w:color w:val="000000"/>
          <w:sz w:val="18"/>
        </w:rPr>
        <w:t>million in Genentech Milestones Paid, which had been received by the Company before the year ended December 31, 2023, were removed from other current liabilities on the condensed consolidated balance sheet and incorporated into the transaction price, since the constraint on such variable consideration had been resolved.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color w:val="000000"/>
          <w:sz w:val="18"/>
        </w:rPr>
        <w:t>No</w:t>
      </w:r>
      <w:r>
        <w:rPr>
          <w:rFonts w:ascii="Times New Roman" w:hAnsi="Times New Roman"/>
          <w:color w:val="000000"/>
          <w:sz w:val="20"/>
        </w:rPr>
        <w:t xml:space="preserve"> </w:t>
      </w:r>
      <w:r>
        <w:rPr>
          <w:rFonts w:ascii="Times New Roman" w:hAnsi="Times New Roman"/>
          <w:color w:val="000000"/>
          <w:sz w:val="18"/>
        </w:rPr>
        <w:t>other milestone payments are included in the transaction price, as such payments are variable consideration fully constrained as of December 31, 2023. As part of management’s evaluation of the constraint, the Company considered numerous factors, including consideration of the fact that achievement of the milestones is outside of the Company’s control, contingent upon Genentech’s efforts, the receipt of regulatory approval, and subject to scientific risks of success.</w:t>
      </w:r>
    </w:p>
    <w:p>
      <w:pPr>
        <w:pStyle w:val="TextBody"/>
        <w:bidi w:val="0"/>
        <w:spacing w:before="240" w:after="283"/>
        <w:jc w:val="left"/>
        <w:rPr>
          <w:rFonts w:ascii="Times New Roman" w:hAnsi="Times New Roman"/>
          <w:sz w:val="20"/>
        </w:rPr>
      </w:pPr>
      <w:r>
        <w:rPr>
          <w:rFonts w:ascii="Times New Roman" w:hAnsi="Times New Roman"/>
          <w:i/>
          <w:color w:val="000000"/>
          <w:sz w:val="18"/>
        </w:rPr>
        <w:t>Allocation of Transaction Price to Performance Obligations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allocated the transaction price of $111.8</w:t>
      </w:r>
      <w:r>
        <w:rPr>
          <w:rFonts w:ascii="Times New Roman" w:hAnsi="Times New Roman"/>
          <w:color w:val="000000"/>
          <w:sz w:val="20"/>
        </w:rPr>
        <w:t xml:space="preserve"> </w:t>
      </w:r>
      <w:r>
        <w:rPr>
          <w:rFonts w:ascii="Times New Roman" w:hAnsi="Times New Roman"/>
          <w:color w:val="000000"/>
          <w:sz w:val="18"/>
        </w:rPr>
        <w:t>million based on the stand-alone selling prices ("SSP") of each of the performance obligations as follows:</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sz w:val="20"/>
        </w:rPr>
      </w:pPr>
      <w:r>
        <w:rPr>
          <w:rFonts w:ascii="Times New Roman" w:hAnsi="Times New Roman"/>
          <w:color w:val="000000"/>
          <w:sz w:val="18"/>
        </w:rPr>
        <w:t>$107.6</w:t>
      </w:r>
      <w:r>
        <w:rPr>
          <w:rFonts w:ascii="Times New Roman" w:hAnsi="Times New Roman"/>
          <w:color w:val="000000"/>
          <w:sz w:val="20"/>
        </w:rPr>
        <w:t xml:space="preserve"> </w:t>
      </w:r>
      <w:r>
        <w:rPr>
          <w:rFonts w:ascii="Times New Roman" w:hAnsi="Times New Roman"/>
          <w:color w:val="000000"/>
          <w:sz w:val="18"/>
        </w:rPr>
        <w:t>million for the transfer of the license;</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sz w:val="20"/>
        </w:rPr>
      </w:pPr>
      <w:r>
        <w:rPr>
          <w:rFonts w:ascii="Times New Roman" w:hAnsi="Times New Roman"/>
          <w:color w:val="000000"/>
          <w:sz w:val="18"/>
        </w:rPr>
        <w:t>$3.8</w:t>
      </w:r>
      <w:r>
        <w:rPr>
          <w:rFonts w:ascii="Times New Roman" w:hAnsi="Times New Roman"/>
          <w:color w:val="000000"/>
          <w:sz w:val="20"/>
        </w:rPr>
        <w:t xml:space="preserve"> </w:t>
      </w:r>
      <w:r>
        <w:rPr>
          <w:rFonts w:ascii="Times New Roman" w:hAnsi="Times New Roman"/>
          <w:color w:val="000000"/>
          <w:sz w:val="18"/>
        </w:rPr>
        <w:t>million for research and development services; and</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sz w:val="20"/>
        </w:rPr>
      </w:pPr>
      <w:r>
        <w:rPr>
          <w:rFonts w:ascii="Times New Roman" w:hAnsi="Times New Roman"/>
          <w:color w:val="000000"/>
          <w:sz w:val="18"/>
        </w:rPr>
        <w:t>$0.4</w:t>
      </w:r>
      <w:r>
        <w:rPr>
          <w:rFonts w:ascii="Times New Roman" w:hAnsi="Times New Roman"/>
          <w:color w:val="000000"/>
          <w:sz w:val="20"/>
        </w:rPr>
        <w:t xml:space="preserve"> </w:t>
      </w:r>
      <w:r>
        <w:rPr>
          <w:rFonts w:ascii="Times New Roman" w:hAnsi="Times New Roman"/>
          <w:color w:val="000000"/>
          <w:sz w:val="18"/>
        </w:rPr>
        <w:t>million for the transfer of active pharmaceutical ingredient.</w:t>
      </w:r>
    </w:p>
    <w:p>
      <w:pPr>
        <w:pStyle w:val="TextBody"/>
        <w:bidi w:val="0"/>
        <w:spacing w:before="240" w:after="283"/>
        <w:jc w:val="left"/>
        <w:rPr>
          <w:rFonts w:ascii="Times New Roman" w:hAnsi="Times New Roman"/>
          <w:sz w:val="20"/>
        </w:rPr>
      </w:pPr>
      <w:r>
        <w:rPr>
          <w:rFonts w:ascii="Times New Roman" w:hAnsi="Times New Roman"/>
          <w:color w:val="000000"/>
          <w:sz w:val="18"/>
        </w:rPr>
        <w:t>The SSP for the license was determined using an approach that considered discounted, probability-weighted cash flows related to the license transferred. The Company also reviewed comparable market transactions in determining the SSP of the license. The SSP for the research and development services and the transfer of active pharmaceutical ingredient were based on estimates of the associated effort and cost of these services and cost to manufacture active pharmaceutical ingredient, adjusted for a reasonable profit margin that would be expected to be realized under similar contracts.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18"/>
        </w:rPr>
        <w:t>Recognition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is recognizing revenue for each of the performance obligations as follows.</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sz w:val="20"/>
        </w:rPr>
      </w:pPr>
      <w:r>
        <w:rPr>
          <w:rFonts w:ascii="Times New Roman" w:hAnsi="Times New Roman"/>
          <w:color w:val="000000"/>
          <w:sz w:val="18"/>
        </w:rPr>
        <w:t>Upon execution of the Genentech Agreement in 2020, the license and related know-how were transferred. Therefore, the full amount allocated to the license and related know-how at such time was recognized immediately in 2020. As the transaction price has been updated through December 31, 2023, any changes to the amount allocated to the performance obligation for transfer of the license and related know-how have also been recognized immediately. Revenue recognized related to the performance obligation during the years ended December 31, 2023, 2022, and 2021</w:t>
      </w:r>
      <w:r>
        <w:rPr>
          <w:rFonts w:ascii="Times New Roman" w:hAnsi="Times New Roman"/>
          <w:color w:val="000000"/>
          <w:sz w:val="20"/>
        </w:rPr>
        <w:t xml:space="preserve"> </w:t>
      </w:r>
      <w:r>
        <w:rPr>
          <w:rFonts w:ascii="Times New Roman" w:hAnsi="Times New Roman"/>
          <w:color w:val="000000"/>
          <w:sz w:val="18"/>
        </w:rPr>
        <w:t>was $24.0</w:t>
      </w:r>
      <w:r>
        <w:rPr>
          <w:rFonts w:ascii="Times New Roman" w:hAnsi="Times New Roman"/>
          <w:color w:val="000000"/>
          <w:sz w:val="20"/>
        </w:rPr>
        <w:t xml:space="preserve"> </w:t>
      </w:r>
      <w:r>
        <w:rPr>
          <w:rFonts w:ascii="Times New Roman" w:hAnsi="Times New Roman"/>
          <w:color w:val="000000"/>
          <w:sz w:val="18"/>
        </w:rPr>
        <w:t>million, $0.3</w:t>
      </w:r>
      <w:r>
        <w:rPr>
          <w:rFonts w:ascii="Times New Roman" w:hAnsi="Times New Roman"/>
          <w:color w:val="000000"/>
          <w:sz w:val="20"/>
        </w:rPr>
        <w:t xml:space="preserve"> </w:t>
      </w:r>
      <w:r>
        <w:rPr>
          <w:rFonts w:ascii="Times New Roman" w:hAnsi="Times New Roman"/>
          <w:color w:val="000000"/>
          <w:sz w:val="18"/>
        </w:rPr>
        <w:t>million, and $0.6</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sz w:val="20"/>
        </w:rPr>
      </w:pPr>
      <w:r>
        <w:rPr>
          <w:rFonts w:ascii="Times New Roman" w:hAnsi="Times New Roman"/>
          <w:color w:val="000000"/>
          <w:sz w:val="18"/>
        </w:rPr>
        <w:t>The performance obligation for research and development services consisted of the Company completing the Phase 1a clinical trial initiated in 2020. The Company fully satisfied the performance obligation during the year ended December 31, 2023, recognizing revenue over time using a cost-based input method by calculating actual costs incurred to date at each period end relative to total estimated costs expected to be incurred. Revenue recognized related to the performance obligation during the years ended December 31, 2023, 2022, and 2021</w:t>
      </w:r>
      <w:r>
        <w:rPr>
          <w:rFonts w:ascii="Times New Roman" w:hAnsi="Times New Roman"/>
          <w:color w:val="000000"/>
          <w:sz w:val="20"/>
        </w:rPr>
        <w:t xml:space="preserve"> </w:t>
      </w:r>
      <w:r>
        <w:rPr>
          <w:rFonts w:ascii="Times New Roman" w:hAnsi="Times New Roman"/>
          <w:color w:val="000000"/>
          <w:sz w:val="18"/>
        </w:rPr>
        <w:t>was $1.4</w:t>
      </w:r>
      <w:r>
        <w:rPr>
          <w:rFonts w:ascii="Times New Roman" w:hAnsi="Times New Roman"/>
          <w:color w:val="000000"/>
          <w:sz w:val="20"/>
        </w:rPr>
        <w:t xml:space="preserve"> </w:t>
      </w:r>
      <w:r>
        <w:rPr>
          <w:rFonts w:ascii="Times New Roman" w:hAnsi="Times New Roman"/>
          <w:color w:val="000000"/>
          <w:sz w:val="18"/>
        </w:rPr>
        <w:t>million, $0.7</w:t>
      </w:r>
      <w:r>
        <w:rPr>
          <w:rFonts w:ascii="Times New Roman" w:hAnsi="Times New Roman"/>
          <w:color w:val="000000"/>
          <w:sz w:val="20"/>
        </w:rPr>
        <w:t xml:space="preserve"> </w:t>
      </w:r>
      <w:r>
        <w:rPr>
          <w:rFonts w:ascii="Times New Roman" w:hAnsi="Times New Roman"/>
          <w:color w:val="000000"/>
          <w:sz w:val="18"/>
        </w:rPr>
        <w:t>million, and $1.7</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sz w:val="20"/>
        </w:rPr>
      </w:pPr>
      <w:r>
        <w:rPr>
          <w:rFonts w:ascii="Times New Roman" w:hAnsi="Times New Roman"/>
          <w:color w:val="000000"/>
          <w:sz w:val="18"/>
        </w:rPr>
        <w:t>The amount of the transaction price originally allocated to the performance obligation for active pharmaceutical ingredient was recognized in full upon transfer of such material to Genentech in 2021. As the transaction price has been updated through December 31, 2023, any changes to the amount allocated to the performance obligation for transfer of active pharmaceutical ingredient have also been recognized immediately. Revenue recognized related to the performance obligation during the years ended December 31, 2023, 2022, and 2021</w:t>
      </w:r>
      <w:r>
        <w:rPr>
          <w:rFonts w:ascii="Times New Roman" w:hAnsi="Times New Roman"/>
          <w:color w:val="000000"/>
          <w:sz w:val="20"/>
        </w:rPr>
        <w:t xml:space="preserve"> </w:t>
      </w:r>
      <w:r>
        <w:rPr>
          <w:rFonts w:ascii="Times New Roman" w:hAnsi="Times New Roman"/>
          <w:color w:val="000000"/>
          <w:sz w:val="18"/>
        </w:rPr>
        <w:t>was $0.1</w:t>
      </w:r>
      <w:r>
        <w:rPr>
          <w:rFonts w:ascii="Times New Roman" w:hAnsi="Times New Roman"/>
          <w:color w:val="000000"/>
          <w:sz w:val="20"/>
        </w:rPr>
        <w:t xml:space="preserve"> </w:t>
      </w:r>
      <w:r>
        <w:rPr>
          <w:rFonts w:ascii="Times New Roman" w:hAnsi="Times New Roman"/>
          <w:color w:val="000000"/>
          <w:sz w:val="18"/>
        </w:rPr>
        <w:t>million, $0.1</w:t>
      </w:r>
      <w:r>
        <w:rPr>
          <w:rFonts w:ascii="Times New Roman" w:hAnsi="Times New Roman"/>
          <w:color w:val="000000"/>
          <w:sz w:val="20"/>
        </w:rPr>
        <w:t xml:space="preserve"> </w:t>
      </w:r>
      <w:r>
        <w:rPr>
          <w:rFonts w:ascii="Times New Roman" w:hAnsi="Times New Roman"/>
          <w:color w:val="000000"/>
          <w:sz w:val="18"/>
        </w:rPr>
        <w:t>million, and $0.3</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240" w:after="283"/>
        <w:jc w:val="left"/>
        <w:rPr>
          <w:rFonts w:ascii="Times New Roman" w:hAnsi="Times New Roman"/>
          <w:sz w:val="20"/>
        </w:rPr>
      </w:pPr>
      <w:r>
        <w:rPr>
          <w:rFonts w:ascii="Times New Roman" w:hAnsi="Times New Roman"/>
          <w:color w:val="000000"/>
          <w:sz w:val="18"/>
        </w:rPr>
        <w:t>During the years ended December 31, 2023, 2022, and 2021, the Company recognized an aggregate of $25.5</w:t>
      </w:r>
      <w:r>
        <w:rPr>
          <w:rFonts w:ascii="Times New Roman" w:hAnsi="Times New Roman"/>
          <w:color w:val="000000"/>
          <w:sz w:val="20"/>
        </w:rPr>
        <w:t xml:space="preserve"> </w:t>
      </w:r>
      <w:r>
        <w:rPr>
          <w:rFonts w:ascii="Times New Roman" w:hAnsi="Times New Roman"/>
          <w:color w:val="000000"/>
          <w:sz w:val="18"/>
        </w:rPr>
        <w:t>million, $1.0</w:t>
      </w:r>
      <w:r>
        <w:rPr>
          <w:rFonts w:ascii="Times New Roman" w:hAnsi="Times New Roman"/>
          <w:color w:val="000000"/>
          <w:sz w:val="20"/>
        </w:rPr>
        <w:t xml:space="preserve"> </w:t>
      </w:r>
      <w:r>
        <w:rPr>
          <w:rFonts w:ascii="Times New Roman" w:hAnsi="Times New Roman"/>
          <w:color w:val="000000"/>
          <w:sz w:val="18"/>
        </w:rPr>
        <w:t>million, and $2.6</w:t>
      </w:r>
      <w:r>
        <w:rPr>
          <w:rFonts w:ascii="Times New Roman" w:hAnsi="Times New Roman"/>
          <w:color w:val="000000"/>
          <w:sz w:val="20"/>
        </w:rPr>
        <w:t xml:space="preserve"> </w:t>
      </w:r>
      <w:r>
        <w:rPr>
          <w:rFonts w:ascii="Times New Roman" w:hAnsi="Times New Roman"/>
          <w:color w:val="000000"/>
          <w:sz w:val="18"/>
        </w:rPr>
        <w:t>million, respectively, of revenue from the Genentech Agreement.</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2022, the Company also had recorded a contract asset of $4.9</w:t>
      </w:r>
      <w:r>
        <w:rPr>
          <w:rFonts w:ascii="Times New Roman" w:hAnsi="Times New Roman"/>
          <w:color w:val="000000"/>
          <w:sz w:val="20"/>
        </w:rPr>
        <w:t xml:space="preserve"> </w:t>
      </w:r>
      <w:r>
        <w:rPr>
          <w:rFonts w:ascii="Times New Roman" w:hAnsi="Times New Roman"/>
          <w:color w:val="000000"/>
          <w:sz w:val="18"/>
        </w:rPr>
        <w:t>million, which was classified as a current asset on the condensed consolidated balance sheet. The contract asset related to the amount of revenue recognized for which the right to payment was contingent upon conditions besides the passage of time. During the year ended December 31, 2023, such conditions were satisfied and $5.0</w:t>
      </w:r>
      <w:r>
        <w:rPr>
          <w:rFonts w:ascii="Times New Roman" w:hAnsi="Times New Roman"/>
          <w:color w:val="000000"/>
          <w:sz w:val="20"/>
        </w:rPr>
        <w:t xml:space="preserve"> </w:t>
      </w:r>
      <w:r>
        <w:rPr>
          <w:rFonts w:ascii="Times New Roman" w:hAnsi="Times New Roman"/>
          <w:color w:val="000000"/>
          <w:sz w:val="18"/>
        </w:rPr>
        <w:t>million was paid in cash to the Company in June 2023, at which point the contract asset was removed. As of December 31, 2023, no</w:t>
      </w:r>
      <w:r>
        <w:rPr>
          <w:rFonts w:ascii="Times New Roman" w:hAnsi="Times New Roman"/>
          <w:color w:val="000000"/>
          <w:sz w:val="20"/>
        </w:rPr>
        <w:t xml:space="preserve"> </w:t>
      </w:r>
      <w:r>
        <w:rPr>
          <w:rFonts w:ascii="Times New Roman" w:hAnsi="Times New Roman"/>
          <w:color w:val="000000"/>
          <w:sz w:val="18"/>
        </w:rPr>
        <w:t>amounts from such payment are recorded on the condensed consolidated balance sheet.</w:t>
      </w:r>
    </w:p>
    <w:p>
      <w:pPr>
        <w:pStyle w:val="TextBody"/>
        <w:bidi w:val="0"/>
        <w:spacing w:before="240" w:after="283"/>
        <w:jc w:val="left"/>
        <w:rPr>
          <w:rFonts w:ascii="Times New Roman" w:hAnsi="Times New Roman"/>
          <w:sz w:val="20"/>
        </w:rPr>
      </w:pPr>
      <w:r>
        <w:rPr>
          <w:rFonts w:ascii="Times New Roman" w:hAnsi="Times New Roman"/>
          <w:b/>
          <w:color w:val="000000"/>
          <w:sz w:val="18"/>
        </w:rPr>
        <w:t>12.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Intellectual Property License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has a Collaboration and License Agreement with D. E. Shaw Research, LLC ("D. E. Shaw Research"), which held 9,999,999</w:t>
      </w:r>
      <w:r>
        <w:rPr>
          <w:rFonts w:ascii="Times New Roman" w:hAnsi="Times New Roman"/>
          <w:color w:val="000000"/>
          <w:sz w:val="20"/>
        </w:rPr>
        <w:t xml:space="preserve"> </w:t>
      </w:r>
      <w:r>
        <w:rPr>
          <w:rFonts w:ascii="Times New Roman" w:hAnsi="Times New Roman"/>
          <w:color w:val="000000"/>
          <w:sz w:val="18"/>
        </w:rPr>
        <w:t>shares of Series A preferred stock and 1,557,875</w:t>
      </w:r>
      <w:r>
        <w:rPr>
          <w:rFonts w:ascii="Times New Roman" w:hAnsi="Times New Roman"/>
          <w:color w:val="000000"/>
          <w:sz w:val="20"/>
        </w:rPr>
        <w:t xml:space="preserve"> </w:t>
      </w:r>
      <w:r>
        <w:rPr>
          <w:rFonts w:ascii="Times New Roman" w:hAnsi="Times New Roman"/>
          <w:color w:val="000000"/>
          <w:sz w:val="18"/>
        </w:rPr>
        <w:t>shares of Series C preferred stock at December 31, 2019. In conjunction with the Company's initial public offering in 2020, such shares were converted into 3,281,253</w:t>
      </w:r>
      <w:r>
        <w:rPr>
          <w:rFonts w:ascii="Times New Roman" w:hAnsi="Times New Roman"/>
          <w:color w:val="000000"/>
          <w:sz w:val="20"/>
        </w:rPr>
        <w:t xml:space="preserve"> </w:t>
      </w:r>
      <w:r>
        <w:rPr>
          <w:rFonts w:ascii="Times New Roman" w:hAnsi="Times New Roman"/>
          <w:color w:val="000000"/>
          <w:sz w:val="18"/>
        </w:rPr>
        <w:t>shares of common stock of the Company. The contract provides that the parties will jointly conduct research efforts with the goal of identifying and developing product candidates. The original term of the contract was three years</w:t>
      </w:r>
      <w:r>
        <w:rPr>
          <w:rFonts w:ascii="Times New Roman" w:hAnsi="Times New Roman"/>
          <w:color w:val="000000"/>
          <w:sz w:val="20"/>
        </w:rPr>
        <w:t xml:space="preserve"> </w:t>
      </w:r>
      <w:r>
        <w:rPr>
          <w:rFonts w:ascii="Times New Roman" w:hAnsi="Times New Roman"/>
          <w:color w:val="000000"/>
          <w:sz w:val="18"/>
        </w:rPr>
        <w:t>and required the Company to pay an annual fee of $1.0</w:t>
      </w:r>
      <w:r>
        <w:rPr>
          <w:rFonts w:ascii="Times New Roman" w:hAnsi="Times New Roman"/>
          <w:color w:val="000000"/>
          <w:sz w:val="20"/>
        </w:rPr>
        <w:t xml:space="preserve"> </w:t>
      </w:r>
      <w:r>
        <w:rPr>
          <w:rFonts w:ascii="Times New Roman" w:hAnsi="Times New Roman"/>
          <w:color w:val="000000"/>
          <w:sz w:val="18"/>
        </w:rPr>
        <w:t>million. On June 15, 2020, the Company and D. E. Shaw Research agreed to amend the Collaboration and License Agreement (the "DESRES Agreement"). The DESRES Agreement extended the term of the agreement to August 16, 2025</w:t>
      </w:r>
      <w:r>
        <w:rPr>
          <w:rFonts w:ascii="Times New Roman" w:hAnsi="Times New Roman"/>
          <w:color w:val="000000"/>
          <w:sz w:val="20"/>
        </w:rPr>
        <w:t xml:space="preserve"> </w:t>
      </w:r>
      <w:r>
        <w:rPr>
          <w:rFonts w:ascii="Times New Roman" w:hAnsi="Times New Roman"/>
          <w:color w:val="000000"/>
          <w:sz w:val="18"/>
        </w:rPr>
        <w:t>and increased the annual fee from $1.0</w:t>
      </w:r>
      <w:r>
        <w:rPr>
          <w:rFonts w:ascii="Times New Roman" w:hAnsi="Times New Roman"/>
          <w:color w:val="000000"/>
          <w:sz w:val="20"/>
        </w:rPr>
        <w:t xml:space="preserve"> </w:t>
      </w:r>
      <w:r>
        <w:rPr>
          <w:rFonts w:ascii="Times New Roman" w:hAnsi="Times New Roman"/>
          <w:color w:val="000000"/>
          <w:sz w:val="18"/>
        </w:rPr>
        <w:t>million to $9.9</w:t>
      </w:r>
      <w:r>
        <w:rPr>
          <w:rFonts w:ascii="Times New Roman" w:hAnsi="Times New Roman"/>
          <w:color w:val="000000"/>
          <w:sz w:val="20"/>
        </w:rPr>
        <w:t xml:space="preserve"> </w:t>
      </w:r>
      <w:r>
        <w:rPr>
          <w:rFonts w:ascii="Times New Roman" w:hAnsi="Times New Roman"/>
          <w:color w:val="000000"/>
          <w:sz w:val="18"/>
        </w:rPr>
        <w:t>million. The DESRES Agreement also automatically renews for successive one-year</w:t>
      </w:r>
      <w:r>
        <w:rPr>
          <w:rFonts w:ascii="Times New Roman" w:hAnsi="Times New Roman"/>
          <w:color w:val="000000"/>
          <w:sz w:val="20"/>
        </w:rPr>
        <w:t xml:space="preserve"> </w:t>
      </w:r>
      <w:r>
        <w:rPr>
          <w:rFonts w:ascii="Times New Roman" w:hAnsi="Times New Roman"/>
          <w:color w:val="000000"/>
          <w:sz w:val="18"/>
        </w:rPr>
        <w:t>periods, unless either party provides at least one year notice of non-renewal. The annual fee during each of the one-year renewal terms is subject to mutual agreement of the Company and D. E. Shaw Research.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is obligated to pay potential development milestone payments under the terms of the DESRES Agreement up to $7.3</w:t>
      </w:r>
      <w:r>
        <w:rPr>
          <w:rFonts w:ascii="Times New Roman" w:hAnsi="Times New Roman"/>
          <w:color w:val="000000"/>
          <w:sz w:val="20"/>
        </w:rPr>
        <w:t xml:space="preserve"> </w:t>
      </w:r>
      <w:r>
        <w:rPr>
          <w:rFonts w:ascii="Times New Roman" w:hAnsi="Times New Roman"/>
          <w:color w:val="000000"/>
          <w:sz w:val="18"/>
        </w:rPr>
        <w:t>million per target, plus sales milestones and royalties, upon the achievement of certain specified contingent events. Such payments for achievement of development and regulatory milestones total up to $7.3</w:t>
      </w:r>
      <w:r>
        <w:rPr>
          <w:rFonts w:ascii="Times New Roman" w:hAnsi="Times New Roman"/>
          <w:color w:val="000000"/>
          <w:sz w:val="20"/>
        </w:rPr>
        <w:t xml:space="preserve"> </w:t>
      </w:r>
      <w:r>
        <w:rPr>
          <w:rFonts w:ascii="Times New Roman" w:hAnsi="Times New Roman"/>
          <w:color w:val="000000"/>
          <w:sz w:val="18"/>
        </w:rPr>
        <w:t>million in the aggregate for each of the first three products the Company develops and up to $6.3</w:t>
      </w:r>
      <w:r>
        <w:rPr>
          <w:rFonts w:ascii="Times New Roman" w:hAnsi="Times New Roman"/>
          <w:color w:val="000000"/>
          <w:sz w:val="20"/>
        </w:rPr>
        <w:t xml:space="preserve"> </w:t>
      </w:r>
      <w:r>
        <w:rPr>
          <w:rFonts w:ascii="Times New Roman" w:hAnsi="Times New Roman"/>
          <w:color w:val="000000"/>
          <w:sz w:val="18"/>
        </w:rPr>
        <w:t>million, in the aggregate, for each product the Company develops after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first three. The Company assessed the milestone and royalty events under the DESRES Agreement as of December 31, 2023 and 2022, concluding no such payments were due.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For the years ended December 31, 2023, 2022, and 2021, the Company recorded research and development expenses of $9.5</w:t>
      </w:r>
      <w:r>
        <w:rPr>
          <w:rFonts w:ascii="Times New Roman" w:hAnsi="Times New Roman"/>
          <w:color w:val="000000"/>
          <w:sz w:val="20"/>
        </w:rPr>
        <w:t xml:space="preserve"> </w:t>
      </w:r>
      <w:r>
        <w:rPr>
          <w:rFonts w:ascii="Times New Roman" w:hAnsi="Times New Roman"/>
          <w:color w:val="000000"/>
          <w:sz w:val="18"/>
        </w:rPr>
        <w:t>million, $9.4</w:t>
      </w:r>
      <w:r>
        <w:rPr>
          <w:rFonts w:ascii="Times New Roman" w:hAnsi="Times New Roman"/>
          <w:color w:val="000000"/>
          <w:sz w:val="20"/>
        </w:rPr>
        <w:t xml:space="preserve"> </w:t>
      </w:r>
      <w:r>
        <w:rPr>
          <w:rFonts w:ascii="Times New Roman" w:hAnsi="Times New Roman"/>
          <w:color w:val="000000"/>
          <w:sz w:val="18"/>
        </w:rPr>
        <w:t>million, and $9.5</w:t>
      </w:r>
      <w:r>
        <w:rPr>
          <w:rFonts w:ascii="Times New Roman" w:hAnsi="Times New Roman"/>
          <w:color w:val="000000"/>
          <w:sz w:val="20"/>
        </w:rPr>
        <w:t xml:space="preserve"> </w:t>
      </w:r>
      <w:r>
        <w:rPr>
          <w:rFonts w:ascii="Times New Roman" w:hAnsi="Times New Roman"/>
          <w:color w:val="000000"/>
          <w:sz w:val="18"/>
        </w:rPr>
        <w:t>million, respectively, under the DESRES Agreement on its consolidated statements of operations and comprehensive loss.</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and 2022, the Company had prepaid balances of $5.4</w:t>
      </w:r>
      <w:r>
        <w:rPr>
          <w:rFonts w:ascii="Times New Roman" w:hAnsi="Times New Roman"/>
          <w:color w:val="000000"/>
          <w:sz w:val="20"/>
        </w:rPr>
        <w:t xml:space="preserve"> </w:t>
      </w:r>
      <w:r>
        <w:rPr>
          <w:rFonts w:ascii="Times New Roman" w:hAnsi="Times New Roman"/>
          <w:color w:val="000000"/>
          <w:sz w:val="18"/>
        </w:rPr>
        <w:t>million and $4.9</w:t>
      </w:r>
      <w:r>
        <w:rPr>
          <w:rFonts w:ascii="Times New Roman" w:hAnsi="Times New Roman"/>
          <w:color w:val="000000"/>
          <w:sz w:val="20"/>
        </w:rPr>
        <w:t xml:space="preserve"> </w:t>
      </w:r>
      <w:r>
        <w:rPr>
          <w:rFonts w:ascii="Times New Roman" w:hAnsi="Times New Roman"/>
          <w:color w:val="000000"/>
          <w:sz w:val="18"/>
        </w:rPr>
        <w:t>million, respectively, under the DESRES Agreement on its consolidated balance sheets.</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and 2022, the Company had no</w:t>
      </w:r>
      <w:r>
        <w:rPr>
          <w:rFonts w:ascii="Times New Roman" w:hAnsi="Times New Roman"/>
          <w:color w:val="000000"/>
          <w:sz w:val="20"/>
        </w:rPr>
        <w:t xml:space="preserve"> </w:t>
      </w:r>
      <w:r>
        <w:rPr>
          <w:rFonts w:ascii="Times New Roman" w:hAnsi="Times New Roman"/>
          <w:color w:val="000000"/>
          <w:sz w:val="18"/>
        </w:rPr>
        <w:t>accrued expense and accounts payable balances under the DESRES Agreement on its consolidated balance sheets.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Other Research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has certain other research and license arrangements and other collaborations with third parties, which provide the Company with specified research and/or development services.</w:t>
      </w:r>
    </w:p>
    <w:p>
      <w:pPr>
        <w:pStyle w:val="TextBody"/>
        <w:bidi w:val="0"/>
        <w:spacing w:before="240" w:after="283"/>
        <w:jc w:val="left"/>
        <w:rPr>
          <w:rFonts w:ascii="Times New Roman" w:hAnsi="Times New Roman"/>
          <w:sz w:val="20"/>
        </w:rPr>
      </w:pPr>
      <w:r>
        <w:rPr>
          <w:rFonts w:ascii="Times New Roman" w:hAnsi="Times New Roman"/>
          <w:b/>
          <w:color w:val="000000"/>
          <w:sz w:val="18"/>
        </w:rPr>
        <w:t>13. Leases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399 Binney Street</w:t>
      </w:r>
    </w:p>
    <w:p>
      <w:pPr>
        <w:pStyle w:val="TextBody"/>
        <w:bidi w:val="0"/>
        <w:spacing w:before="240" w:after="283"/>
        <w:jc w:val="left"/>
        <w:rPr>
          <w:rFonts w:ascii="Times New Roman" w:hAnsi="Times New Roman"/>
          <w:sz w:val="20"/>
        </w:rPr>
      </w:pPr>
      <w:r>
        <w:rPr>
          <w:rFonts w:ascii="Times New Roman" w:hAnsi="Times New Roman"/>
          <w:color w:val="000000"/>
          <w:sz w:val="18"/>
        </w:rPr>
        <w:t>In December 2017, the Company entered into an operating lease agreement for 44,336</w:t>
      </w:r>
      <w:r>
        <w:rPr>
          <w:rFonts w:ascii="Times New Roman" w:hAnsi="Times New Roman"/>
          <w:color w:val="000000"/>
          <w:sz w:val="20"/>
        </w:rPr>
        <w:t xml:space="preserve"> </w:t>
      </w:r>
      <w:r>
        <w:rPr>
          <w:rFonts w:ascii="Times New Roman" w:hAnsi="Times New Roman"/>
          <w:color w:val="000000"/>
          <w:sz w:val="18"/>
        </w:rPr>
        <w:t>square feet of office and laboratory space at 399 Binney Street, Cambridge, Massachusetts, which was increased to 44,807</w:t>
      </w:r>
      <w:r>
        <w:rPr>
          <w:rFonts w:ascii="Times New Roman" w:hAnsi="Times New Roman"/>
          <w:color w:val="000000"/>
          <w:sz w:val="20"/>
        </w:rPr>
        <w:t xml:space="preserve"> </w:t>
      </w:r>
      <w:r>
        <w:rPr>
          <w:rFonts w:ascii="Times New Roman" w:hAnsi="Times New Roman"/>
          <w:color w:val="000000"/>
          <w:sz w:val="18"/>
        </w:rPr>
        <w:t>square feet in January 2018. The Company gained control of the leased space in January 2019 and, accordingly, recorded an operating lease right-of-use asset and liability at such time. The operating lease expires in April 2029, subject to certain renewal options, which have not been included in the Company’s operating lease right-of-use asset and liability, as the Company is not reasonably certain to exercise such options as of December 31, 2023.</w:t>
      </w:r>
    </w:p>
    <w:p>
      <w:pPr>
        <w:pStyle w:val="TextBody"/>
        <w:bidi w:val="0"/>
        <w:spacing w:before="240" w:after="283"/>
        <w:jc w:val="left"/>
        <w:rPr>
          <w:rFonts w:ascii="Times New Roman" w:hAnsi="Times New Roman"/>
          <w:sz w:val="20"/>
        </w:rPr>
      </w:pPr>
      <w:r>
        <w:rPr>
          <w:rFonts w:ascii="Times New Roman" w:hAnsi="Times New Roman"/>
          <w:color w:val="000000"/>
          <w:sz w:val="18"/>
        </w:rPr>
        <w:t>In September 2020, the Company entered into an amendment to its operating lease agreement to expand the leased area by 1,824</w:t>
      </w:r>
      <w:r>
        <w:rPr>
          <w:rFonts w:ascii="Times New Roman" w:hAnsi="Times New Roman"/>
          <w:color w:val="000000"/>
          <w:sz w:val="20"/>
        </w:rPr>
        <w:t xml:space="preserve"> </w:t>
      </w:r>
      <w:r>
        <w:rPr>
          <w:rFonts w:ascii="Times New Roman" w:hAnsi="Times New Roman"/>
          <w:color w:val="000000"/>
          <w:sz w:val="18"/>
        </w:rPr>
        <w:t>square feet of office space at 399 Binney Street, Cambridge, Massachusetts. The amendment to the operating lease agreement met the criteria to be accounted for as a separate operating lease. The Company gained control of the leased space in October 2020 and, accordingly, recorded an operating lease right-of-use asset and liability at such time. The operating lease right-of-use asset and lease liability recorded in connection with the amendment were not material. The amended operating lease expires in April 2029, subject to certain renewal options.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As discussed in Note 2, </w:t>
      </w:r>
      <w:r>
        <w:rPr>
          <w:rFonts w:ascii="Times New Roman" w:hAnsi="Times New Roman"/>
          <w:i/>
          <w:color w:val="000000"/>
          <w:sz w:val="18"/>
        </w:rPr>
        <w:t>Significant Accounting Policies</w:t>
      </w:r>
      <w:r>
        <w:rPr>
          <w:rFonts w:ascii="Times New Roman" w:hAnsi="Times New Roman"/>
          <w:color w:val="000000"/>
          <w:sz w:val="18"/>
        </w:rPr>
        <w:t>, the Company provided a letter of credit in the amount of $0.9</w:t>
      </w:r>
      <w:r>
        <w:rPr>
          <w:rFonts w:ascii="Times New Roman" w:hAnsi="Times New Roman"/>
          <w:color w:val="000000"/>
          <w:sz w:val="20"/>
        </w:rPr>
        <w:t xml:space="preserve"> </w:t>
      </w:r>
      <w:r>
        <w:rPr>
          <w:rFonts w:ascii="Times New Roman" w:hAnsi="Times New Roman"/>
          <w:color w:val="000000"/>
          <w:sz w:val="18"/>
        </w:rPr>
        <w:t>million with a financial institution, which expires commensurate with the lease in April 2029.</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the presentation of amounts recorded on the Company’s consolidated balance sheets for the operating lease at 399 Binney Street as of December 31, 2023 and 2022:</w:t>
      </w:r>
    </w:p>
    <w:tbl>
      <w:tblPr>
        <w:tblW w:w="6940" w:type="dxa"/>
        <w:jc w:val="left"/>
        <w:tblInd w:w="0" w:type="dxa"/>
        <w:tblLayout w:type="fixed"/>
        <w:tblCellMar>
          <w:top w:w="28" w:type="dxa"/>
          <w:left w:w="28" w:type="dxa"/>
          <w:bottom w:w="28" w:type="dxa"/>
          <w:right w:w="28" w:type="dxa"/>
        </w:tblCellMar>
      </w:tblPr>
      <w:tblGrid>
        <w:gridCol w:w="3681"/>
        <w:gridCol w:w="146"/>
        <w:gridCol w:w="299"/>
        <w:gridCol w:w="916"/>
        <w:gridCol w:w="146"/>
        <w:gridCol w:w="146"/>
        <w:gridCol w:w="299"/>
        <w:gridCol w:w="916"/>
        <w:gridCol w:w="39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22"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18,886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operating lease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21,056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18"/>
        </w:rPr>
        <w:t>The following table summarizes the effect of lease costs for the Company's operating lease at 399 Binney Street on the Company’s condensed consolidated statements of operations and comprehensive loss for the years ended December 31, 2023, 2022, and 2021:</w:t>
      </w:r>
      <w:r>
        <w:rPr>
          <w:rFonts w:ascii="Times New Roman" w:hAnsi="Times New Roman"/>
          <w:color w:val="000000"/>
          <w:sz w:val="20"/>
        </w:rPr>
        <w:t xml:space="preserve"> </w:t>
      </w:r>
    </w:p>
    <w:tbl>
      <w:tblPr>
        <w:tblW w:w="5743" w:type="dxa"/>
        <w:jc w:val="left"/>
        <w:tblInd w:w="0" w:type="dxa"/>
        <w:tblLayout w:type="fixed"/>
        <w:tblCellMar>
          <w:top w:w="28" w:type="dxa"/>
          <w:left w:w="28" w:type="dxa"/>
          <w:bottom w:w="28" w:type="dxa"/>
          <w:right w:w="28" w:type="dxa"/>
        </w:tblCellMar>
      </w:tblPr>
      <w:tblGrid>
        <w:gridCol w:w="2701"/>
        <w:gridCol w:w="146"/>
        <w:gridCol w:w="196"/>
        <w:gridCol w:w="511"/>
        <w:gridCol w:w="146"/>
        <w:gridCol w:w="146"/>
        <w:gridCol w:w="196"/>
        <w:gridCol w:w="511"/>
        <w:gridCol w:w="146"/>
        <w:gridCol w:w="146"/>
        <w:gridCol w:w="196"/>
        <w:gridCol w:w="51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05" w:type="dxa"/>
            <w:gridSpan w:val="1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3,262</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color w:val="000000"/>
          <w:sz w:val="18"/>
        </w:rPr>
        <w:t>The Company made cash payments of $4.3</w:t>
      </w:r>
      <w:r>
        <w:rPr>
          <w:rFonts w:ascii="Times New Roman" w:hAnsi="Times New Roman"/>
          <w:color w:val="000000"/>
          <w:sz w:val="20"/>
        </w:rPr>
        <w:t xml:space="preserve"> </w:t>
      </w:r>
      <w:r>
        <w:rPr>
          <w:rFonts w:ascii="Times New Roman" w:hAnsi="Times New Roman"/>
          <w:color w:val="000000"/>
          <w:sz w:val="18"/>
        </w:rPr>
        <w:t>million, $4.1</w:t>
      </w:r>
      <w:r>
        <w:rPr>
          <w:rFonts w:ascii="Times New Roman" w:hAnsi="Times New Roman"/>
          <w:color w:val="000000"/>
          <w:sz w:val="20"/>
        </w:rPr>
        <w:t xml:space="preserve"> </w:t>
      </w:r>
      <w:r>
        <w:rPr>
          <w:rFonts w:ascii="Times New Roman" w:hAnsi="Times New Roman"/>
          <w:color w:val="000000"/>
          <w:sz w:val="18"/>
        </w:rPr>
        <w:t>million, and $4.0</w:t>
      </w:r>
      <w:r>
        <w:rPr>
          <w:rFonts w:ascii="Times New Roman" w:hAnsi="Times New Roman"/>
          <w:color w:val="000000"/>
          <w:sz w:val="20"/>
        </w:rPr>
        <w:t xml:space="preserve"> </w:t>
      </w:r>
      <w:r>
        <w:rPr>
          <w:rFonts w:ascii="Times New Roman" w:hAnsi="Times New Roman"/>
          <w:color w:val="000000"/>
          <w:sz w:val="18"/>
        </w:rPr>
        <w:t>million under the operating lease agreement for 399 Binney Street during the years ended December 31, 2023, 2022, and 2021, respectively.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As of December 31, 2023, the minimum lease payments for the Company’s operating lease at 399 Binney Street for the next five years and thereafter are expected to be as follows:</w:t>
      </w:r>
    </w:p>
    <w:tbl>
      <w:tblPr>
        <w:tblW w:w="4843" w:type="dxa"/>
        <w:jc w:val="left"/>
        <w:tblInd w:w="0" w:type="dxa"/>
        <w:tblLayout w:type="fixed"/>
        <w:tblCellMar>
          <w:top w:w="28" w:type="dxa"/>
          <w:left w:w="28" w:type="dxa"/>
          <w:bottom w:w="28" w:type="dxa"/>
          <w:right w:w="28" w:type="dxa"/>
        </w:tblCellMar>
      </w:tblPr>
      <w:tblGrid>
        <w:gridCol w:w="3031"/>
        <w:gridCol w:w="146"/>
        <w:gridCol w:w="358"/>
        <w:gridCol w:w="1097"/>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2024</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4,377</w:t>
            </w:r>
          </w:p>
        </w:tc>
        <w:tc>
          <w:tcPr>
            <w:tcW w:w="211" w:type="dxa"/>
            <w:tcBorders/>
            <w:shd w:fill="CFF0FC"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4,503</w:t>
            </w:r>
          </w:p>
        </w:tc>
        <w:tc>
          <w:tcPr>
            <w:tcW w:w="211" w:type="dxa"/>
            <w:tcBorders/>
            <w:shd w:fill="FFFFFF" w:val="clear"/>
            <w:vAlign w:val="center"/>
          </w:tcPr>
          <w:p>
            <w:pPr>
              <w:pStyle w:val="TableContents"/>
              <w:bidi w:val="0"/>
              <w:spacing w:before="0" w:after="283"/>
              <w:jc w:val="left"/>
              <w:rPr/>
            </w:pPr>
            <w:r>
              <w:rPr/>
              <w:t> </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4,634</w:t>
            </w:r>
          </w:p>
        </w:tc>
        <w:tc>
          <w:tcPr>
            <w:tcW w:w="211" w:type="dxa"/>
            <w:tcBorders/>
            <w:shd w:fill="CFF0FC"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09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4,768</w:t>
            </w:r>
          </w:p>
        </w:tc>
        <w:tc>
          <w:tcPr>
            <w:tcW w:w="211" w:type="dxa"/>
            <w:tcBorders/>
            <w:shd w:fill="FFFFFF" w:val="clear"/>
            <w:vAlign w:val="center"/>
          </w:tcPr>
          <w:p>
            <w:pPr>
              <w:pStyle w:val="TableContents"/>
              <w:bidi w:val="0"/>
              <w:spacing w:before="0" w:after="283"/>
              <w:jc w:val="left"/>
              <w:rPr/>
            </w:pPr>
            <w:r>
              <w:rPr/>
              <w:t> </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4,906</w:t>
            </w:r>
          </w:p>
        </w:tc>
        <w:tc>
          <w:tcPr>
            <w:tcW w:w="211" w:type="dxa"/>
            <w:tcBorders/>
            <w:shd w:fill="CFF0FC"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payments</w:t>
            </w:r>
          </w:p>
        </w:tc>
        <w:tc>
          <w:tcPr>
            <w:tcW w:w="146" w:type="dxa"/>
            <w:tcBorders/>
            <w:shd w:fill="CFF0FC" w:val="clear"/>
            <w:vAlign w:val="center"/>
          </w:tcPr>
          <w:p>
            <w:pPr>
              <w:pStyle w:val="TableContents"/>
              <w:bidi w:val="0"/>
              <w:spacing w:before="0" w:after="283"/>
              <w:jc w:val="left"/>
              <w:rPr/>
            </w:pPr>
            <w:r>
              <w:rPr/>
              <w:t> </w:t>
            </w:r>
          </w:p>
        </w:tc>
        <w:tc>
          <w:tcPr>
            <w:tcW w:w="358" w:type="dxa"/>
            <w:tcBorders/>
            <w:shd w:fill="CFF0FC" w:val="clear"/>
            <w:vAlign w:val="center"/>
          </w:tcPr>
          <w:p>
            <w:pPr>
              <w:pStyle w:val="TableContents"/>
              <w:bidi w:val="0"/>
              <w:spacing w:before="0" w:after="283"/>
              <w:jc w:val="left"/>
              <w:rPr/>
            </w:pPr>
            <w:r>
              <w:rPr/>
              <w:t> </w:t>
            </w:r>
          </w:p>
        </w:tc>
        <w:tc>
          <w:tcPr>
            <w:tcW w:w="109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24,839</w:t>
            </w:r>
          </w:p>
        </w:tc>
        <w:tc>
          <w:tcPr>
            <w:tcW w:w="211" w:type="dxa"/>
            <w:tcBorders/>
            <w:shd w:fill="CFF0FC"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interest</w:t>
            </w:r>
          </w:p>
        </w:tc>
        <w:tc>
          <w:tcPr>
            <w:tcW w:w="146" w:type="dxa"/>
            <w:tcBorders/>
            <w:shd w:fill="FFFFFF" w:val="cle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Present value of operating lease liabilities</w:t>
            </w:r>
          </w:p>
        </w:tc>
        <w:tc>
          <w:tcPr>
            <w:tcW w:w="146" w:type="dxa"/>
            <w:tcBorders/>
            <w:shd w:fill="CFF0FC" w:val="cle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weighted-average remaining lease term and weighted-average discount rate of the Company's operating lease at 399 Binney Street were 5.33</w:t>
      </w:r>
      <w:r>
        <w:rPr>
          <w:rFonts w:ascii="Times New Roman" w:hAnsi="Times New Roman"/>
          <w:color w:val="000000"/>
          <w:sz w:val="20"/>
        </w:rPr>
        <w:t xml:space="preserve"> </w:t>
      </w:r>
      <w:r>
        <w:rPr>
          <w:rFonts w:ascii="Times New Roman" w:hAnsi="Times New Roman"/>
          <w:color w:val="000000"/>
          <w:sz w:val="18"/>
        </w:rPr>
        <w:t>years and 10.4%, respectively, at December 31, 2023.</w:t>
      </w:r>
    </w:p>
    <w:p>
      <w:pPr>
        <w:pStyle w:val="TextBody"/>
        <w:bidi w:val="0"/>
        <w:spacing w:before="240" w:after="283"/>
        <w:jc w:val="left"/>
        <w:rPr>
          <w:rFonts w:ascii="Times New Roman" w:hAnsi="Times New Roman"/>
          <w:sz w:val="20"/>
        </w:rPr>
      </w:pPr>
      <w:r>
        <w:rPr>
          <w:rFonts w:ascii="Times New Roman" w:hAnsi="Times New Roman"/>
          <w:color w:val="000000"/>
          <w:sz w:val="18"/>
        </w:rPr>
        <w:t>The weighted-average remaining lease term and weighted-average discount rate of the Company's operating lease at 399 Binney Street were 6.33</w:t>
      </w:r>
      <w:r>
        <w:rPr>
          <w:rFonts w:ascii="Times New Roman" w:hAnsi="Times New Roman"/>
          <w:color w:val="000000"/>
          <w:sz w:val="20"/>
        </w:rPr>
        <w:t xml:space="preserve"> </w:t>
      </w:r>
      <w:r>
        <w:rPr>
          <w:rFonts w:ascii="Times New Roman" w:hAnsi="Times New Roman"/>
          <w:color w:val="000000"/>
          <w:sz w:val="18"/>
        </w:rPr>
        <w:t>years and 10.4%, respectively, at December 31, 2022.</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60 Hampshire Street</w:t>
      </w:r>
    </w:p>
    <w:p>
      <w:pPr>
        <w:pStyle w:val="TextBody"/>
        <w:bidi w:val="0"/>
        <w:spacing w:before="240" w:after="283"/>
        <w:jc w:val="left"/>
        <w:rPr>
          <w:rFonts w:ascii="Times New Roman" w:hAnsi="Times New Roman"/>
          <w:sz w:val="20"/>
        </w:rPr>
      </w:pPr>
      <w:r>
        <w:rPr>
          <w:rFonts w:ascii="Times New Roman" w:hAnsi="Times New Roman"/>
          <w:color w:val="000000"/>
          <w:sz w:val="18"/>
        </w:rPr>
        <w:t>In May 2021, the Company entered into an operating lease agreement for 41,474</w:t>
      </w:r>
      <w:r>
        <w:rPr>
          <w:rFonts w:ascii="Times New Roman" w:hAnsi="Times New Roman"/>
          <w:color w:val="000000"/>
          <w:sz w:val="20"/>
        </w:rPr>
        <w:t xml:space="preserve"> </w:t>
      </w:r>
      <w:r>
        <w:rPr>
          <w:rFonts w:ascii="Times New Roman" w:hAnsi="Times New Roman"/>
          <w:color w:val="000000"/>
          <w:sz w:val="18"/>
        </w:rPr>
        <w:t>square feet of office and laboratory space at 60 Hampshire Street, Cambridge, Massachusetts. The Company gained control of the leased space in July 2022 and, accordingly, recorded an operating lease right-of-use asset and liability at such time. The operating lease expires in June 2032</w:t>
      </w:r>
      <w:r>
        <w:rPr>
          <w:rFonts w:ascii="Times New Roman" w:hAnsi="Times New Roman"/>
          <w:color w:val="000000"/>
          <w:sz w:val="20"/>
        </w:rPr>
        <w:t xml:space="preserve"> </w:t>
      </w:r>
      <w:r>
        <w:rPr>
          <w:rFonts w:ascii="Times New Roman" w:hAnsi="Times New Roman"/>
          <w:color w:val="000000"/>
          <w:sz w:val="18"/>
        </w:rPr>
        <w:t>and there are no renewal options.</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As discussed in Note 2, </w:t>
      </w:r>
      <w:r>
        <w:rPr>
          <w:rFonts w:ascii="Times New Roman" w:hAnsi="Times New Roman"/>
          <w:i/>
          <w:color w:val="000000"/>
          <w:sz w:val="18"/>
        </w:rPr>
        <w:t>Significant Accounting Policies</w:t>
      </w:r>
      <w:r>
        <w:rPr>
          <w:rFonts w:ascii="Times New Roman" w:hAnsi="Times New Roman"/>
          <w:color w:val="000000"/>
          <w:sz w:val="18"/>
        </w:rPr>
        <w:t>, the Company provided a letter of credit in the amount of $1.8</w:t>
      </w:r>
      <w:r>
        <w:rPr>
          <w:rFonts w:ascii="Times New Roman" w:hAnsi="Times New Roman"/>
          <w:color w:val="000000"/>
          <w:sz w:val="20"/>
        </w:rPr>
        <w:t xml:space="preserve"> </w:t>
      </w:r>
      <w:r>
        <w:rPr>
          <w:rFonts w:ascii="Times New Roman" w:hAnsi="Times New Roman"/>
          <w:color w:val="000000"/>
          <w:sz w:val="18"/>
        </w:rPr>
        <w:t>million with a financial institution, which expires commensurate with the lease in June 2032.</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the presentation of amounts recorded on the Company’s consolidated balance sheets for the operating lease at 60 Hampshire Street as of December 31, 2023 and 2022:</w:t>
      </w:r>
    </w:p>
    <w:tbl>
      <w:tblPr>
        <w:tblW w:w="6940" w:type="dxa"/>
        <w:jc w:val="left"/>
        <w:tblInd w:w="0" w:type="dxa"/>
        <w:tblLayout w:type="fixed"/>
        <w:tblCellMar>
          <w:top w:w="28" w:type="dxa"/>
          <w:left w:w="28" w:type="dxa"/>
          <w:bottom w:w="28" w:type="dxa"/>
          <w:right w:w="28" w:type="dxa"/>
        </w:tblCellMar>
      </w:tblPr>
      <w:tblGrid>
        <w:gridCol w:w="3681"/>
        <w:gridCol w:w="146"/>
        <w:gridCol w:w="299"/>
        <w:gridCol w:w="916"/>
        <w:gridCol w:w="146"/>
        <w:gridCol w:w="146"/>
        <w:gridCol w:w="299"/>
        <w:gridCol w:w="916"/>
        <w:gridCol w:w="39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22"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3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44,926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Current operating lease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34,580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Total operating lease liabilities</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18"/>
        </w:rPr>
        <w:t>The following table summarizes the effect of lease costs for the Company's operating lease at 60 Hampshire Street on the Company’s condensed consolidated statements of operations and comprehensive loss for the years ended December 31, 2023, 2022, and 2021:</w:t>
      </w:r>
      <w:r>
        <w:rPr>
          <w:rFonts w:ascii="Times New Roman" w:hAnsi="Times New Roman"/>
          <w:color w:val="000000"/>
          <w:sz w:val="20"/>
        </w:rPr>
        <w:t xml:space="preserve"> </w:t>
      </w:r>
    </w:p>
    <w:tbl>
      <w:tblPr>
        <w:tblW w:w="5578" w:type="dxa"/>
        <w:jc w:val="left"/>
        <w:tblInd w:w="0" w:type="dxa"/>
        <w:tblLayout w:type="fixed"/>
        <w:tblCellMar>
          <w:top w:w="28" w:type="dxa"/>
          <w:left w:w="28" w:type="dxa"/>
          <w:bottom w:w="28" w:type="dxa"/>
          <w:right w:w="28" w:type="dxa"/>
        </w:tblCellMar>
      </w:tblPr>
      <w:tblGrid>
        <w:gridCol w:w="2701"/>
        <w:gridCol w:w="146"/>
        <w:gridCol w:w="196"/>
        <w:gridCol w:w="511"/>
        <w:gridCol w:w="146"/>
        <w:gridCol w:w="146"/>
        <w:gridCol w:w="196"/>
        <w:gridCol w:w="511"/>
        <w:gridCol w:w="146"/>
        <w:gridCol w:w="146"/>
        <w:gridCol w:w="196"/>
        <w:gridCol w:w="346"/>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0" w:type="dxa"/>
            <w:gridSpan w:val="10"/>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color w:val="000000"/>
          <w:sz w:val="18"/>
        </w:rPr>
        <w:t>The Company made cash payments of $5.0</w:t>
      </w:r>
      <w:r>
        <w:rPr>
          <w:rFonts w:ascii="Times New Roman" w:hAnsi="Times New Roman"/>
          <w:color w:val="000000"/>
          <w:sz w:val="20"/>
        </w:rPr>
        <w:t xml:space="preserve"> </w:t>
      </w:r>
      <w:r>
        <w:rPr>
          <w:rFonts w:ascii="Times New Roman" w:hAnsi="Times New Roman"/>
          <w:color w:val="000000"/>
          <w:sz w:val="18"/>
        </w:rPr>
        <w:t>million, $11.5</w:t>
      </w:r>
      <w:r>
        <w:rPr>
          <w:rFonts w:ascii="Times New Roman" w:hAnsi="Times New Roman"/>
          <w:color w:val="000000"/>
          <w:sz w:val="20"/>
        </w:rPr>
        <w:t xml:space="preserve"> </w:t>
      </w:r>
      <w:r>
        <w:rPr>
          <w:rFonts w:ascii="Times New Roman" w:hAnsi="Times New Roman"/>
          <w:color w:val="000000"/>
          <w:sz w:val="18"/>
        </w:rPr>
        <w:t>million, and $0</w:t>
      </w:r>
      <w:r>
        <w:rPr>
          <w:rFonts w:ascii="Times New Roman" w:hAnsi="Times New Roman"/>
          <w:color w:val="000000"/>
          <w:sz w:val="20"/>
        </w:rPr>
        <w:t xml:space="preserve"> </w:t>
      </w:r>
      <w:r>
        <w:rPr>
          <w:rFonts w:ascii="Times New Roman" w:hAnsi="Times New Roman"/>
          <w:color w:val="000000"/>
          <w:sz w:val="18"/>
        </w:rPr>
        <w:t>under the operating lease agreement for 60 Hampshire Street during the years ended December 31, 2023, 2022, and 2021, respectively.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As of December 31, 2023, the minimum lease payments for the Company’s operating lease at 60 Hampshire Street for the next five years and thereafter are expected to be as follows:</w:t>
      </w:r>
    </w:p>
    <w:tbl>
      <w:tblPr>
        <w:tblW w:w="4843" w:type="dxa"/>
        <w:jc w:val="left"/>
        <w:tblInd w:w="0" w:type="dxa"/>
        <w:tblLayout w:type="fixed"/>
        <w:tblCellMar>
          <w:top w:w="28" w:type="dxa"/>
          <w:left w:w="28" w:type="dxa"/>
          <w:bottom w:w="28" w:type="dxa"/>
          <w:right w:w="28" w:type="dxa"/>
        </w:tblCellMar>
      </w:tblPr>
      <w:tblGrid>
        <w:gridCol w:w="3031"/>
        <w:gridCol w:w="146"/>
        <w:gridCol w:w="332"/>
        <w:gridCol w:w="1123"/>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2024</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112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5,109</w:t>
            </w:r>
          </w:p>
        </w:tc>
        <w:tc>
          <w:tcPr>
            <w:tcW w:w="211" w:type="dxa"/>
            <w:tcBorders/>
            <w:shd w:fill="CFF0FC"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5,257</w:t>
            </w:r>
          </w:p>
        </w:tc>
        <w:tc>
          <w:tcPr>
            <w:tcW w:w="211" w:type="dxa"/>
            <w:tcBorders/>
            <w:shd w:fill="FFFFFF" w:val="clear"/>
            <w:vAlign w:val="center"/>
          </w:tcPr>
          <w:p>
            <w:pPr>
              <w:pStyle w:val="TableContents"/>
              <w:bidi w:val="0"/>
              <w:spacing w:before="0" w:after="283"/>
              <w:jc w:val="left"/>
              <w:rPr/>
            </w:pPr>
            <w:r>
              <w:rPr/>
              <w:t> </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112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5,409</w:t>
            </w:r>
          </w:p>
        </w:tc>
        <w:tc>
          <w:tcPr>
            <w:tcW w:w="211" w:type="dxa"/>
            <w:tcBorders/>
            <w:shd w:fill="CFF0FC"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vAlign w:val="center"/>
          </w:tcPr>
          <w:p>
            <w:pPr>
              <w:pStyle w:val="TableContents"/>
              <w:bidi w:val="0"/>
              <w:spacing w:before="0" w:after="283"/>
              <w:jc w:val="left"/>
              <w:rPr/>
            </w:pPr>
            <w:r>
              <w:rPr/>
              <w:t> </w:t>
            </w:r>
          </w:p>
        </w:tc>
        <w:tc>
          <w:tcPr>
            <w:tcW w:w="332" w:type="dxa"/>
            <w:tcBorders/>
            <w:shd w:fill="FFFFFF" w:val="clear"/>
            <w:vAlign w:val="center"/>
          </w:tcPr>
          <w:p>
            <w:pPr>
              <w:pStyle w:val="TableContents"/>
              <w:bidi w:val="0"/>
              <w:spacing w:before="0" w:after="283"/>
              <w:jc w:val="left"/>
              <w:rPr/>
            </w:pPr>
            <w:r>
              <w:rPr/>
              <w:t> </w:t>
            </w:r>
          </w:p>
        </w:tc>
        <w:tc>
          <w:tcPr>
            <w:tcW w:w="1123"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5,565</w:t>
            </w:r>
          </w:p>
        </w:tc>
        <w:tc>
          <w:tcPr>
            <w:tcW w:w="211" w:type="dxa"/>
            <w:tcBorders/>
            <w:shd w:fill="FFFFFF" w:val="clear"/>
            <w:vAlign w:val="center"/>
          </w:tcPr>
          <w:p>
            <w:pPr>
              <w:pStyle w:val="TableContents"/>
              <w:bidi w:val="0"/>
              <w:spacing w:before="0" w:after="283"/>
              <w:jc w:val="left"/>
              <w:rPr/>
            </w:pPr>
            <w:r>
              <w:rPr/>
              <w:t> </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112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5,726</w:t>
            </w:r>
          </w:p>
        </w:tc>
        <w:tc>
          <w:tcPr>
            <w:tcW w:w="211" w:type="dxa"/>
            <w:tcBorders/>
            <w:shd w:fill="CFF0FC"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21,358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payments</w:t>
            </w:r>
          </w:p>
        </w:tc>
        <w:tc>
          <w:tcPr>
            <w:tcW w:w="146" w:type="dxa"/>
            <w:tcBorders/>
            <w:shd w:fill="CFF0FC" w:val="clear"/>
            <w:vAlign w:val="center"/>
          </w:tcPr>
          <w:p>
            <w:pPr>
              <w:pStyle w:val="TableContents"/>
              <w:bidi w:val="0"/>
              <w:spacing w:before="0" w:after="283"/>
              <w:jc w:val="left"/>
              <w:rPr/>
            </w:pPr>
            <w:r>
              <w:rPr/>
              <w:t> </w:t>
            </w:r>
          </w:p>
        </w:tc>
        <w:tc>
          <w:tcPr>
            <w:tcW w:w="332" w:type="dxa"/>
            <w:tcBorders/>
            <w:shd w:fill="CFF0FC" w:val="clear"/>
            <w:vAlign w:val="center"/>
          </w:tcPr>
          <w:p>
            <w:pPr>
              <w:pStyle w:val="TableContents"/>
              <w:bidi w:val="0"/>
              <w:spacing w:before="0" w:after="283"/>
              <w:jc w:val="left"/>
              <w:rPr/>
            </w:pPr>
            <w:r>
              <w:rPr/>
              <w:t> </w:t>
            </w:r>
          </w:p>
        </w:tc>
        <w:tc>
          <w:tcPr>
            <w:tcW w:w="1123"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48,424</w:t>
            </w:r>
          </w:p>
        </w:tc>
        <w:tc>
          <w:tcPr>
            <w:tcW w:w="211" w:type="dxa"/>
            <w:tcBorders/>
            <w:shd w:fill="CFF0FC" w:val="clear"/>
            <w:vAlign w:val="center"/>
          </w:tcPr>
          <w:p>
            <w:pPr>
              <w:pStyle w:val="TableContents"/>
              <w:bidi w:val="0"/>
              <w:spacing w:before="0" w:after="283"/>
              <w:jc w:val="left"/>
              <w:rPr/>
            </w:pPr>
            <w:r>
              <w:rPr/>
              <w:t> </w:t>
            </w:r>
          </w:p>
        </w:tc>
      </w:tr>
      <w:tr>
        <w:trPr/>
        <w:tc>
          <w:tcPr>
            <w:tcW w:w="303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interest</w:t>
            </w:r>
          </w:p>
        </w:tc>
        <w:tc>
          <w:tcPr>
            <w:tcW w:w="146" w:type="dxa"/>
            <w:tcBorders/>
            <w:shd w:fill="FFFFFF" w:val="clear"/>
            <w:vAlign w:val="center"/>
          </w:tcPr>
          <w:p>
            <w:pPr>
              <w:pStyle w:val="TableContents"/>
              <w:bidi w:val="0"/>
              <w:spacing w:before="0" w:after="283"/>
              <w:jc w:val="left"/>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(13,845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Present value of operating lease liabilities</w:t>
            </w:r>
          </w:p>
        </w:tc>
        <w:tc>
          <w:tcPr>
            <w:tcW w:w="146" w:type="dxa"/>
            <w:tcBorders/>
            <w:shd w:fill="CFF0FC" w:val="clear"/>
            <w:vAlign w:val="center"/>
          </w:tcPr>
          <w:p>
            <w:pPr>
              <w:pStyle w:val="TableContents"/>
              <w:bidi w:val="0"/>
              <w:spacing w:before="0" w:after="283"/>
              <w:jc w:val="left"/>
              <w:rPr/>
            </w:pPr>
            <w:r>
              <w:rPr/>
              <w:t> </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34,579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weighted-average remaining lease term and weighted-average discount rate of the Company's operating lease at 60 Hampshire Street were 8.50</w:t>
      </w:r>
      <w:r>
        <w:rPr>
          <w:rFonts w:ascii="Times New Roman" w:hAnsi="Times New Roman"/>
          <w:color w:val="000000"/>
          <w:sz w:val="20"/>
        </w:rPr>
        <w:t xml:space="preserve"> </w:t>
      </w:r>
      <w:r>
        <w:rPr>
          <w:rFonts w:ascii="Times New Roman" w:hAnsi="Times New Roman"/>
          <w:color w:val="000000"/>
          <w:sz w:val="18"/>
        </w:rPr>
        <w:t>years and 8.0%, respectively, at December 31, 2023.</w:t>
      </w:r>
    </w:p>
    <w:p>
      <w:pPr>
        <w:pStyle w:val="TextBody"/>
        <w:bidi w:val="0"/>
        <w:spacing w:before="240" w:after="283"/>
        <w:jc w:val="left"/>
        <w:rPr>
          <w:rFonts w:ascii="Times New Roman" w:hAnsi="Times New Roman"/>
          <w:sz w:val="20"/>
        </w:rPr>
      </w:pPr>
      <w:r>
        <w:rPr>
          <w:rFonts w:ascii="Times New Roman" w:hAnsi="Times New Roman"/>
          <w:color w:val="000000"/>
          <w:sz w:val="18"/>
        </w:rPr>
        <w:t>The weighted-average remaining lease term and weighted-average discount rate of the Company's operating lease at 60 Hampshire Street were 9.50</w:t>
      </w:r>
      <w:r>
        <w:rPr>
          <w:rFonts w:ascii="Times New Roman" w:hAnsi="Times New Roman"/>
          <w:color w:val="000000"/>
          <w:sz w:val="20"/>
        </w:rPr>
        <w:t xml:space="preserve"> </w:t>
      </w:r>
      <w:r>
        <w:rPr>
          <w:rFonts w:ascii="Times New Roman" w:hAnsi="Times New Roman"/>
          <w:color w:val="000000"/>
          <w:sz w:val="18"/>
        </w:rPr>
        <w:t>years and 8.0%, respectively, at December 31, 2022.</w:t>
      </w:r>
    </w:p>
    <w:p>
      <w:pPr>
        <w:pStyle w:val="TextBody"/>
        <w:bidi w:val="0"/>
        <w:spacing w:before="240" w:after="283"/>
        <w:jc w:val="left"/>
        <w:rPr>
          <w:rFonts w:ascii="Times New Roman" w:hAnsi="Times New Roman"/>
          <w:sz w:val="20"/>
        </w:rPr>
      </w:pPr>
      <w:r>
        <w:rPr>
          <w:rFonts w:ascii="Times New Roman" w:hAnsi="Times New Roman"/>
          <w:b/>
          <w:color w:val="000000"/>
          <w:sz w:val="18"/>
        </w:rPr>
        <w:t>14.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During the years ended December 31, 2023, 2022, and 2021, the Company recorded no</w:t>
      </w:r>
      <w:r>
        <w:rPr>
          <w:rFonts w:ascii="Times New Roman" w:hAnsi="Times New Roman"/>
          <w:color w:val="000000"/>
          <w:sz w:val="20"/>
        </w:rPr>
        <w:t xml:space="preserve"> </w:t>
      </w:r>
      <w:r>
        <w:rPr>
          <w:rFonts w:ascii="Times New Roman" w:hAnsi="Times New Roman"/>
          <w:color w:val="000000"/>
          <w:sz w:val="18"/>
        </w:rPr>
        <w:t>income tax benefits due to losses incurred and the uncertainty of future taxable income.</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A reconciliation of the expected income tax (benefit) computed using the U.S. federal statutory income tax rate to the Company’s effective income tax rate is as follows for the years ended December 31, 2023, 2022, and 2021:</w:t>
      </w:r>
      <w:r>
        <w:rPr>
          <w:rFonts w:ascii="Times New Roman" w:hAnsi="Times New Roman"/>
          <w:color w:val="000000"/>
          <w:sz w:val="20"/>
        </w:rPr>
        <w:t xml:space="preserve"> </w:t>
      </w:r>
    </w:p>
    <w:tbl>
      <w:tblPr>
        <w:tblW w:w="5842" w:type="dxa"/>
        <w:jc w:val="left"/>
        <w:tblInd w:w="0" w:type="dxa"/>
        <w:tblLayout w:type="fixed"/>
        <w:tblCellMar>
          <w:top w:w="28" w:type="dxa"/>
          <w:left w:w="28" w:type="dxa"/>
          <w:bottom w:w="28" w:type="dxa"/>
          <w:right w:w="28" w:type="dxa"/>
        </w:tblCellMar>
      </w:tblPr>
      <w:tblGrid>
        <w:gridCol w:w="3286"/>
        <w:gridCol w:w="146"/>
        <w:gridCol w:w="691"/>
        <w:gridCol w:w="146"/>
        <w:gridCol w:w="691"/>
        <w:gridCol w:w="146"/>
        <w:gridCol w:w="73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w:t>
            </w:r>
          </w:p>
        </w:tc>
      </w:tr>
      <w:tr>
        <w:trPr/>
        <w:tc>
          <w:tcPr>
            <w:tcW w:w="3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2021</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computed at federal statutory rate</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46" w:type="dxa"/>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State taxes, net of federal benefit</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46" w:type="dxa"/>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valuation allowance</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146" w:type="dxa"/>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IPR&amp;D</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R&amp;D credit carryovers</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w:t>
            </w:r>
          </w:p>
        </w:tc>
        <w:tc>
          <w:tcPr>
            <w:tcW w:w="146" w:type="dxa"/>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Permanent differences</w:t>
            </w:r>
          </w:p>
        </w:tc>
        <w:tc>
          <w:tcPr>
            <w:tcW w:w="146" w:type="dxa"/>
            <w:tcBorders/>
            <w:shd w:fill="CFF0FC" w:val="cle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18"/>
        </w:rPr>
        <w:t>The Company’s deferred tax assets and liabilities at December 31, 2023 and 2022, consist of the following:</w:t>
      </w:r>
      <w:r>
        <w:rPr>
          <w:rFonts w:ascii="Times New Roman" w:hAnsi="Times New Roman"/>
          <w:color w:val="000000"/>
          <w:sz w:val="20"/>
        </w:rPr>
        <w:t xml:space="preserve"> </w:t>
      </w:r>
    </w:p>
    <w:tbl>
      <w:tblPr>
        <w:tblW w:w="5179" w:type="dxa"/>
        <w:jc w:val="left"/>
        <w:tblInd w:w="0" w:type="dxa"/>
        <w:tblLayout w:type="fixed"/>
        <w:tblCellMar>
          <w:top w:w="28" w:type="dxa"/>
          <w:left w:w="28" w:type="dxa"/>
          <w:bottom w:w="28" w:type="dxa"/>
          <w:right w:w="28" w:type="dxa"/>
        </w:tblCellMar>
      </w:tblPr>
      <w:tblGrid>
        <w:gridCol w:w="2436"/>
        <w:gridCol w:w="146"/>
        <w:gridCol w:w="196"/>
        <w:gridCol w:w="751"/>
        <w:gridCol w:w="166"/>
        <w:gridCol w:w="146"/>
        <w:gridCol w:w="196"/>
        <w:gridCol w:w="751"/>
        <w:gridCol w:w="391"/>
      </w:tblGrid>
      <w:tr>
        <w:trPr/>
        <w:tc>
          <w:tcPr>
            <w:tcW w:w="2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vAlign w:val="center"/>
          </w:tcPr>
          <w:p>
            <w:pPr>
              <w:pStyle w:val="TableContents"/>
              <w:bidi w:val="0"/>
              <w:spacing w:before="0" w:after="283"/>
              <w:jc w:val="center"/>
              <w:rPr/>
            </w:pPr>
            <w:r>
              <w:rPr/>
              <w:t> </w:t>
            </w:r>
          </w:p>
        </w:tc>
      </w:tr>
      <w:tr>
        <w:trPr/>
        <w:tc>
          <w:tcPr>
            <w:tcW w:w="24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operating losses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141,453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119,688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Tax credit carryforwards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30,593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Capitalized R&amp;D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90,273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55,303</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 liability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18,307</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14,510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Intangibles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1,875</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gross deferred tax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248,114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4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Valuation allowance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(299,829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(230,518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3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deferred tax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17,596</w:t>
            </w:r>
          </w:p>
        </w:tc>
        <w:tc>
          <w:tcPr>
            <w:tcW w:w="391" w:type="dxa"/>
            <w:tcBorders/>
            <w:shd w:fill="FFFFFF" w:val="clear"/>
            <w:vAlign w:val="center"/>
          </w:tcPr>
          <w:p>
            <w:pPr>
              <w:pStyle w:val="TableContents"/>
              <w:bidi w:val="0"/>
              <w:spacing w:before="0" w:after="283"/>
              <w:jc w:val="left"/>
              <w:rPr/>
            </w:pPr>
            <w:r>
              <w:rPr/>
              <w:t> </w:t>
            </w:r>
          </w:p>
        </w:tc>
      </w:tr>
      <w:tr>
        <w:trPr/>
        <w:tc>
          <w:tcPr>
            <w:tcW w:w="24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24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(17,596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3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(17,596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Company has incurred net operating losses ("NOLs") since inception. As of December 31, 2023 and 2022, the Company had federal NOL carryforwards of $498.0</w:t>
      </w:r>
      <w:r>
        <w:rPr>
          <w:rFonts w:ascii="Times New Roman" w:hAnsi="Times New Roman"/>
          <w:color w:val="000000"/>
          <w:sz w:val="20"/>
        </w:rPr>
        <w:t xml:space="preserve"> </w:t>
      </w:r>
      <w:r>
        <w:rPr>
          <w:rFonts w:ascii="Times New Roman" w:hAnsi="Times New Roman"/>
          <w:color w:val="000000"/>
          <w:sz w:val="18"/>
        </w:rPr>
        <w:t>million and $412.1</w:t>
      </w:r>
      <w:r>
        <w:rPr>
          <w:rFonts w:ascii="Times New Roman" w:hAnsi="Times New Roman"/>
          <w:color w:val="000000"/>
          <w:sz w:val="20"/>
        </w:rPr>
        <w:t xml:space="preserve"> </w:t>
      </w:r>
      <w:r>
        <w:rPr>
          <w:rFonts w:ascii="Times New Roman" w:hAnsi="Times New Roman"/>
          <w:color w:val="000000"/>
          <w:sz w:val="18"/>
        </w:rPr>
        <w:t>million, respectively, available to reduce taxable income, of which $43.1</w:t>
      </w:r>
      <w:r>
        <w:rPr>
          <w:rFonts w:ascii="Times New Roman" w:hAnsi="Times New Roman"/>
          <w:color w:val="000000"/>
          <w:sz w:val="20"/>
        </w:rPr>
        <w:t xml:space="preserve"> </w:t>
      </w:r>
      <w:r>
        <w:rPr>
          <w:rFonts w:ascii="Times New Roman" w:hAnsi="Times New Roman"/>
          <w:color w:val="000000"/>
          <w:sz w:val="18"/>
        </w:rPr>
        <w:t>million expire beginning in 2035</w:t>
      </w:r>
      <w:r>
        <w:rPr>
          <w:rFonts w:ascii="Times New Roman" w:hAnsi="Times New Roman"/>
          <w:color w:val="000000"/>
          <w:sz w:val="20"/>
        </w:rPr>
        <w:t xml:space="preserve"> </w:t>
      </w:r>
      <w:r>
        <w:rPr>
          <w:rFonts w:ascii="Times New Roman" w:hAnsi="Times New Roman"/>
          <w:color w:val="000000"/>
          <w:sz w:val="18"/>
        </w:rPr>
        <w:t>and $454.9</w:t>
      </w:r>
      <w:r>
        <w:rPr>
          <w:rFonts w:ascii="Times New Roman" w:hAnsi="Times New Roman"/>
          <w:color w:val="000000"/>
          <w:sz w:val="20"/>
        </w:rPr>
        <w:t xml:space="preserve"> </w:t>
      </w:r>
      <w:r>
        <w:rPr>
          <w:rFonts w:ascii="Times New Roman" w:hAnsi="Times New Roman"/>
          <w:color w:val="000000"/>
          <w:sz w:val="18"/>
        </w:rPr>
        <w:t>million do not expire. The Company also has state NOL carryforwards of $559.7</w:t>
      </w:r>
      <w:r>
        <w:rPr>
          <w:rFonts w:ascii="Times New Roman" w:hAnsi="Times New Roman"/>
          <w:color w:val="000000"/>
          <w:sz w:val="20"/>
        </w:rPr>
        <w:t xml:space="preserve"> </w:t>
      </w:r>
      <w:r>
        <w:rPr>
          <w:rFonts w:ascii="Times New Roman" w:hAnsi="Times New Roman"/>
          <w:color w:val="000000"/>
          <w:sz w:val="18"/>
        </w:rPr>
        <w:t>million and $501.7</w:t>
      </w:r>
      <w:r>
        <w:rPr>
          <w:rFonts w:ascii="Times New Roman" w:hAnsi="Times New Roman"/>
          <w:color w:val="000000"/>
          <w:sz w:val="20"/>
        </w:rPr>
        <w:t xml:space="preserve"> </w:t>
      </w:r>
      <w:r>
        <w:rPr>
          <w:rFonts w:ascii="Times New Roman" w:hAnsi="Times New Roman"/>
          <w:color w:val="000000"/>
          <w:sz w:val="18"/>
        </w:rPr>
        <w:t>million as of December 31, 2023 and 2022, respectively, available to reduce future state taxable income, which expire at various dates beginning in 2035.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2023 and 2022, the Company also had available federal research and development tax credit carryforwards of $38.9</w:t>
      </w:r>
      <w:r>
        <w:rPr>
          <w:rFonts w:ascii="Times New Roman" w:hAnsi="Times New Roman"/>
          <w:color w:val="000000"/>
          <w:sz w:val="20"/>
        </w:rPr>
        <w:t xml:space="preserve"> </w:t>
      </w:r>
      <w:r>
        <w:rPr>
          <w:rFonts w:ascii="Times New Roman" w:hAnsi="Times New Roman"/>
          <w:color w:val="000000"/>
          <w:sz w:val="18"/>
        </w:rPr>
        <w:t>million and $25.9</w:t>
      </w:r>
      <w:r>
        <w:rPr>
          <w:rFonts w:ascii="Times New Roman" w:hAnsi="Times New Roman"/>
          <w:color w:val="000000"/>
          <w:sz w:val="20"/>
        </w:rPr>
        <w:t xml:space="preserve"> </w:t>
      </w:r>
      <w:r>
        <w:rPr>
          <w:rFonts w:ascii="Times New Roman" w:hAnsi="Times New Roman"/>
          <w:color w:val="000000"/>
          <w:sz w:val="18"/>
        </w:rPr>
        <w:t>million, respectively, available to reduce future tax liabilities, which begin to expire beginning in 2035. The Company also has state research and development tax credit carryforwards of $8.5</w:t>
      </w:r>
      <w:r>
        <w:rPr>
          <w:rFonts w:ascii="Times New Roman" w:hAnsi="Times New Roman"/>
          <w:color w:val="000000"/>
          <w:sz w:val="20"/>
        </w:rPr>
        <w:t xml:space="preserve"> </w:t>
      </w:r>
      <w:r>
        <w:rPr>
          <w:rFonts w:ascii="Times New Roman" w:hAnsi="Times New Roman"/>
          <w:color w:val="000000"/>
          <w:sz w:val="18"/>
        </w:rPr>
        <w:t>million and $5.6</w:t>
      </w:r>
      <w:r>
        <w:rPr>
          <w:rFonts w:ascii="Times New Roman" w:hAnsi="Times New Roman"/>
          <w:color w:val="000000"/>
          <w:sz w:val="20"/>
        </w:rPr>
        <w:t xml:space="preserve"> </w:t>
      </w:r>
      <w:r>
        <w:rPr>
          <w:rFonts w:ascii="Times New Roman" w:hAnsi="Times New Roman"/>
          <w:color w:val="000000"/>
          <w:sz w:val="18"/>
        </w:rPr>
        <w:t>million as of December 31, 2023 and 2022, respectively, available to reduce future state tax liabilities, which expire at various dates beginning in 2030.</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Utilization of NOL and research and development credit carryforwards may generally be subject to limitation under Sections 382 and 383 of the Internal Revenue Code of 1986 ("Sections 382 and 383") due to ownership changes that have occurred previously or could occur in the future. Such ownership changes may limit the amount of NOL and research and development credit carryforwards that can be utilized annually to offset any post-ownership change in taxable income and tax, respectively. The most recent Section 382 study was performed by the Company up to December 31, 2023, through which it was noted that a historic ownership change has likely occurred. Nonetheless, the Company has concluded that, as of December 31, 2023, the prospective utilization of NOL and research and development credit carryforwards from inception through December 31, 2023 (and, therefore, the corresponding Federal and state deferred tax assets) should not be restricted by Sections 382 and 383, although ownership changes after December 31, 2023 could impact the Company’s ability to utilize such tax attributes in the future.</w:t>
      </w:r>
    </w:p>
    <w:p>
      <w:pPr>
        <w:pStyle w:val="TextBody"/>
        <w:bidi w:val="0"/>
        <w:spacing w:before="240" w:after="283"/>
        <w:jc w:val="left"/>
        <w:rPr>
          <w:rFonts w:ascii="Times New Roman" w:hAnsi="Times New Roman"/>
          <w:sz w:val="20"/>
        </w:rPr>
      </w:pPr>
      <w:r>
        <w:rPr>
          <w:rFonts w:ascii="Times New Roman" w:hAnsi="Times New Roman"/>
          <w:color w:val="000000"/>
          <w:sz w:val="18"/>
        </w:rPr>
        <w:t>The Company recorded a valuation allowance against its deferred tax assets for the years ended December 31, 2023 and 2022, because the Company’s management believes it is more likely than not that such assets will not be realized. The valuation allowance increased by approximately $69.3</w:t>
      </w:r>
      <w:r>
        <w:rPr>
          <w:rFonts w:ascii="Times New Roman" w:hAnsi="Times New Roman"/>
          <w:color w:val="000000"/>
          <w:sz w:val="20"/>
        </w:rPr>
        <w:t xml:space="preserve"> </w:t>
      </w:r>
      <w:r>
        <w:rPr>
          <w:rFonts w:ascii="Times New Roman" w:hAnsi="Times New Roman"/>
          <w:color w:val="000000"/>
          <w:sz w:val="18"/>
        </w:rPr>
        <w:t>million and $87.8</w:t>
      </w:r>
      <w:r>
        <w:rPr>
          <w:rFonts w:ascii="Times New Roman" w:hAnsi="Times New Roman"/>
          <w:color w:val="000000"/>
          <w:sz w:val="20"/>
        </w:rPr>
        <w:t xml:space="preserve"> </w:t>
      </w:r>
      <w:r>
        <w:rPr>
          <w:rFonts w:ascii="Times New Roman" w:hAnsi="Times New Roman"/>
          <w:color w:val="000000"/>
          <w:sz w:val="18"/>
        </w:rPr>
        <w:t>million for the years ended December 31, 2023 and 2022, respectively, primarily as a result of operating losses generated with no corresponding financial statement benefit.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had no</w:t>
      </w:r>
      <w:r>
        <w:rPr>
          <w:rFonts w:ascii="Times New Roman" w:hAnsi="Times New Roman"/>
          <w:color w:val="000000"/>
          <w:sz w:val="20"/>
        </w:rPr>
        <w:t xml:space="preserve"> </w:t>
      </w:r>
      <w:r>
        <w:rPr>
          <w:rFonts w:ascii="Times New Roman" w:hAnsi="Times New Roman"/>
          <w:color w:val="000000"/>
          <w:sz w:val="18"/>
        </w:rPr>
        <w:t>unrecognized tax benefits as of December 31, 2023 and 2022.</w:t>
      </w:r>
    </w:p>
    <w:p>
      <w:pPr>
        <w:pStyle w:val="TextBody"/>
        <w:bidi w:val="0"/>
        <w:spacing w:before="240" w:after="283"/>
        <w:jc w:val="left"/>
        <w:rPr>
          <w:rFonts w:ascii="Times New Roman" w:hAnsi="Times New Roman"/>
          <w:sz w:val="20"/>
        </w:rPr>
      </w:pPr>
      <w:r>
        <w:rPr>
          <w:rFonts w:ascii="Times New Roman" w:hAnsi="Times New Roman"/>
          <w:color w:val="000000"/>
          <w:sz w:val="18"/>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w:t>
      </w:r>
      <w:r>
        <w:rPr>
          <w:rFonts w:ascii="Times New Roman" w:hAnsi="Times New Roman"/>
          <w:color w:val="000000"/>
          <w:sz w:val="20"/>
        </w:rPr>
        <w:t xml:space="preserve"> </w:t>
      </w:r>
      <w:r>
        <w:rPr>
          <w:rFonts w:ascii="Times New Roman" w:hAnsi="Times New Roman"/>
          <w:color w:val="000000"/>
          <w:sz w:val="18"/>
        </w:rPr>
        <w:t>The Company’s tax years are still open under statute from inception to the present.</w:t>
      </w:r>
    </w:p>
    <w:p>
      <w:pPr>
        <w:pStyle w:val="TextBody"/>
        <w:bidi w:val="0"/>
        <w:spacing w:before="240" w:after="283"/>
        <w:jc w:val="left"/>
        <w:rPr>
          <w:rFonts w:ascii="Times New Roman" w:hAnsi="Times New Roman"/>
          <w:sz w:val="20"/>
        </w:rPr>
      </w:pPr>
      <w:r>
        <w:rPr>
          <w:rFonts w:ascii="Times New Roman" w:hAnsi="Times New Roman"/>
          <w:color w:val="000000"/>
          <w:sz w:val="18"/>
        </w:rPr>
        <w:t>In 2017, the Tax Cuts and Jobs Act of 2017 ("2017 Tax Act") was signed into law. Amongst other provisions, the 2017 Tax Act requires taxpayers to capitalize and amortize research and experimental (R&amp;D) expenditures under Section 174 for tax years beginning after December 31, 2021. As such, the rule noted became effective for the Company during the year ended December 31, 2022, ultimately resulting in the capitalization of certain R&amp;D costs within its tax provision. The Company will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amortize such costs for tax purposes over 5 years if the R&amp;D was performed in the United States and over 15 years if the R&amp;D was performed outside the United States.</w:t>
      </w:r>
    </w:p>
    <w:p>
      <w:pPr>
        <w:pStyle w:val="TextBody"/>
        <w:bidi w:val="0"/>
        <w:spacing w:before="240" w:after="283"/>
        <w:jc w:val="left"/>
        <w:rPr>
          <w:rFonts w:ascii="Times New Roman" w:hAnsi="Times New Roman"/>
          <w:sz w:val="20"/>
        </w:rPr>
      </w:pPr>
      <w:r>
        <w:rPr>
          <w:rFonts w:ascii="Times New Roman" w:hAnsi="Times New Roman"/>
          <w:color w:val="000000"/>
          <w:sz w:val="18"/>
        </w:rPr>
        <w:t>In 2020, the Coronavirus Aid, Relief and Economic Security Act ("CARES Act") was signed into law. The CARES Act lifts certain deduction limitations originally imposed by the 2017 Tax Act. Corporate taxpayers may carryback NOLs originating during 2018 through 2020 for up to five years, which was not previously allowed under the 2017 Tax Act. The CARES Act also eliminates the 80% of taxable income limitations by allowing corporate entities to fully utilize NOL carryforwards to offset taxable income in 2018, 2019, or 2020. Taxpayers may generally deduct interest up to the sum of 50% of adjusted taxable income plus business interest income (30% limit under the 2017 Tax Act) for tax years beginning January 1, 2019 and 2020. The CARES Act allows taxpayers with alternative minimum tax credits to claim a refund in 2020 for the entire amount of the credits instead of recovering the credits through refunds over a period of years, as originally enacted by the 2017 Tax Act. In addition, the CARES Act raises the corporate charitable deduction limit to 25% of taxable income and makes qualified improvement property generally eligible for 15-year</w:t>
      </w:r>
      <w:r>
        <w:rPr>
          <w:rFonts w:ascii="Times New Roman" w:hAnsi="Times New Roman"/>
          <w:color w:val="000000"/>
          <w:sz w:val="20"/>
        </w:rPr>
        <w:t xml:space="preserve"> </w:t>
      </w:r>
      <w:r>
        <w:rPr>
          <w:rFonts w:ascii="Times New Roman" w:hAnsi="Times New Roman"/>
          <w:color w:val="000000"/>
          <w:sz w:val="18"/>
        </w:rPr>
        <w:t>cost-recovery and 100% bonus depreciation. The enactment of the CARES Act did not result in any adjustments to the Company’s income tax provision for the years ended December 31, 2023, 2022, and 2021, or to the Company’s net deferred tax assets as of December 31, 2023 and 2022, since the Company has not recorded any U.S. Federal or state income tax benefits for the net losses incurred in any year due to the uncertainty of realizing a benefit from such items.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15. Employee Benefits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2016, the Company established a defined-contribution plan under Section 401(k) of the Internal Revenue Code (the "401(k) Plan"). The 401(k) Plan covers all employees who meet defined minimum age and service requirements and allows participants to defer a portion of their annual compensation on a pre-tax basis. The Company made matching contributions to the 401(k) Plan of $2.6</w:t>
      </w:r>
      <w:r>
        <w:rPr>
          <w:rFonts w:ascii="Times New Roman" w:hAnsi="Times New Roman"/>
          <w:color w:val="000000"/>
          <w:sz w:val="20"/>
        </w:rPr>
        <w:t xml:space="preserve"> </w:t>
      </w:r>
      <w:r>
        <w:rPr>
          <w:rFonts w:ascii="Times New Roman" w:hAnsi="Times New Roman"/>
          <w:color w:val="000000"/>
          <w:sz w:val="18"/>
        </w:rPr>
        <w:t>million, $2.3</w:t>
      </w:r>
      <w:r>
        <w:rPr>
          <w:rFonts w:ascii="Times New Roman" w:hAnsi="Times New Roman"/>
          <w:color w:val="000000"/>
          <w:sz w:val="20"/>
        </w:rPr>
        <w:t xml:space="preserve"> </w:t>
      </w:r>
      <w:r>
        <w:rPr>
          <w:rFonts w:ascii="Times New Roman" w:hAnsi="Times New Roman"/>
          <w:color w:val="000000"/>
          <w:sz w:val="18"/>
        </w:rPr>
        <w:t>million, and $1.2</w:t>
      </w:r>
      <w:r>
        <w:rPr>
          <w:rFonts w:ascii="Times New Roman" w:hAnsi="Times New Roman"/>
          <w:color w:val="000000"/>
          <w:sz w:val="20"/>
        </w:rPr>
        <w:t xml:space="preserve"> </w:t>
      </w:r>
      <w:r>
        <w:rPr>
          <w:rFonts w:ascii="Times New Roman" w:hAnsi="Times New Roman"/>
          <w:color w:val="000000"/>
          <w:sz w:val="18"/>
        </w:rPr>
        <w:t>million for the years ended December 31, 2023, 2022, and 2021.</w:t>
      </w:r>
    </w:p>
    <w:p>
      <w:pPr>
        <w:pStyle w:val="TextBody"/>
        <w:bidi w:val="0"/>
        <w:spacing w:before="240" w:after="283"/>
        <w:jc w:val="left"/>
        <w:rPr>
          <w:rFonts w:ascii="Times New Roman" w:hAnsi="Times New Roman"/>
          <w:sz w:val="20"/>
        </w:rPr>
      </w:pPr>
      <w:r>
        <w:rPr>
          <w:rFonts w:ascii="Times New Roman" w:hAnsi="Times New Roman"/>
          <w:b/>
          <w:color w:val="000000"/>
          <w:sz w:val="18"/>
        </w:rPr>
        <w:t>16. Subsequent Events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preparing the consolidated financial statements as of December 31, 2023, the Company evaluated subsequent events for recognition and measurement purposes through the filing date of this Annual Report on Form 10-K. The Company concluded that no events or transactions have occurred that require disclosure in the accompanying consolidated financial statements, except as otherwise described in the notes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EXHIBIT INDEX</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18"/>
                  <w:u w:val="single"/>
                </w:rPr>
                <w:t>Agreement and Plan of Merger dated April 15, 2021 by and among the Registrant, Elixir Merger Sub I, Inc., Elixir Merger Sub II, LLC, ZebiAI Therapeutics, Inc., and Shareholder Representative Services LLC (incorporated by reference to Exhibit 2.1 to the Registrant’s Form 8-K (File No. 001-39385) filed on April 16, 2021).</w:t>
              </w:r>
            </w:hyperlink>
            <w:r>
              <w:rPr>
                <w:rFonts w:ascii="Times New Roman" w:hAnsi="Times New Roman"/>
                <w:color w:val="000000"/>
                <w:sz w:val="18"/>
              </w:rPr>
              <w:t xml:space="preserve">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18"/>
                  <w:u w:val="single"/>
                </w:rPr>
                <w:t>Fourth Amended and Restated Certificate of Incorporation of the Registrant (incorporated by reference to Exhibit 3.1 to the Registrant’s Form 10-K (File No. 001-39385) filed on February 23, 2023).</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18"/>
                  <w:u w:val="single"/>
                </w:rPr>
                <w:t>Amended and Restated Bylaws of the Registrant (incorporated by reference to Exhibit 3.2 to the Registrant’s Form 8-K (File No. 001-39385) filed on July 21,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18"/>
                  <w:u w:val="single"/>
                </w:rPr>
                <w:t>Specimen stock certificate evidencing the shares of common stock (incorporated by reference to Exhibit 4.1 to the Registrant's Registration Statement on Form S-1/A (File No. 333-239412) filed on July 9,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lay-ex4_2.htm">
              <w:r>
                <w:rPr>
                  <w:rStyle w:val="InternetLink"/>
                  <w:rFonts w:ascii="Times New Roman" w:hAnsi="Times New Roman"/>
                  <w:color w:val="0000FF"/>
                  <w:sz w:val="18"/>
                  <w:u w:val="single"/>
                </w:rPr>
                <w:t>Description of Securities.</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18"/>
                  <w:u w:val="single"/>
                </w:rPr>
                <w:t>2016 Stock Option and Grant Plan, and form of award agreements thereunder (incorporated by reference to Exhibit 10.1 of the Registrant’s Registration Statement on Form S-1 (File No. 333-239412) filed on June 24,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18"/>
                  <w:u w:val="single"/>
                </w:rPr>
                <w:t>2020 Stock Option and Incentive Plan, and form of award agreements thereunder (incorporated by reference to Exhibit 10.2 to the Registrant's Form 10-K (File No. 001-39385) filed on February 24, 2022).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18"/>
                  <w:u w:val="single"/>
                </w:rPr>
                <w:t>2020 Employee Stock Purchase Plan (incorporated by reference to Exhibit 10.3 of the Registrant’s Registration Statement on Form S-1/A (File No. 333-239412) filed on July 9,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18"/>
                  <w:u w:val="single"/>
                </w:rPr>
                <w:t>Senior Executive Cash Bonus Plan (incorporated by reference to Exhibit 10.4 of the Registrant’s Registration Statement on Form S-1 (File No. 333-239412) filed on June 24,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18"/>
                  <w:u w:val="single"/>
                </w:rPr>
                <w:t>Amended and Restated Non-Employee Director Compensation Policy, effective as of June 1, 2023 (incorporated by reference to Exhibit 10.2 to the Registrant's Form 10-Q (File No. 001-39385) filed on August 8, 2023).</w:t>
              </w:r>
            </w:hyperlink>
            <w:hyperlink r:id="rId23">
              <w:r>
                <w:rPr>
                  <w:rStyle w:val="InternetLink"/>
                  <w:rFonts w:ascii="Times New Roman" w:hAnsi="Times New Roman"/>
                  <w:color w:val="0000FF"/>
                  <w:sz w:val="18"/>
                </w:rPr>
                <w:t xml:space="preserve"> </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18"/>
                  <w:u w:val="single"/>
                </w:rPr>
                <w:t>Form of Indemnification Agreement between the Registrant and each of its directors and executive officers (incorporated by reference to Exhibit 10.6 of the Registrant’s Registration Statement on Form S-1 (File No. 333-239412) filed on June 24,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18"/>
                  <w:u w:val="single"/>
                </w:rPr>
                <w:t>Form of Amended and Restated Employment Agreement (incorporated by reference to Exhibit 10.8 of the Registrant’s Registration Statement on Form S-1/A (File No. 333-239412) filed on July 9,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18"/>
                  <w:u w:val="single"/>
                </w:rPr>
                <w:t>Amended and Restated Employment Agreement, by and between the Registrant and Sanjiv K. Patel dated March 25, 2020 (incorporated by reference to Exhibit 10.9 of the Registrant’s Registration Statement on Form S-1 (File No. 333-239412) filed on June 24,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18"/>
                  <w:u w:val="single"/>
                </w:rPr>
                <w:t>Retention Agreement by and between the Registrant and Donald Bergstrom, dated May 10, 2021 (incorporated by reference to Exhibit 10.2 of the Registrant’s Form 10-Q (File No. 001-39385) filed on August 12, 2021).</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18"/>
                  <w:u w:val="single"/>
                </w:rPr>
                <w:t>Retention Agreement by and between the Registrant and Peter Rahmer, dated August 3, 2023 (incorporated by reference to Exhibit 10.3 to the Registrant's Form 10-Q (File No. 001-39385) filed on August 8, 2023).</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18"/>
                  <w:u w:val="single"/>
                </w:rPr>
                <w:t>Amended and Restated Collaboration and License Agreement, by and between the Registrant and D. E. Shaw Research, LLC, dated June 15, 2020 (incorporated by reference to Exhibit 10.10 of the Registrant’s Registration Statement on Form S-1 (File No. 333-239412) filed on June 24, 2020).</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58"/>
        <w:gridCol w:w="146"/>
        <w:gridCol w:w="9501"/>
      </w:tblGrid>
      <w:tr>
        <w:trPr/>
        <w:tc>
          <w:tcPr>
            <w:tcW w:w="5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501" w:type="dxa"/>
            <w:tcBorders/>
            <w:vAlign w:val="center"/>
          </w:tcPr>
          <w:p>
            <w:pPr>
              <w:pStyle w:val="TableContents"/>
              <w:bidi w:val="0"/>
              <w:spacing w:before="0" w:after="283"/>
              <w:jc w:val="left"/>
              <w:rPr>
                <w:sz w:val="4"/>
                <w:szCs w:val="4"/>
              </w:rPr>
            </w:pPr>
            <w:r>
              <w:rPr>
                <w:sz w:val="4"/>
                <w:szCs w:val="4"/>
              </w:rPr>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18"/>
                  <w:u w:val="single"/>
                </w:rPr>
                <w:t>Amendment No. AR1 to Amended and Restated Collaboration and License Agreement, by and between the Registrant and D. E. Shaw Research, LLC, dated February 4, 2021 (incorporated by reference to Exhibit 10.10 to the Registrant’s Registration Statement on Form S-1 (File No. 333-255583) filed with the SEC on April 28, 2021).</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18"/>
                  <w:u w:val="single"/>
                </w:rPr>
                <w:t>Amendment No. AR2 to Amended and Restated Collaboration and License Agreement, by and between the Registrant and D. E. Shaw Research, LLC, dated May 12, 2021 (incorporated by reference to Exhibit 10.4 to the Registrant’s Form 10-Q (File No. 001-39385) filed on May 13, 2021).</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18"/>
                  <w:u w:val="single"/>
                </w:rPr>
                <w:t>Amendment No. AR3 to Amended and Restated Collaboration and License Agreement, by and between the</w:t>
              </w:r>
            </w:hyperlink>
            <w:r>
              <w:rPr>
                <w:rFonts w:ascii="Times New Roman" w:hAnsi="Times New Roman"/>
                <w:color w:val="000000"/>
                <w:sz w:val="20"/>
              </w:rPr>
              <w:t xml:space="preserve"> </w:t>
            </w:r>
            <w:hyperlink r:id="rId33">
              <w:r>
                <w:rPr>
                  <w:rStyle w:val="InternetLink"/>
                  <w:rFonts w:ascii="Times New Roman" w:hAnsi="Times New Roman"/>
                  <w:color w:val="0000FF"/>
                  <w:sz w:val="18"/>
                  <w:u w:val="single"/>
                </w:rPr>
                <w:t>Registrant and D.E. Shaw Research, LLC, dated January 27, 2022 (incorporated by reference to Exhibit 10.1 to the Registrant’s Form 10-Q (File No. 001-39385) filed on May 5, 2022).</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18"/>
                  <w:u w:val="single"/>
                </w:rPr>
                <w:t>Amendment No. AR4 to Amended and Restated Collaboration and License Agreement, by and between the Registrant and D.E. Shaw Research, LLC, dated March 22, 2023 (incorporated by reference to Exhibit 10.1 to the Registrant's Form 10-Q (File No. 001-39385) filed on August 8, 2023).</w:t>
              </w:r>
            </w:hyperlink>
            <w:hyperlink r:id="rId35">
              <w:r>
                <w:rPr>
                  <w:rStyle w:val="InternetLink"/>
                  <w:rFonts w:ascii="Times New Roman" w:hAnsi="Times New Roman"/>
                  <w:color w:val="0000FF"/>
                  <w:sz w:val="18"/>
                </w:rPr>
                <w:t xml:space="preserve"> </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18"/>
                  <w:u w:val="single"/>
                </w:rPr>
                <w:t>Amendment No. AR5 to Amended and Restated Collaboration and License Agreement, by and between the Registrant and D.E. Shaw Research, LLC, dated August 4, 2023 (incorporated by reference to Exhibit 10.1 to the Registrant's Form 10-Q (File No. 001-39385) filed on November 2, 2023).</w:t>
              </w:r>
            </w:hyperlink>
            <w:hyperlink r:id="rId37">
              <w:r>
                <w:rPr>
                  <w:rStyle w:val="InternetLink"/>
                  <w:rFonts w:ascii="Times New Roman" w:hAnsi="Times New Roman"/>
                  <w:color w:val="0000FF"/>
                  <w:sz w:val="18"/>
                </w:rPr>
                <w:t xml:space="preserve"> </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18"/>
                  <w:u w:val="single"/>
                </w:rPr>
                <w:t>Collaboration and License Agreement, by and between the Registrant and Genentech, Inc. and F. Hoffmann-La Roche Ltd, dated as of December 11, 2020 (incorporated by reference to Exhibit 10.10 to the Registrant’s Form 10-K (File No. 001-39385) filed on March 25, 2021)</w:t>
              </w:r>
            </w:hyperlink>
            <w:r>
              <w:rPr>
                <w:rFonts w:ascii="Times New Roman" w:hAnsi="Times New Roman"/>
                <w:color w:val="000000"/>
                <w:sz w:val="18"/>
              </w:rPr>
              <w:t>.</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18"/>
                  <w:u w:val="single"/>
                </w:rPr>
                <w:t>First Amendment to Collaboration and License Agreement, by and between the Registrant and Genentech, Inc. and F. Hoffmann-La Roche Ltd, dated February 2, 2022 (incorporated by reference to Exhibit 10.2 to the Registrant’s Form 10-Q (File No. 001-39385) filed on May 5, 2022).</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18"/>
                  <w:u w:val="single"/>
                </w:rPr>
                <w:t>Registration Rights Agreement by and between the Registrant and the stockholders of ZebiAI Therapeutics, Inc. dated April 22, 2021 (incorporated by reference to Exhibit 10.14 to the Registrant’s Registration Statement on Form S-1 (File No. 333-255583) filed on April 28, 2021).</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18"/>
                  <w:u w:val="single"/>
                </w:rPr>
                <w:t>Lease Agreement between the Registrant and ARE-MA REGION NO. 58, LLC, dated as of January 10, 2018 (incorporated by reference to Exhibit 10.7 of the Registrant’s Registration Statement on Form S-1 (File No. 333-239412) filed on June 24, 2020).</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18"/>
                  <w:u w:val="single"/>
                </w:rPr>
                <w:t>Second Amendment to Lease, dated as of September 23, 2020, between the Registrant and ARE-MA REGION NO. 58, LLC (incorporated by reference to Exhibit 10.7 of the Registrant’s Form 10-Q (File No. 001-39385) filed on November 12, 2020).</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18"/>
                  <w:u w:val="single"/>
                </w:rPr>
                <w:t>Lease by and between the Registrant and BMR-Hampshire, LLC, dated May 26, 2021 (incorporated by reference to Exhibit 10.5 of the Registrant’s Form 10-Q (File No. 001-39385) filed on August 12, 2021).</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18"/>
                  <w:u w:val="single"/>
                </w:rPr>
                <w:t>List of Subsidiaries of Registrant (incorporated by reference to Exhibit 21.1 of the Registrant’s Form 10-K (File No. 001-39385) filed on February 24, 2022).</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lay-ex23_1.htm">
              <w:r>
                <w:rPr>
                  <w:rStyle w:val="InternetLink"/>
                  <w:rFonts w:ascii="Times New Roman" w:hAnsi="Times New Roman"/>
                  <w:color w:val="0000FF"/>
                  <w:sz w:val="18"/>
                  <w:u w:val="single"/>
                </w:rPr>
                <w:t>Consent of Ernst &amp; Young LLP, independent registered public accounting firm.</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oa">
              <w:r>
                <w:rPr>
                  <w:rStyle w:val="InternetLink"/>
                  <w:rFonts w:ascii="Times New Roman" w:hAnsi="Times New Roman"/>
                  <w:color w:val="0000FF"/>
                  <w:sz w:val="18"/>
                  <w:u w:val="single"/>
                </w:rPr>
                <w:t>Power of Attorney (included on signature page).</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lay-ex31_1.htm">
              <w:r>
                <w:rPr>
                  <w:rStyle w:val="InternetLink"/>
                  <w:rFonts w:ascii="Times New Roman" w:hAnsi="Times New Roman"/>
                  <w:color w:val="0000FF"/>
                  <w:sz w:val="18"/>
                  <w:u w:val="single"/>
                </w:rPr>
                <w:t>Certification of Principal Executive Officer Pursuant to Rules 13a-14(a) or 15d-14(a) under the Securities Exchange Act of 1934, as Adopted Pursuant to Section 302 of the Sarbanes-Oxley Act of 2002.</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lay-ex31_2.htm">
              <w:r>
                <w:rPr>
                  <w:rStyle w:val="InternetLink"/>
                  <w:rFonts w:ascii="Times New Roman" w:hAnsi="Times New Roman"/>
                  <w:color w:val="0000FF"/>
                  <w:sz w:val="18"/>
                  <w:u w:val="single"/>
                </w:rPr>
                <w:t>Certification of Principal Financial Officer Pursuant to Rules 13a-14(a) or 15d-14(a) under the Securities Exchange Act of 1934, as Adopted Pursuant to Section 302 of the Sarbanes-Oxley Act of 2002.</w:t>
              </w:r>
            </w:hyperlink>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lay-ex32_1.htm">
              <w:r>
                <w:rPr>
                  <w:rStyle w:val="InternetLink"/>
                  <w:rFonts w:ascii="Times New Roman" w:hAnsi="Times New Roman"/>
                  <w:color w:val="0000FF"/>
                  <w:sz w:val="18"/>
                  <w:u w:val="single"/>
                </w:rPr>
                <w:t>Certification of Principal Executive Officer and Principal Financial Officer Pursuant to 18 U.S.C. Section 1350, as Adopted Pursuant to Section 906 of the Sarbanes-Oxley Act of 2002.</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003" w:type="dxa"/>
        <w:jc w:val="left"/>
        <w:tblInd w:w="0" w:type="dxa"/>
        <w:tblLayout w:type="fixed"/>
        <w:tblCellMar>
          <w:top w:w="28" w:type="dxa"/>
          <w:left w:w="28" w:type="dxa"/>
          <w:bottom w:w="28" w:type="dxa"/>
          <w:right w:w="28" w:type="dxa"/>
        </w:tblCellMar>
      </w:tblPr>
      <w:tblGrid>
        <w:gridCol w:w="886"/>
        <w:gridCol w:w="146"/>
        <w:gridCol w:w="5971"/>
      </w:tblGrid>
      <w:tr>
        <w:trPr/>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lay-ex97_1.htm">
              <w:r>
                <w:rPr>
                  <w:rStyle w:val="InternetLink"/>
                  <w:rFonts w:ascii="Times New Roman" w:hAnsi="Times New Roman"/>
                  <w:color w:val="0000FF"/>
                  <w:sz w:val="18"/>
                  <w:u w:val="single"/>
                </w:rPr>
                <w:t>Registrant's Compensation Recovery Policy, adopted as of September 29, 2023.</w:t>
              </w:r>
            </w:hyperlink>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Filed herewith.</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Portions of this exhibit (indicated by asterisks) were omitted in accordance with the rules of Item 601(b)(10) of Regulation S-K.</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Indicates a management contract or any compensatory plan, contract or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45" w:name="signatures"/>
      <w:bookmarkEnd w:id="45"/>
      <w:r>
        <w:rPr>
          <w:rFonts w:ascii="Times New Roman" w:hAnsi="Times New Roman"/>
          <w:b/>
          <w:color w:val="000000"/>
          <w:sz w:val="18"/>
        </w:rPr>
        <w:t>SIGNATURES</w:t>
      </w:r>
    </w:p>
    <w:p>
      <w:pPr>
        <w:pStyle w:val="TextBody"/>
        <w:bidi w:val="0"/>
        <w:spacing w:before="240" w:after="240"/>
        <w:jc w:val="left"/>
        <w:rPr>
          <w:rFonts w:ascii="Times New Roman" w:hAnsi="Times New Roman"/>
          <w:sz w:val="20"/>
        </w:rPr>
      </w:pPr>
      <w:r>
        <w:rPr>
          <w:rFonts w:ascii="Times New Roman" w:hAnsi="Times New Roman"/>
          <w:color w:val="000000"/>
          <w:sz w:val="18"/>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18"/>
        </w:rPr>
        <w:t>.</w:t>
      </w:r>
    </w:p>
    <w:tbl>
      <w:tblPr>
        <w:tblW w:w="5212" w:type="dxa"/>
        <w:jc w:val="left"/>
        <w:tblInd w:w="0" w:type="dxa"/>
        <w:tblLayout w:type="fixed"/>
        <w:tblCellMar>
          <w:top w:w="28" w:type="dxa"/>
          <w:left w:w="28" w:type="dxa"/>
          <w:bottom w:w="28" w:type="dxa"/>
          <w:right w:w="28" w:type="dxa"/>
        </w:tblCellMar>
      </w:tblPr>
      <w:tblGrid>
        <w:gridCol w:w="1861"/>
        <w:gridCol w:w="109"/>
        <w:gridCol w:w="361"/>
        <w:gridCol w:w="2881"/>
      </w:tblGrid>
      <w:tr>
        <w:trPr/>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Relay Therapeutics, Inc.</w:t>
            </w:r>
            <w:r>
              <w:rPr>
                <w:rFonts w:ascii="Times New Roman" w:hAnsi="Times New Roman"/>
                <w:color w:val="000000"/>
                <w:sz w:val="18"/>
              </w:rPr>
              <w:t xml:space="preserve">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22,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8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Sanjiv K. Patel</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Sanjiv K. Patel, M.D.</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 xml:space="preserve">President and Chief Executive Officer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spacing w:before="240" w:after="283"/>
        <w:jc w:val="center"/>
        <w:rPr>
          <w:rFonts w:ascii="Times New Roman" w:hAnsi="Times New Roman"/>
          <w:b/>
          <w:color w:val="000000"/>
          <w:sz w:val="18"/>
        </w:rPr>
      </w:pPr>
      <w:bookmarkStart w:id="46" w:name="poa"/>
      <w:bookmarkEnd w:id="46"/>
      <w:r>
        <w:rPr>
          <w:rFonts w:ascii="Times New Roman" w:hAnsi="Times New Roman"/>
          <w:b/>
          <w:color w:val="000000"/>
          <w:sz w:val="18"/>
        </w:rPr>
        <w:t>POWER OF ATTORNEY AND SIGNATURES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Each person whose individual signature appears below hereby authorizes and appoints Sanjiv K. Patel, M.D. and Brian Adams,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Pursuant to the requirements of the Securities Exchange Act of 1934, as amended, this Report has been signed below by the following persons on behalf of the Registrant in the capacities and on the dates indicated.</w:t>
      </w:r>
    </w:p>
    <w:tbl>
      <w:tblPr>
        <w:tblW w:w="7045" w:type="dxa"/>
        <w:jc w:val="left"/>
        <w:tblInd w:w="0" w:type="dxa"/>
        <w:tblLayout w:type="fixed"/>
        <w:tblCellMar>
          <w:top w:w="28" w:type="dxa"/>
          <w:left w:w="28" w:type="dxa"/>
          <w:bottom w:w="28" w:type="dxa"/>
          <w:right w:w="28" w:type="dxa"/>
        </w:tblCellMar>
      </w:tblPr>
      <w:tblGrid>
        <w:gridCol w:w="1816"/>
        <w:gridCol w:w="146"/>
        <w:gridCol w:w="3466"/>
        <w:gridCol w:w="146"/>
        <w:gridCol w:w="147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Date</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Sanjiv K. Patel</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President, 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22, 2024</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Sanjiv K. Patel,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Thomas Catinazzo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22, 2024</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Thomas Catinazzo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 xml:space="preserve">(Principal Accounting Officer and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Alexis Borisy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22, 2024</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Alexis Borisy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Linda A. Hill</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22, 2024</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Linda A. Hill,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Douglas S. Ingram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22, 2024</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Douglas S. Ingram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Sekar Kathiresan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22, 2024</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Sekar Kathiresan,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Mark Murcko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22, 2024</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Mark Murcko,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Jami Rubin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22, 2024</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Jami Rubin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Laura Shawver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22, 2024</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Laura Shawver,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7" w:name="rlay-ex4_2.htm"/>
      <w:bookmarkStart w:id="48" w:name="ksrlayex4_2"/>
      <w:bookmarkEnd w:id="47"/>
      <w:bookmarkEnd w:id="48"/>
      <w:r>
        <w:rPr>
          <w:rFonts w:ascii="Times New Roman" w:hAnsi="Times New Roman"/>
          <w:b/>
          <w:color w:val="000000"/>
          <w:sz w:val="22"/>
        </w:rPr>
        <w:t>Exhibit 4.2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Description of the Registrant’s Securities Registered Pursuant to</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Section 12 of the Securities Exchange Act of 1934, as amended</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summary of the general terms and provisions of the registered securities of Relay Therapeutics, Inc. (“Relay,” “we,” or “our”) set forth below does not purport to be complete and is subject to and qualified in its entirety by reference to our Fourth Amended and Restated Certificate of Incorporation, as amended (our “certificate of incorporation”), and our Amended and Restated Bylaws (our “bylaws” and, together with our certificate of incorporation, our “Charter Documents”), each of which is incorporated by reference as an exhibit to our most recent Annual Report on Form 10-K filed with the Securities and Exchange Commission. We encourage you to read our Charter Documents and the applicable provisions of the General Corporation Law of the State of Delaware (the “DGCL”) for additional information.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authorized capital stock consists of Three Hundred Million (300,000,000) shares of common stock, par value $0.001 per share and Ten Million (10,000,000) shares of undesignated preferred stock, par value $0.001 per share.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Common stock</w:t>
      </w:r>
    </w:p>
    <w:p>
      <w:pPr>
        <w:pStyle w:val="TextBody"/>
        <w:bidi w:val="0"/>
        <w:jc w:val="left"/>
        <w:rPr>
          <w:rFonts w:ascii="Times New Roman" w:hAnsi="Times New Roman"/>
          <w:color w:val="000000"/>
          <w:sz w:val="20"/>
        </w:rPr>
      </w:pPr>
      <w:r>
        <w:rPr>
          <w:rFonts w:ascii="Times New Roman" w:hAnsi="Times New Roman"/>
          <w:color w:val="000000"/>
          <w:sz w:val="20"/>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 In the event of our liquidation, dissolution or winding up, holders of our common stock will be entitled to share ratably in all assets remaining after payment of all debts and other liabilities and any liquidation preference of any outstanding preferred stock.</w:t>
      </w:r>
    </w:p>
    <w:p>
      <w:pPr>
        <w:pStyle w:val="TextBody"/>
        <w:bidi w:val="0"/>
        <w:jc w:val="left"/>
        <w:rPr>
          <w:rFonts w:ascii="Times New Roman" w:hAnsi="Times New Roman"/>
          <w:color w:val="000000"/>
          <w:sz w:val="20"/>
        </w:rPr>
      </w:pPr>
      <w:r>
        <w:rPr>
          <w:rFonts w:ascii="Times New Roman" w:hAnsi="Times New Roman"/>
          <w:color w:val="000000"/>
          <w:sz w:val="20"/>
        </w:rPr>
        <w:t>Our common stock is listed on the Nasdaq Global Select Market under the trading symbol “RLAY.”</w:t>
      </w:r>
    </w:p>
    <w:p>
      <w:pPr>
        <w:pStyle w:val="TextBody"/>
        <w:bidi w:val="0"/>
        <w:jc w:val="left"/>
        <w:rPr>
          <w:rFonts w:ascii="Times New Roman" w:hAnsi="Times New Roman"/>
          <w:color w:val="000000"/>
          <w:sz w:val="20"/>
        </w:rPr>
      </w:pPr>
      <w:r>
        <w:rPr>
          <w:rFonts w:ascii="Times New Roman" w:hAnsi="Times New Roman"/>
          <w:color w:val="000000"/>
          <w:sz w:val="20"/>
        </w:rPr>
        <w:t>The transfer agent and registrar for our common stock is Computershare Trust Company, N.A.</w:t>
      </w:r>
    </w:p>
    <w:p>
      <w:pPr>
        <w:pStyle w:val="TextBody"/>
        <w:bidi w:val="0"/>
        <w:spacing w:before="0" w:after="24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Registration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Certain holders of our common stock, including those issuable upon the conversion of convertible preferred stock are entitled to rights with respect to the registration of these securities under the Securities Act. These rights are provided under the terms of a second amended and restated investors’ rights agreement between us and the holders of our preferred stock. The second amended and restated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Demand registration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Certain holders of our common stock, are entitled to demand registration rights. Under the terms of the second amended and restated investors’ rights agreement, we will be required, upon the written request of a majority of holders of the registrable securities then outstanding that would result in an aggregate offering price of at least $7.5 million, to file a registration statement and to use commercially reasonable efforts to effect the registration of all or a portion of these shares for public resale.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Short-Form registration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our second amended and restated investors’ rights agreement, if we are eligible to file a registration statement on Form S-3, upon the written request of at least 10% in interest of these holders to sell registrable securities at an aggregate price of at least $1.0 million, we will be required to use commercially reasonable efforts to effect a registration of such shares. We are required to effect only two registrations in any twelve-month period pursuant to this provision of the second amended and restated investors’ rights agreement. The right to have such shares registered on Form S-3 is further subject to other specified conditions and limitations.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Piggyback registration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Pursuant to our second amended and restated investors’ rights agreement, if we register any of our securities either for our own account or for the account of other security holders, the holders of these shares are entitled to include their shares in the registration. Subject to certain exceptions contained in the second amended and restated investors’ rights agreement, we and the underwriters may limit the number of shares included in the underwritten offering to the number of shares which we and the underwriters determine in our sole discretion will not jeopardize the success of the offering.</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second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Expiration of registration rights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demand registration rights and short form registration rights granted under our second amended and restated investors’ rights agreement will terminate on the fifth anniversary of the completion of our initial public offering.</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Anti-Takeover effects of our certificate of incorporation and bylaws and Delaware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Board composition and filling vacancies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directors, together with the limitations on removal of directors and treatment of vacancies, has the effect of making it more difficult for stockholders to change the composition of our board of directors.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No written consent of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Meetings of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Advance notice requirements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Amendment to certificate of incorporation and bylaws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Undesignated preferred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Choice of forum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bylaws provide that, unless we consent in writing to the selection of an alternative form, the Court of Chancery of the State of Delaware (or, if the Chancery Court does not have jurisdiction, the federal district court for the District of Delaware or other state courts of the State of Delaware) will be the sole and exclusive forum for: (1) any derivative action or proceeding brought on our behalf; (2) any action asserting a claim of breach of a fiduciary duty or other wrongdoing by any of our directors, officers, employees or agents to us or our stockholders; (3) any action asserting a claim against us arising pursuant to any provision of the General Corporation Law of the State of Delaware or our certificate of incorporation or bylaws; (4) any action to interpret, apply, enforce or determine the validity of our certificate of incorporation or bylaws; or (5) any action asserting a claim governed by the internal affairs doctrine. Our bylaws also provide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our bylaws provide that, unless we consent in writing to the selection of an alternative forum, the United States District Court in the District of Massachusetts will be the exclusive forum for any private action asserting violations by us or any of our directors or officers of the Securities Act or the Exchange Act, or the rules and regulations promulgated thereunder, and of all suits in equity and actions at law brought to enforce any liability or duty created by those statutes or the rules and regulations under such statutes. If any action the subject matter of which is within the scope of the preceding sentence is filed in a court other than the United States District of Massachusetts, the plaintiff or plaintiffs shall be deemed by this provision of the bylaws (i) to have consented to removal of the action by us to the United States District Court in the District of Massachusetts, in the case of an action filed in a state court, and (ii) to have consented to transfer of the action to the United States District Court in the District of Massachusetts.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Section 203 of the Delaware general corporation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before the stockholder became interested, our board of directors approved either the business combination or the transaction which resulted in the stockholder becoming an interested stockholder;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tc>
      </w:tr>
    </w:tbl>
    <w:p>
      <w:pPr>
        <w:pStyle w:val="TextBody"/>
        <w:bidi w:val="0"/>
        <w:spacing w:before="0" w:after="240"/>
        <w:jc w:val="left"/>
        <w:rPr>
          <w:rFonts w:ascii="Times New Roman" w:hAnsi="Times New Roman"/>
          <w:color w:val="000000"/>
          <w:sz w:val="20"/>
        </w:rPr>
      </w:pPr>
      <w:r>
        <w:rPr>
          <w:rFonts w:ascii="Times New Roman" w:hAnsi="Times New Roman"/>
          <w:color w:val="000000"/>
          <w:sz w:val="20"/>
        </w:rPr>
        <w:t>Section 203 defines a business combination to include: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7359" w:type="dxa"/>
        <w:jc w:val="left"/>
        <w:tblInd w:w="0" w:type="dxa"/>
        <w:tblLayout w:type="fixed"/>
        <w:tblCellMar>
          <w:top w:w="28" w:type="dxa"/>
          <w:left w:w="28" w:type="dxa"/>
          <w:bottom w:w="28" w:type="dxa"/>
          <w:right w:w="28" w:type="dxa"/>
        </w:tblCellMar>
      </w:tblPr>
      <w:tblGrid>
        <w:gridCol w:w="124"/>
        <w:gridCol w:w="109"/>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7126"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any merger or consolidation involving the corporation and the interested stockholder;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 xml:space="preserve">any sale, transfer, lease, pledge or other disposition involving the interested stockholder of 10% or more of the assets of the corporation; </w:t>
              <w:br/>
              <w:t>subject to exceptions, any transaction that results in the issuance or transfer by the corporation of any stock of the corporation to the interested stockholder;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subject to exceptions, any transaction involving the corporation that has the effect of increasing the proportionate share of the stock of any class or series of the corporation beneficially owned by the interested stockholder;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72"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provided by or through the corporation.</w:t>
            </w:r>
          </w:p>
        </w:tc>
      </w:tr>
    </w:tbl>
    <w:p>
      <w:pPr>
        <w:pStyle w:val="TextBody"/>
        <w:bidi w:val="0"/>
        <w:spacing w:before="0" w:after="240"/>
        <w:jc w:val="left"/>
        <w:rPr>
          <w:rFonts w:ascii="Times New Roman" w:hAnsi="Times New Roman"/>
          <w:color w:val="000000"/>
          <w:sz w:val="20"/>
        </w:rPr>
      </w:pPr>
      <w:r>
        <w:rPr>
          <w:rFonts w:ascii="Times New Roman" w:hAnsi="Times New Roman"/>
          <w:color w:val="000000"/>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9" w:name="rlay-ex23_1.htm"/>
      <w:bookmarkStart w:id="50" w:name="ksrlayex23_1"/>
      <w:bookmarkEnd w:id="49"/>
      <w:bookmarkEnd w:id="50"/>
      <w:r>
        <w:rPr>
          <w:rFonts w:ascii="Times New Roman" w:hAnsi="Times New Roman"/>
          <w:b/>
          <w:color w:val="000000"/>
          <w:sz w:val="22"/>
        </w:rPr>
        <w:t>Exhibit 23.1</w:t>
      </w:r>
      <w:r>
        <w:br w:type="page"/>
      </w:r>
    </w:p>
    <w:p>
      <w:pPr>
        <w:pStyle w:val="TextBody"/>
        <w:bidi w:val="0"/>
        <w:spacing w:before="180" w:after="283"/>
        <w:jc w:val="center"/>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Registration Statement (Form S-8 No. 333-239912) pertaining to the 2016 Stock Option and Grant Plan, 2020 Stock Option and Incentive Plan, and 2020 Employee Stock Purchase Plan of Relay Therapeutics, Inc.,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Registration Statements (Form S-8 No. 333-254704, No. 333-262974, and No. 333-269959) pertaining to the 2020 Stock Option and Incentive Plan and 2020 Employee Stock Purchase Plan of Relay Therapeutics, Inc., and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80" w:after="283"/>
        <w:jc w:val="both"/>
        <w:rPr/>
      </w:pPr>
      <w:r>
        <w:rPr>
          <w:rFonts w:ascii="Times New Roman" w:hAnsi="Times New Roman"/>
          <w:color w:val="000000"/>
          <w:sz w:val="20"/>
        </w:rPr>
        <w:t>Registration Statement (Form S-3ASR No.</w:t>
      </w:r>
      <w:r>
        <w:rPr>
          <w:color w:val="000000"/>
        </w:rPr>
        <w:t xml:space="preserve"> </w:t>
      </w:r>
      <w:r>
        <w:rPr>
          <w:rFonts w:ascii="Times New Roman" w:hAnsi="Times New Roman"/>
          <w:color w:val="000000"/>
          <w:sz w:val="20"/>
        </w:rPr>
        <w:t>333-258768) of Relay Therapeutics, Inc.;</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of our reports dated February 22, 2024, with respect to the consolidated financial statements of Relay Therapeutics, Inc. and the effectiveness of internal control over financial reporting of Relay Therapeutics, Inc. included in this Annual Report (Form 10-K) of Relay Therapeutics, Inc. for the year ended December 31, 2023.</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Boston, Massachusetts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February 22, 2024</w:t>
      </w:r>
    </w:p>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rlay-ex31_1.htm"/>
      <w:bookmarkStart w:id="52" w:name="ksrlayex31_1"/>
      <w:bookmarkEnd w:id="51"/>
      <w:bookmarkEnd w:id="52"/>
      <w:r>
        <w:rPr>
          <w:rFonts w:ascii="Times New Roman" w:hAnsi="Times New Roman"/>
          <w:b/>
          <w:color w:val="000000"/>
          <w:sz w:val="20"/>
        </w:rPr>
        <w:t>Exhibit 31.1</w:t>
      </w:r>
      <w:r>
        <w:br w:type="page"/>
      </w:r>
    </w:p>
    <w:p>
      <w:pPr>
        <w:pStyle w:val="TextBody"/>
        <w:bidi w:val="0"/>
        <w:jc w:val="right"/>
        <w:rPr/>
      </w:pPr>
      <w:r>
        <w:rPr/>
        <w:t> </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CERTIFICATION OF PRINCIPAL EXECUTIVE OFFICER PURSUANT TO</w:t>
      </w:r>
    </w:p>
    <w:p>
      <w:pPr>
        <w:pStyle w:val="TextBody"/>
        <w:bidi w:val="0"/>
        <w:jc w:val="center"/>
        <w:rPr>
          <w:rFonts w:ascii="Times New Roman" w:hAnsi="Times New Roman"/>
          <w:b/>
          <w:color w:val="000000"/>
          <w:sz w:val="18"/>
        </w:rPr>
      </w:pPr>
      <w:r>
        <w:rPr>
          <w:rFonts w:ascii="Times New Roman" w:hAnsi="Times New Roman"/>
          <w:b/>
          <w:color w:val="000000"/>
          <w:sz w:val="18"/>
        </w:rPr>
        <w:t>RULES 13a-14(a) OR 15d-14(a) UNDER 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I, Sanjiv K. Patel, certify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have reviewed this Annual Report on Form 10-K of Relay Therapeutics,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50" w:type="dxa"/>
        <w:jc w:val="left"/>
        <w:tblInd w:w="0" w:type="dxa"/>
        <w:tblLayout w:type="fixed"/>
        <w:tblCellMar>
          <w:top w:w="28" w:type="dxa"/>
          <w:left w:w="28" w:type="dxa"/>
          <w:bottom w:w="28" w:type="dxa"/>
          <w:right w:w="28" w:type="dxa"/>
        </w:tblCellMar>
      </w:tblPr>
      <w:tblGrid>
        <w:gridCol w:w="1861"/>
        <w:gridCol w:w="146"/>
        <w:gridCol w:w="361"/>
        <w:gridCol w:w="146"/>
        <w:gridCol w:w="2836"/>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22, 2024</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pPr>
            <w:r>
              <w:rPr/>
              <w:t> </w:t>
            </w:r>
          </w:p>
        </w:tc>
        <w:tc>
          <w:tcPr>
            <w:tcW w:w="283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SANJIV K. PATEL</w:t>
            </w:r>
          </w:p>
        </w:tc>
      </w:tr>
      <w:tr>
        <w:trPr/>
        <w:tc>
          <w:tcPr>
            <w:tcW w:w="18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Sanjiv K. Patel</w:t>
            </w:r>
          </w:p>
        </w:tc>
      </w:tr>
      <w:tr>
        <w:trPr/>
        <w:tc>
          <w:tcPr>
            <w:tcW w:w="18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jc w:val="center"/>
              <w:rPr>
                <w:rFonts w:ascii="Times New Roman" w:hAnsi="Times New Roman"/>
                <w:color w:val="000000"/>
                <w:sz w:val="18"/>
              </w:rPr>
            </w:pPr>
            <w:r>
              <w:rPr>
                <w:rFonts w:ascii="Times New Roman" w:hAnsi="Times New Roman"/>
                <w:color w:val="000000"/>
                <w:sz w:val="18"/>
              </w:rPr>
              <w:t>President and Chief Executive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3" w:name="rlay-ex31_2.htm"/>
      <w:bookmarkStart w:id="54" w:name="ksrlayex31_2"/>
      <w:bookmarkEnd w:id="53"/>
      <w:bookmarkEnd w:id="54"/>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CERTIFICATION OF PRINCIPAL FINANCIAL OFFICER PURSUANT TO</w:t>
      </w:r>
    </w:p>
    <w:p>
      <w:pPr>
        <w:pStyle w:val="TextBody"/>
        <w:bidi w:val="0"/>
        <w:jc w:val="center"/>
        <w:rPr>
          <w:rFonts w:ascii="Times New Roman" w:hAnsi="Times New Roman"/>
          <w:b/>
          <w:color w:val="000000"/>
          <w:sz w:val="18"/>
        </w:rPr>
      </w:pPr>
      <w:r>
        <w:rPr>
          <w:rFonts w:ascii="Times New Roman" w:hAnsi="Times New Roman"/>
          <w:b/>
          <w:color w:val="000000"/>
          <w:sz w:val="18"/>
        </w:rPr>
        <w:t>RULES 13a-14(a) OR 15d-14(a) UNDER 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I, Thomas Catinazzo, certify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have reviewed this Annual Report on Form 10-K of Relay Therapeutics,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060" w:type="dxa"/>
        <w:jc w:val="left"/>
        <w:tblInd w:w="0" w:type="dxa"/>
        <w:tblLayout w:type="fixed"/>
        <w:tblCellMar>
          <w:top w:w="28" w:type="dxa"/>
          <w:left w:w="28" w:type="dxa"/>
          <w:bottom w:w="28" w:type="dxa"/>
          <w:right w:w="28" w:type="dxa"/>
        </w:tblCellMar>
      </w:tblPr>
      <w:tblGrid>
        <w:gridCol w:w="1861"/>
        <w:gridCol w:w="146"/>
        <w:gridCol w:w="361"/>
        <w:gridCol w:w="146"/>
        <w:gridCol w:w="4546"/>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1861" w:type="dxa"/>
            <w:tcBorders/>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Date: February 22, 2024</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pPr>
            <w:r>
              <w:rPr/>
              <w:t> </w:t>
            </w:r>
          </w:p>
        </w:tc>
        <w:tc>
          <w:tcPr>
            <w:tcW w:w="454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THOMAS CATINAZZO</w:t>
            </w:r>
          </w:p>
        </w:tc>
      </w:tr>
      <w:tr>
        <w:trPr/>
        <w:tc>
          <w:tcPr>
            <w:tcW w:w="18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Thomas Catinazzo</w:t>
            </w:r>
          </w:p>
        </w:tc>
      </w:tr>
      <w:tr>
        <w:trPr/>
        <w:tc>
          <w:tcPr>
            <w:tcW w:w="18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546" w:type="dxa"/>
            <w:tcBorders/>
            <w:vAlign w:val="center"/>
          </w:tcPr>
          <w:p>
            <w:pPr>
              <w:pStyle w:val="TableContents"/>
              <w:bidi w:val="0"/>
              <w:jc w:val="center"/>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Accounting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5" w:name="rlay-ex32_1.htm"/>
      <w:bookmarkStart w:id="56" w:name="ksrlayex32_1"/>
      <w:bookmarkEnd w:id="55"/>
      <w:bookmarkEnd w:id="5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CERTIFICATIONS OF PRINCIPAL EXECUTIVE OFFICER AND PRINCIPAL FINANCIAL OFFICER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connection with the Annual Report of Relay Therapeutics, Inc. (the “Company”) on Form 10-K for the year ended December 31, 2023 as filed with the Securities and Exchange Commission on the date hereof (the “Report”), the undersigned hereby certify, pursuant to 18 U.S.C. Section 1350, as adopted pursuant to Section 906 of the Sarbanes-Oxley Act of 2002, that, to the best of their knowledge: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5276" w:type="dxa"/>
        <w:jc w:val="left"/>
        <w:tblInd w:w="0" w:type="dxa"/>
        <w:tblLayout w:type="fixed"/>
        <w:tblCellMar>
          <w:top w:w="28" w:type="dxa"/>
          <w:left w:w="28" w:type="dxa"/>
          <w:bottom w:w="28" w:type="dxa"/>
          <w:right w:w="28" w:type="dxa"/>
        </w:tblCellMar>
      </w:tblPr>
      <w:tblGrid>
        <w:gridCol w:w="1861"/>
        <w:gridCol w:w="109"/>
        <w:gridCol w:w="361"/>
        <w:gridCol w:w="109"/>
        <w:gridCol w:w="2836"/>
      </w:tblGrid>
      <w:tr>
        <w:trPr/>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22, 2024</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 SANJIV K. PATEL </w:t>
            </w:r>
          </w:p>
        </w:tc>
      </w:tr>
      <w:tr>
        <w:trPr/>
        <w:tc>
          <w:tcPr>
            <w:tcW w:w="186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Sanjiv K. Patel</w:t>
            </w:r>
          </w:p>
        </w:tc>
      </w:tr>
      <w:tr>
        <w:trPr/>
        <w:tc>
          <w:tcPr>
            <w:tcW w:w="186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jc w:val="center"/>
              <w:rPr>
                <w:rFonts w:ascii="Times New Roman" w:hAnsi="Times New Roman"/>
                <w:color w:val="000000"/>
                <w:sz w:val="18"/>
              </w:rPr>
            </w:pPr>
            <w:r>
              <w:rPr>
                <w:rFonts w:ascii="Times New Roman" w:hAnsi="Times New Roman"/>
                <w:color w:val="000000"/>
                <w:sz w:val="18"/>
              </w:rPr>
              <w:t>President and Chief Executive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tbl>
      <w:tblPr>
        <w:tblW w:w="6986" w:type="dxa"/>
        <w:jc w:val="left"/>
        <w:tblInd w:w="0" w:type="dxa"/>
        <w:tblLayout w:type="fixed"/>
        <w:tblCellMar>
          <w:top w:w="28" w:type="dxa"/>
          <w:left w:w="28" w:type="dxa"/>
          <w:bottom w:w="28" w:type="dxa"/>
          <w:right w:w="28" w:type="dxa"/>
        </w:tblCellMar>
      </w:tblPr>
      <w:tblGrid>
        <w:gridCol w:w="1861"/>
        <w:gridCol w:w="109"/>
        <w:gridCol w:w="361"/>
        <w:gridCol w:w="109"/>
        <w:gridCol w:w="4546"/>
      </w:tblGrid>
      <w:tr>
        <w:trPr/>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186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22, 2024</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09" w:type="dxa"/>
            <w:tcBorders/>
            <w:vAlign w:val="center"/>
          </w:tcPr>
          <w:p>
            <w:pPr>
              <w:pStyle w:val="TableContents"/>
              <w:bidi w:val="0"/>
              <w:spacing w:before="0" w:after="283"/>
              <w:jc w:val="left"/>
              <w:rPr>
                <w:sz w:val="4"/>
                <w:szCs w:val="4"/>
              </w:rPr>
            </w:pPr>
            <w:r>
              <w:rPr>
                <w:sz w:val="4"/>
                <w:szCs w:val="4"/>
              </w:rPr>
            </w:r>
          </w:p>
        </w:tc>
        <w:tc>
          <w:tcPr>
            <w:tcW w:w="454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 THOMAS CATINAZZO </w:t>
            </w:r>
          </w:p>
        </w:tc>
      </w:tr>
      <w:tr>
        <w:trPr/>
        <w:tc>
          <w:tcPr>
            <w:tcW w:w="186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Thomas Catinazzo</w:t>
            </w:r>
          </w:p>
        </w:tc>
      </w:tr>
      <w:tr>
        <w:trPr/>
        <w:tc>
          <w:tcPr>
            <w:tcW w:w="186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jc w:val="center"/>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Accounting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right"/>
        <w:rPr>
          <w:rFonts w:ascii="Calibri;sans-serif" w:hAnsi="Calibri;sans-serif"/>
          <w:b/>
          <w:color w:val="000000"/>
          <w:sz w:val="22"/>
        </w:rPr>
      </w:pPr>
      <w:bookmarkStart w:id="57" w:name="rlay-ex97_1.htm"/>
      <w:bookmarkStart w:id="58" w:name="ksrlayex97_1"/>
      <w:bookmarkEnd w:id="57"/>
      <w:bookmarkEnd w:id="58"/>
      <w:r>
        <w:rPr>
          <w:rFonts w:ascii="Calibri;sans-serif" w:hAnsi="Calibri;sans-serif"/>
          <w:b/>
          <w:color w:val="000000"/>
          <w:sz w:val="22"/>
        </w:rPr>
        <w:t>Exhibit 97.1</w:t>
      </w:r>
      <w:r>
        <w:br w:type="page"/>
      </w:r>
    </w:p>
    <w:p>
      <w:pPr>
        <w:pStyle w:val="TextBody"/>
        <w:bidi w:val="0"/>
        <w:spacing w:before="0" w:after="200"/>
        <w:jc w:val="left"/>
        <w:rPr/>
      </w:pPr>
      <w:r>
        <w:rPr/>
        <w:drawing>
          <wp:inline distT="0" distB="0" distL="0" distR="0">
            <wp:extent cx="1990725" cy="866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45"/>
                    <a:stretch>
                      <a:fillRect/>
                    </a:stretch>
                  </pic:blipFill>
                  <pic:spPr bwMode="auto">
                    <a:xfrm>
                      <a:off x="0" y="0"/>
                      <a:ext cx="1990725" cy="866775"/>
                    </a:xfrm>
                    <a:prstGeom prst="rect">
                      <a:avLst/>
                    </a:prstGeom>
                  </pic:spPr>
                </pic:pic>
              </a:graphicData>
            </a:graphic>
          </wp:inline>
        </w:drawing>
      </w:r>
      <w:r>
        <w:rPr/>
        <w:t> </w:t>
      </w:r>
    </w:p>
    <w:p>
      <w:pPr>
        <w:pStyle w:val="TextBody"/>
        <w:bidi w:val="0"/>
        <w:spacing w:before="0" w:after="200"/>
        <w:jc w:val="center"/>
        <w:rPr>
          <w:rFonts w:ascii="Times New Roman" w:hAnsi="Times New Roman"/>
          <w:sz w:val="20"/>
        </w:rPr>
      </w:pPr>
      <w:r>
        <w:rPr>
          <w:rFonts w:ascii="Calibri;sans-serif" w:hAnsi="Calibri;sans-serif"/>
          <w:b/>
          <w:color w:val="000000"/>
          <w:sz w:val="24"/>
        </w:rPr>
        <w:t>RELAY THERAPEUTICS, INC.</w:t>
      </w:r>
      <w:r>
        <w:rPr>
          <w:rFonts w:ascii="Times New Roman" w:hAnsi="Times New Roman"/>
          <w:color w:val="000000"/>
          <w:sz w:val="20"/>
        </w:rPr>
        <w:t xml:space="preserve"> </w:t>
      </w:r>
    </w:p>
    <w:p>
      <w:pPr>
        <w:pStyle w:val="TextBody"/>
        <w:bidi w:val="0"/>
        <w:spacing w:before="0" w:after="200"/>
        <w:jc w:val="center"/>
        <w:rPr>
          <w:rFonts w:ascii="Calibri;sans-serif" w:hAnsi="Calibri;sans-serif"/>
          <w:b/>
          <w:color w:val="000000"/>
          <w:sz w:val="24"/>
        </w:rPr>
      </w:pPr>
      <w:r>
        <w:rPr>
          <w:rFonts w:ascii="Calibri;sans-serif" w:hAnsi="Calibri;sans-serif"/>
          <w:b/>
          <w:color w:val="000000"/>
          <w:sz w:val="24"/>
        </w:rPr>
        <w:t>COMPENSATION RECOVERY POLICY</w:t>
      </w:r>
    </w:p>
    <w:p>
      <w:pPr>
        <w:pStyle w:val="TextBody"/>
        <w:bidi w:val="0"/>
        <w:spacing w:before="0" w:after="240"/>
        <w:jc w:val="left"/>
        <w:rPr>
          <w:rFonts w:ascii="Times New Roman" w:hAnsi="Times New Roman"/>
          <w:sz w:val="20"/>
        </w:rPr>
      </w:pPr>
      <w:r>
        <w:rPr>
          <w:rFonts w:ascii="Calibri;sans-serif" w:hAnsi="Calibri;sans-serif"/>
          <w:color w:val="000000"/>
          <w:sz w:val="24"/>
        </w:rPr>
        <w:t>Relay Therapeutics, Inc. (the “</w:t>
      </w:r>
      <w:r>
        <w:rPr>
          <w:rFonts w:ascii="Calibri;sans-serif" w:hAnsi="Calibri;sans-serif"/>
          <w:color w:val="000000"/>
          <w:sz w:val="24"/>
          <w:u w:val="single"/>
        </w:rPr>
        <w:t>Company</w:t>
      </w:r>
      <w:r>
        <w:rPr>
          <w:rFonts w:ascii="Times New Roman" w:hAnsi="Times New Roman"/>
          <w:color w:val="000000"/>
          <w:sz w:val="20"/>
        </w:rPr>
        <w:t>”</w:t>
      </w:r>
      <w:r>
        <w:rPr>
          <w:rFonts w:ascii="Calibri;sans-serif" w:hAnsi="Calibri;sans-serif"/>
          <w:color w:val="000000"/>
          <w:sz w:val="24"/>
        </w:rPr>
        <w:t>), has adopted a Compensation Recovery Policy (this “</w:t>
      </w:r>
      <w:r>
        <w:rPr>
          <w:rFonts w:ascii="Calibri;sans-serif" w:hAnsi="Calibri;sans-serif"/>
          <w:color w:val="000000"/>
          <w:sz w:val="24"/>
          <w:u w:val="single"/>
        </w:rPr>
        <w:t>Policy</w:t>
      </w:r>
      <w:r>
        <w:rPr>
          <w:rFonts w:ascii="Times New Roman" w:hAnsi="Times New Roman"/>
          <w:color w:val="000000"/>
          <w:sz w:val="20"/>
        </w:rPr>
        <w:t>”</w:t>
      </w:r>
      <w:r>
        <w:rPr>
          <w:rFonts w:ascii="Calibri;sans-serif" w:hAnsi="Calibri;sans-serif"/>
          <w:color w:val="000000"/>
          <w:sz w:val="24"/>
        </w:rPr>
        <w:t>) as described below.</w:t>
      </w:r>
      <w:r>
        <w:rPr>
          <w:rFonts w:ascii="Times New Roman" w:hAnsi="Times New Roman"/>
          <w:color w:val="000000"/>
          <w:sz w:val="20"/>
        </w:rPr>
        <w:t xml:space="preserve"> </w:t>
      </w:r>
    </w:p>
    <w:p>
      <w:pPr>
        <w:pStyle w:val="TextBody"/>
        <w:bidi w:val="0"/>
        <w:spacing w:before="0" w:after="240"/>
        <w:jc w:val="left"/>
        <w:rPr>
          <w:rFonts w:ascii="Calibri;sans-serif" w:hAnsi="Calibri;sans-serif"/>
          <w:b/>
          <w:color w:val="000000"/>
          <w:sz w:val="24"/>
        </w:rPr>
      </w:pPr>
      <w:r>
        <w:rPr>
          <w:rFonts w:ascii="Calibri;sans-serif" w:hAnsi="Calibri;sans-serif"/>
          <w:b/>
          <w:color w:val="000000"/>
          <w:sz w:val="24"/>
        </w:rPr>
        <w:t>1. Overview</w:t>
      </w:r>
    </w:p>
    <w:p>
      <w:pPr>
        <w:pStyle w:val="TextBody"/>
        <w:bidi w:val="0"/>
        <w:spacing w:before="0" w:after="240"/>
        <w:jc w:val="left"/>
        <w:rPr>
          <w:rFonts w:ascii="Times New Roman" w:hAnsi="Times New Roman"/>
          <w:sz w:val="20"/>
        </w:rPr>
      </w:pPr>
      <w:r>
        <w:rPr>
          <w:rFonts w:ascii="Calibri;sans-serif" w:hAnsi="Calibri;sans-serif"/>
          <w:color w:val="000000"/>
          <w:sz w:val="24"/>
        </w:rPr>
        <w:t>The Policy sets forth the circumstances and procedures under which the Company shall recover Erroneously Awarded Compensation from current and former Executive Officers of the Company in accordance with rules issued by the United States Securities and Exchange Commission (the “</w:t>
      </w:r>
      <w:r>
        <w:rPr>
          <w:rFonts w:ascii="Calibri;sans-serif" w:hAnsi="Calibri;sans-serif"/>
          <w:color w:val="000000"/>
          <w:sz w:val="24"/>
          <w:u w:val="single"/>
        </w:rPr>
        <w:t>SEC</w:t>
      </w:r>
      <w:r>
        <w:rPr>
          <w:rFonts w:ascii="Times New Roman" w:hAnsi="Times New Roman"/>
          <w:color w:val="000000"/>
          <w:sz w:val="20"/>
        </w:rPr>
        <w:t>”</w:t>
      </w:r>
      <w:r>
        <w:rPr>
          <w:rFonts w:ascii="Calibri;sans-serif" w:hAnsi="Calibri;sans-serif"/>
          <w:color w:val="000000"/>
          <w:sz w:val="24"/>
        </w:rPr>
        <w:t>) under the Securities Exchange Act of 1934 (the “</w:t>
      </w:r>
      <w:r>
        <w:rPr>
          <w:rFonts w:ascii="Calibri;sans-serif" w:hAnsi="Calibri;sans-serif"/>
          <w:color w:val="000000"/>
          <w:sz w:val="24"/>
          <w:u w:val="single"/>
        </w:rPr>
        <w:t>Exchange Act</w:t>
      </w:r>
      <w:r>
        <w:rPr>
          <w:rFonts w:ascii="Times New Roman" w:hAnsi="Times New Roman"/>
          <w:color w:val="000000"/>
          <w:sz w:val="20"/>
        </w:rPr>
        <w:t>”</w:t>
      </w:r>
      <w:r>
        <w:rPr>
          <w:rFonts w:ascii="Calibri;sans-serif" w:hAnsi="Calibri;sans-serif"/>
          <w:color w:val="000000"/>
          <w:sz w:val="24"/>
        </w:rPr>
        <w:t>) and the Nasdaq Stock Market. Please refer to Section 3 below for definitions of capitalized terms used and not otherwise defined herein.</w:t>
      </w:r>
      <w:r>
        <w:rPr>
          <w:rFonts w:ascii="Times New Roman" w:hAnsi="Times New Roman"/>
          <w:color w:val="000000"/>
          <w:sz w:val="20"/>
        </w:rPr>
        <w:t xml:space="preserve"> </w:t>
      </w:r>
    </w:p>
    <w:p>
      <w:pPr>
        <w:pStyle w:val="TextBody"/>
        <w:bidi w:val="0"/>
        <w:spacing w:before="0" w:after="240"/>
        <w:jc w:val="left"/>
        <w:rPr>
          <w:rFonts w:ascii="Calibri;sans-serif" w:hAnsi="Calibri;sans-serif"/>
          <w:b/>
          <w:color w:val="000000"/>
          <w:sz w:val="24"/>
        </w:rPr>
      </w:pPr>
      <w:r>
        <w:rPr>
          <w:rFonts w:ascii="Calibri;sans-serif" w:hAnsi="Calibri;sans-serif"/>
          <w:b/>
          <w:color w:val="000000"/>
          <w:sz w:val="24"/>
        </w:rPr>
        <w:t>2. Compensation Recovery Requirement</w:t>
      </w:r>
    </w:p>
    <w:p>
      <w:pPr>
        <w:pStyle w:val="TextBody"/>
        <w:bidi w:val="0"/>
        <w:spacing w:before="0" w:after="240"/>
        <w:jc w:val="left"/>
        <w:rPr>
          <w:rFonts w:ascii="Times New Roman" w:hAnsi="Times New Roman"/>
          <w:sz w:val="20"/>
        </w:rPr>
      </w:pPr>
      <w:r>
        <w:rPr>
          <w:rFonts w:ascii="Calibri;sans-serif" w:hAnsi="Calibri;sans-serif"/>
          <w:color w:val="000000"/>
          <w:sz w:val="24"/>
        </w:rPr>
        <w:t>In the event the Company is required to prepare a Material Financial Restatement, the Company shall reasonably promptly recover all Erroneously Awarded Compensation with respect to such Material Financial Restatement, and each Covered Person shall be required to take all actions necessary to enable such recovery.</w:t>
      </w:r>
      <w:r>
        <w:rPr>
          <w:rFonts w:ascii="Times New Roman" w:hAnsi="Times New Roman"/>
          <w:color w:val="000000"/>
          <w:sz w:val="20"/>
        </w:rPr>
        <w:t xml:space="preserve"> </w:t>
      </w:r>
    </w:p>
    <w:p>
      <w:pPr>
        <w:pStyle w:val="TextBody"/>
        <w:bidi w:val="0"/>
        <w:spacing w:before="0" w:after="240"/>
        <w:jc w:val="left"/>
        <w:rPr>
          <w:rFonts w:ascii="Calibri;sans-serif" w:hAnsi="Calibri;sans-serif"/>
          <w:b/>
          <w:color w:val="000000"/>
          <w:sz w:val="24"/>
        </w:rPr>
      </w:pPr>
      <w:r>
        <w:rPr>
          <w:rFonts w:ascii="Calibri;sans-serif" w:hAnsi="Calibri;sans-serif"/>
          <w:b/>
          <w:color w:val="000000"/>
          <w:sz w:val="24"/>
        </w:rPr>
        <w:t>3. Definitions</w:t>
      </w:r>
    </w:p>
    <w:p>
      <w:pPr>
        <w:pStyle w:val="TextBody"/>
        <w:bidi w:val="0"/>
        <w:spacing w:before="0" w:after="240"/>
        <w:jc w:val="left"/>
        <w:rPr>
          <w:rFonts w:ascii="Calibri" w:hAnsi="Calibri"/>
          <w:color w:val="000000"/>
          <w:sz w:val="24"/>
        </w:rPr>
      </w:pPr>
      <w:r>
        <w:rPr>
          <w:rFonts w:ascii="Calibri" w:hAnsi="Calibri"/>
          <w:color w:val="000000"/>
          <w:sz w:val="24"/>
        </w:rPr>
        <w:t>a.</w:t>
      </w:r>
    </w:p>
    <w:p>
      <w:pPr>
        <w:pStyle w:val="TextBody"/>
        <w:bidi w:val="0"/>
        <w:spacing w:before="0" w:after="240"/>
        <w:jc w:val="left"/>
        <w:rPr/>
      </w:pPr>
      <w:r>
        <w:rPr>
          <w:color w:val="000000"/>
        </w:rPr>
        <w:t>“</w:t>
      </w:r>
      <w:r>
        <w:rPr>
          <w:rFonts w:ascii="Calibri;sans-serif" w:hAnsi="Calibri;sans-serif"/>
          <w:color w:val="000000"/>
          <w:sz w:val="24"/>
          <w:u w:val="single"/>
        </w:rPr>
        <w:t>Applicable Recovery Period</w:t>
      </w:r>
      <w:r>
        <w:rPr>
          <w:color w:val="000000"/>
        </w:rPr>
        <w:t xml:space="preserve">” </w:t>
      </w:r>
      <w:r>
        <w:rPr>
          <w:rFonts w:ascii="Calibri;sans-serif" w:hAnsi="Calibri;sans-serif"/>
          <w:color w:val="000000"/>
          <w:sz w:val="24"/>
        </w:rPr>
        <w:t>means with respect to a Material Financial Restatement, the three completed fiscal years immediately preceding the Restatement Date for such Material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pStyle w:val="TextBody"/>
        <w:bidi w:val="0"/>
        <w:spacing w:before="0" w:after="240"/>
        <w:jc w:val="left"/>
        <w:rPr>
          <w:rFonts w:ascii="Calibri" w:hAnsi="Calibri"/>
          <w:color w:val="000000"/>
          <w:sz w:val="24"/>
        </w:rPr>
      </w:pPr>
      <w:r>
        <w:rPr>
          <w:rFonts w:ascii="Calibri" w:hAnsi="Calibri"/>
          <w:color w:val="000000"/>
          <w:sz w:val="24"/>
        </w:rPr>
        <w:t>b.</w:t>
      </w:r>
    </w:p>
    <w:p>
      <w:pPr>
        <w:pStyle w:val="TextBody"/>
        <w:bidi w:val="0"/>
        <w:spacing w:before="0" w:after="240"/>
        <w:jc w:val="left"/>
        <w:rPr/>
      </w:pPr>
      <w:r>
        <w:rPr>
          <w:color w:val="000000"/>
        </w:rPr>
        <w:t>“</w:t>
      </w:r>
      <w:r>
        <w:rPr>
          <w:rFonts w:ascii="Calibri;sans-serif" w:hAnsi="Calibri;sans-serif"/>
          <w:color w:val="000000"/>
          <w:sz w:val="24"/>
          <w:u w:val="single"/>
        </w:rPr>
        <w:t>Applicable Rules</w:t>
      </w:r>
      <w:r>
        <w:rPr>
          <w:color w:val="000000"/>
        </w:rPr>
        <w:t xml:space="preserve">” </w:t>
      </w:r>
      <w:r>
        <w:rPr>
          <w:rFonts w:ascii="Calibri;sans-serif" w:hAnsi="Calibri;sans-serif"/>
          <w:color w:val="000000"/>
          <w:sz w:val="24"/>
        </w:rPr>
        <w:t>means any rules or regulations adopted by the Exchange pursuant to Rule 10D-1 under the Exchange Act and any applicable rules or regulations adopted by the SEC pursuant to Section 10D of the Exchange Act.</w:t>
      </w:r>
    </w:p>
    <w:p>
      <w:pPr>
        <w:pStyle w:val="TextBody"/>
        <w:bidi w:val="0"/>
        <w:spacing w:before="0" w:after="240"/>
        <w:jc w:val="left"/>
        <w:rPr>
          <w:rFonts w:ascii="Calibri" w:hAnsi="Calibri"/>
          <w:color w:val="000000"/>
          <w:sz w:val="24"/>
        </w:rPr>
      </w:pPr>
      <w:r>
        <w:rPr>
          <w:rFonts w:ascii="Calibri" w:hAnsi="Calibri"/>
          <w:color w:val="000000"/>
          <w:sz w:val="24"/>
        </w:rPr>
        <w:t>c.</w:t>
      </w:r>
    </w:p>
    <w:p>
      <w:pPr>
        <w:pStyle w:val="TextBody"/>
        <w:bidi w:val="0"/>
        <w:spacing w:before="0" w:after="240"/>
        <w:jc w:val="left"/>
        <w:rPr/>
      </w:pPr>
      <w:r>
        <w:rPr>
          <w:color w:val="000000"/>
        </w:rPr>
        <w:t>“</w:t>
      </w:r>
      <w:r>
        <w:rPr>
          <w:rFonts w:ascii="Calibri;sans-serif" w:hAnsi="Calibri;sans-serif"/>
          <w:color w:val="000000"/>
          <w:sz w:val="24"/>
          <w:u w:val="single"/>
        </w:rPr>
        <w:t>Board</w:t>
      </w:r>
      <w:r>
        <w:rPr>
          <w:color w:val="000000"/>
        </w:rPr>
        <w:t xml:space="preserve">” </w:t>
      </w:r>
      <w:r>
        <w:rPr>
          <w:rFonts w:ascii="Calibri;sans-serif" w:hAnsi="Calibri;sans-serif"/>
          <w:color w:val="000000"/>
          <w:sz w:val="24"/>
        </w:rPr>
        <w:t>means the Board of Directors of the Company.</w:t>
      </w:r>
    </w:p>
    <w:p>
      <w:pPr>
        <w:pStyle w:val="TextBody"/>
        <w:bidi w:val="0"/>
        <w:spacing w:before="0" w:after="240"/>
        <w:jc w:val="left"/>
        <w:rPr>
          <w:rFonts w:ascii="Calibri" w:hAnsi="Calibri"/>
          <w:color w:val="000000"/>
          <w:sz w:val="24"/>
        </w:rPr>
      </w:pPr>
      <w:r>
        <w:rPr>
          <w:rFonts w:ascii="Calibri" w:hAnsi="Calibri"/>
          <w:color w:val="000000"/>
          <w:sz w:val="24"/>
        </w:rPr>
        <w:t>d.</w:t>
      </w:r>
    </w:p>
    <w:p>
      <w:pPr>
        <w:pStyle w:val="TextBody"/>
        <w:bidi w:val="0"/>
        <w:spacing w:before="0" w:after="240"/>
        <w:jc w:val="left"/>
        <w:rPr/>
      </w:pPr>
      <w:r>
        <w:rPr>
          <w:color w:val="000000"/>
        </w:rPr>
        <w:t>“</w:t>
      </w:r>
      <w:r>
        <w:rPr>
          <w:rFonts w:ascii="Calibri;sans-serif" w:hAnsi="Calibri;sans-serif"/>
          <w:color w:val="000000"/>
          <w:sz w:val="24"/>
          <w:u w:val="single"/>
        </w:rPr>
        <w:t>Committee</w:t>
      </w:r>
      <w:r>
        <w:rPr>
          <w:color w:val="000000"/>
        </w:rPr>
        <w:t xml:space="preserve">” </w:t>
      </w:r>
      <w:r>
        <w:rPr>
          <w:rFonts w:ascii="Calibri;sans-serif" w:hAnsi="Calibri;sans-serif"/>
          <w:color w:val="000000"/>
          <w:sz w:val="24"/>
        </w:rPr>
        <w:t>means the Compensation Committee of the Board or, in the absence of such committee, a majority of independent directors serving on the Board.</w:t>
      </w:r>
    </w:p>
    <w:p>
      <w:pPr>
        <w:pStyle w:val="TextBody"/>
        <w:bidi w:val="0"/>
        <w:spacing w:before="0" w:after="200"/>
        <w:jc w:val="center"/>
        <w:rPr>
          <w:rFonts w:ascii="Calibri;sans-serif" w:hAnsi="Calibri;sans-serif"/>
          <w:color w:val="000000"/>
          <w:sz w:val="22"/>
        </w:rPr>
      </w:pPr>
      <w:r>
        <w:rPr>
          <w:rFonts w:ascii="Calibri;sans-serif" w:hAnsi="Calibri;sans-serif"/>
          <w:color w:val="000000"/>
          <w:sz w:val="22"/>
        </w:rPr>
        <w:t>1</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spacing w:before="0" w:after="240"/>
        <w:jc w:val="left"/>
        <w:rPr>
          <w:rFonts w:ascii="Calibri" w:hAnsi="Calibri"/>
          <w:color w:val="000000"/>
          <w:sz w:val="24"/>
        </w:rPr>
      </w:pPr>
      <w:r>
        <w:rPr>
          <w:rFonts w:ascii="Calibri" w:hAnsi="Calibri"/>
          <w:color w:val="000000"/>
          <w:sz w:val="24"/>
        </w:rPr>
        <w:t>e.</w:t>
      </w:r>
    </w:p>
    <w:p>
      <w:pPr>
        <w:pStyle w:val="TextBody"/>
        <w:bidi w:val="0"/>
        <w:spacing w:before="0" w:after="240"/>
        <w:jc w:val="left"/>
        <w:rPr/>
      </w:pPr>
      <w:r>
        <w:rPr>
          <w:rFonts w:ascii="Calibri;sans-serif" w:hAnsi="Calibri;sans-serif"/>
          <w:color w:val="000000"/>
          <w:sz w:val="24"/>
        </w:rPr>
        <w:t>A “</w:t>
      </w:r>
      <w:r>
        <w:rPr>
          <w:rFonts w:ascii="Calibri;sans-serif" w:hAnsi="Calibri;sans-serif"/>
          <w:color w:val="000000"/>
          <w:sz w:val="24"/>
          <w:u w:val="single"/>
        </w:rPr>
        <w:t>Covered Person</w:t>
      </w:r>
      <w:r>
        <w:rPr>
          <w:color w:val="000000"/>
        </w:rPr>
        <w:t xml:space="preserve">” </w:t>
      </w:r>
      <w:r>
        <w:rPr>
          <w:rFonts w:ascii="Calibri;sans-serif" w:hAnsi="Calibri;sans-serif"/>
          <w:color w:val="000000"/>
          <w:sz w:val="24"/>
        </w:rPr>
        <w:t>means any Executive Officer and any other person designated by the Board or the Committee as being subject to this Policy. A person’s status as a Covered Person with respect to Erroneously Awarded Compensation shall be determined as of the time of receipt of such Erroneously Awarded Compensation regardless of their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pStyle w:val="TextBody"/>
        <w:bidi w:val="0"/>
        <w:spacing w:before="0" w:after="240"/>
        <w:jc w:val="left"/>
        <w:rPr>
          <w:rFonts w:ascii="Calibri" w:hAnsi="Calibri"/>
          <w:color w:val="000000"/>
          <w:sz w:val="24"/>
        </w:rPr>
      </w:pPr>
      <w:r>
        <w:rPr>
          <w:rFonts w:ascii="Calibri" w:hAnsi="Calibri"/>
          <w:color w:val="000000"/>
          <w:sz w:val="24"/>
        </w:rPr>
        <w:t>f.</w:t>
      </w:r>
    </w:p>
    <w:p>
      <w:pPr>
        <w:pStyle w:val="TextBody"/>
        <w:bidi w:val="0"/>
        <w:spacing w:before="0" w:after="240"/>
        <w:jc w:val="left"/>
        <w:rPr/>
      </w:pPr>
      <w:r>
        <w:rPr>
          <w:color w:val="000000"/>
        </w:rPr>
        <w:t>“</w:t>
      </w:r>
      <w:r>
        <w:rPr>
          <w:rFonts w:ascii="Calibri;sans-serif" w:hAnsi="Calibri;sans-serif"/>
          <w:color w:val="000000"/>
          <w:sz w:val="24"/>
          <w:u w:val="single"/>
        </w:rPr>
        <w:t>Effective Date</w:t>
      </w:r>
      <w:r>
        <w:rPr>
          <w:color w:val="000000"/>
        </w:rPr>
        <w:t xml:space="preserve">” </w:t>
      </w:r>
      <w:r>
        <w:rPr>
          <w:rFonts w:ascii="Calibri;sans-serif" w:hAnsi="Calibri;sans-serif"/>
          <w:color w:val="000000"/>
          <w:sz w:val="24"/>
        </w:rPr>
        <w:t xml:space="preserve">means September 30, 2023. </w:t>
      </w:r>
    </w:p>
    <w:p>
      <w:pPr>
        <w:pStyle w:val="TextBody"/>
        <w:bidi w:val="0"/>
        <w:spacing w:before="0" w:after="240"/>
        <w:jc w:val="left"/>
        <w:rPr>
          <w:rFonts w:ascii="Calibri" w:hAnsi="Calibri"/>
          <w:color w:val="000000"/>
          <w:sz w:val="24"/>
        </w:rPr>
      </w:pPr>
      <w:r>
        <w:rPr>
          <w:rFonts w:ascii="Calibri" w:hAnsi="Calibri"/>
          <w:color w:val="000000"/>
          <w:sz w:val="24"/>
        </w:rPr>
        <w:t>g.</w:t>
      </w:r>
    </w:p>
    <w:p>
      <w:pPr>
        <w:pStyle w:val="TextBody"/>
        <w:bidi w:val="0"/>
        <w:spacing w:before="0" w:after="240"/>
        <w:jc w:val="left"/>
        <w:rPr/>
      </w:pPr>
      <w:r>
        <w:rPr>
          <w:color w:val="000000"/>
        </w:rPr>
        <w:t>“</w:t>
      </w:r>
      <w:r>
        <w:rPr>
          <w:rFonts w:ascii="Calibri;sans-serif" w:hAnsi="Calibri;sans-serif"/>
          <w:color w:val="000000"/>
          <w:sz w:val="24"/>
          <w:u w:val="single"/>
        </w:rPr>
        <w:t>Erroneously Awarded Compensation</w:t>
      </w:r>
      <w:r>
        <w:rPr>
          <w:color w:val="000000"/>
        </w:rPr>
        <w:t xml:space="preserve">” </w:t>
      </w:r>
      <w:r>
        <w:rPr>
          <w:rFonts w:ascii="Calibri;sans-serif" w:hAnsi="Calibri;sans-serif"/>
          <w:color w:val="000000"/>
          <w:sz w:val="24"/>
        </w:rPr>
        <w:t>means, with respect to a Material Financial Restatement, the amount of any Incentive-Based Compensation received by a Covered Person on or after the Effective Date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that is based on a Financial Reporting measure is deemed received, earned or vested when the Financial Reporting Measure is attained, not when the actual payment, grant or vesting occurs.</w:t>
      </w:r>
    </w:p>
    <w:p>
      <w:pPr>
        <w:pStyle w:val="TextBody"/>
        <w:bidi w:val="0"/>
        <w:spacing w:before="0" w:after="240"/>
        <w:jc w:val="left"/>
        <w:rPr>
          <w:rFonts w:ascii="Calibri" w:hAnsi="Calibri"/>
          <w:color w:val="000000"/>
          <w:sz w:val="24"/>
        </w:rPr>
      </w:pPr>
      <w:r>
        <w:rPr>
          <w:rFonts w:ascii="Calibri" w:hAnsi="Calibri"/>
          <w:color w:val="000000"/>
          <w:sz w:val="24"/>
        </w:rPr>
        <w:t>h.</w:t>
      </w:r>
    </w:p>
    <w:p>
      <w:pPr>
        <w:pStyle w:val="TextBody"/>
        <w:bidi w:val="0"/>
        <w:spacing w:before="0" w:after="240"/>
        <w:jc w:val="left"/>
        <w:rPr/>
      </w:pPr>
      <w:r>
        <w:rPr>
          <w:color w:val="000000"/>
        </w:rPr>
        <w:t>“</w:t>
      </w:r>
      <w:r>
        <w:rPr>
          <w:rFonts w:ascii="Calibri;sans-serif" w:hAnsi="Calibri;sans-serif"/>
          <w:color w:val="000000"/>
          <w:sz w:val="24"/>
          <w:u w:val="single"/>
        </w:rPr>
        <w:t>Exchange</w:t>
      </w:r>
      <w:r>
        <w:rPr>
          <w:color w:val="000000"/>
        </w:rPr>
        <w:t xml:space="preserve">” </w:t>
      </w:r>
      <w:r>
        <w:rPr>
          <w:rFonts w:ascii="Calibri;sans-serif" w:hAnsi="Calibri;sans-serif"/>
          <w:color w:val="000000"/>
          <w:sz w:val="24"/>
        </w:rPr>
        <w:t>means The Nasdaq Stock Market LLC.</w:t>
      </w:r>
    </w:p>
    <w:p>
      <w:pPr>
        <w:pStyle w:val="TextBody"/>
        <w:bidi w:val="0"/>
        <w:spacing w:before="0" w:after="240"/>
        <w:jc w:val="left"/>
        <w:rPr>
          <w:rFonts w:ascii="Calibri" w:hAnsi="Calibri"/>
          <w:color w:val="000000"/>
          <w:sz w:val="24"/>
        </w:rPr>
      </w:pPr>
      <w:r>
        <w:rPr>
          <w:rFonts w:ascii="Calibri" w:hAnsi="Calibri"/>
          <w:color w:val="000000"/>
          <w:sz w:val="24"/>
        </w:rPr>
        <w:t>i.</w:t>
      </w:r>
    </w:p>
    <w:p>
      <w:pPr>
        <w:pStyle w:val="TextBody"/>
        <w:bidi w:val="0"/>
        <w:spacing w:before="0" w:after="240"/>
        <w:jc w:val="left"/>
        <w:rPr/>
      </w:pPr>
      <w:r>
        <w:rPr>
          <w:rFonts w:ascii="Calibri;sans-serif" w:hAnsi="Calibri;sans-serif"/>
          <w:color w:val="000000"/>
          <w:sz w:val="24"/>
        </w:rPr>
        <w:t>An “</w:t>
      </w:r>
      <w:r>
        <w:rPr>
          <w:rFonts w:ascii="Calibri;sans-serif" w:hAnsi="Calibri;sans-serif"/>
          <w:color w:val="000000"/>
          <w:sz w:val="24"/>
          <w:u w:val="single"/>
        </w:rPr>
        <w:t>Executive Officer</w:t>
      </w:r>
      <w:r>
        <w:rPr>
          <w:color w:val="000000"/>
        </w:rPr>
        <w:t xml:space="preserve">” </w:t>
      </w:r>
      <w:r>
        <w:rPr>
          <w:rFonts w:ascii="Calibri;sans-serif" w:hAnsi="Calibri;sans-serif"/>
          <w:color w:val="000000"/>
          <w:sz w:val="24"/>
        </w:rPr>
        <w:t>means any person who is identified as an officer pursuant to Section 16 of the Exchange Act and received Incentive-Based Compensation after beginning service in such role (regardless of whether such Incentive-Based Compensation was received during or after such person’s service in such role) and served in such role at any time during the performance period for such Incentive-Based Compensation. Persons who would be deemed Executive Officers of parents or subsidiaries of the Company under this definition may be deemed Executive Officers of the Company if they perform policy making functions for the Company.</w:t>
      </w:r>
    </w:p>
    <w:p>
      <w:pPr>
        <w:pStyle w:val="TextBody"/>
        <w:bidi w:val="0"/>
        <w:spacing w:before="240" w:after="283"/>
        <w:jc w:val="center"/>
        <w:rPr>
          <w:rFonts w:ascii="Calibri;sans-serif" w:hAnsi="Calibri;sans-serif"/>
          <w:color w:val="000000"/>
          <w:sz w:val="24"/>
        </w:rPr>
      </w:pPr>
      <w:r>
        <w:rPr>
          <w:rFonts w:ascii="Calibri;sans-serif" w:hAnsi="Calibri;sans-serif"/>
          <w:color w:val="000000"/>
          <w:sz w:val="24"/>
        </w:rPr>
        <w:t>2</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spacing w:before="0" w:after="240"/>
        <w:jc w:val="left"/>
        <w:rPr>
          <w:rFonts w:ascii="Calibri" w:hAnsi="Calibri"/>
          <w:color w:val="000000"/>
          <w:sz w:val="24"/>
        </w:rPr>
      </w:pPr>
      <w:r>
        <w:rPr>
          <w:rFonts w:ascii="Calibri" w:hAnsi="Calibri"/>
          <w:color w:val="000000"/>
          <w:sz w:val="24"/>
        </w:rPr>
        <w:t>j.</w:t>
      </w:r>
    </w:p>
    <w:p>
      <w:pPr>
        <w:pStyle w:val="TextBody"/>
        <w:bidi w:val="0"/>
        <w:spacing w:before="0" w:after="240"/>
        <w:jc w:val="left"/>
        <w:rPr/>
      </w:pPr>
      <w:r>
        <w:rPr>
          <w:color w:val="000000"/>
        </w:rPr>
        <w:t>“</w:t>
      </w:r>
      <w:r>
        <w:rPr>
          <w:rFonts w:ascii="Calibri;sans-serif" w:hAnsi="Calibri;sans-serif"/>
          <w:color w:val="000000"/>
          <w:sz w:val="24"/>
          <w:u w:val="single"/>
        </w:rPr>
        <w:t>Financial Reporting Measures</w:t>
      </w:r>
      <w:r>
        <w:rPr>
          <w:color w:val="000000"/>
        </w:rPr>
        <w:t xml:space="preserve">” </w:t>
      </w:r>
      <w:r>
        <w:rPr>
          <w:rFonts w:ascii="Calibri;sans-serif" w:hAnsi="Calibri;sans-serif"/>
          <w:color w:val="000000"/>
          <w:sz w:val="24"/>
        </w:rPr>
        <w:t xml:space="preserve">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 </w:t>
      </w:r>
    </w:p>
    <w:p>
      <w:pPr>
        <w:pStyle w:val="TextBody"/>
        <w:bidi w:val="0"/>
        <w:spacing w:before="0" w:after="240"/>
        <w:jc w:val="left"/>
        <w:rPr>
          <w:rFonts w:ascii="Calibri" w:hAnsi="Calibri"/>
          <w:color w:val="000000"/>
          <w:sz w:val="24"/>
        </w:rPr>
      </w:pPr>
      <w:r>
        <w:rPr>
          <w:rFonts w:ascii="Calibri" w:hAnsi="Calibri"/>
          <w:color w:val="000000"/>
          <w:sz w:val="24"/>
        </w:rPr>
        <w:t>k.</w:t>
      </w:r>
    </w:p>
    <w:p>
      <w:pPr>
        <w:pStyle w:val="TextBody"/>
        <w:bidi w:val="0"/>
        <w:spacing w:before="0" w:after="240"/>
        <w:jc w:val="left"/>
        <w:rPr/>
      </w:pPr>
      <w:r>
        <w:rPr>
          <w:color w:val="000000"/>
        </w:rPr>
        <w:t>“</w:t>
      </w:r>
      <w:r>
        <w:rPr>
          <w:rFonts w:ascii="Calibri;sans-serif" w:hAnsi="Calibri;sans-serif"/>
          <w:color w:val="000000"/>
          <w:sz w:val="24"/>
          <w:u w:val="single"/>
        </w:rPr>
        <w:t>Incentive-Based Compensation</w:t>
      </w:r>
      <w:r>
        <w:rPr>
          <w:color w:val="000000"/>
        </w:rPr>
        <w:t xml:space="preserve">” </w:t>
      </w:r>
      <w:r>
        <w:rPr>
          <w:rFonts w:ascii="Calibri;sans-serif" w:hAnsi="Calibri;sans-serif"/>
          <w:color w:val="000000"/>
          <w:sz w:val="24"/>
        </w:rPr>
        <w:t xml:space="preserve">means any compensation provided, directly or indirectly, by the Company or any of its subsidiaries that is granted, earned, or vested based, in whole or in part, upon the attainment of a Financial Reporting Measure. </w:t>
      </w:r>
    </w:p>
    <w:p>
      <w:pPr>
        <w:pStyle w:val="TextBody"/>
        <w:bidi w:val="0"/>
        <w:spacing w:before="0" w:after="240"/>
        <w:jc w:val="left"/>
        <w:rPr>
          <w:rFonts w:ascii="Calibri" w:hAnsi="Calibri"/>
          <w:color w:val="000000"/>
          <w:sz w:val="24"/>
        </w:rPr>
      </w:pPr>
      <w:r>
        <w:rPr>
          <w:rFonts w:ascii="Calibri" w:hAnsi="Calibri"/>
          <w:color w:val="000000"/>
          <w:sz w:val="24"/>
        </w:rPr>
        <w:t>l.</w:t>
      </w:r>
    </w:p>
    <w:p>
      <w:pPr>
        <w:pStyle w:val="TextBody"/>
        <w:bidi w:val="0"/>
        <w:spacing w:before="0" w:after="240"/>
        <w:jc w:val="left"/>
        <w:rPr/>
      </w:pPr>
      <w:r>
        <w:rPr>
          <w:rFonts w:ascii="Calibri;sans-serif" w:hAnsi="Calibri;sans-serif"/>
          <w:color w:val="000000"/>
          <w:sz w:val="24"/>
        </w:rPr>
        <w:t>A “</w:t>
      </w:r>
      <w:r>
        <w:rPr>
          <w:rFonts w:ascii="Calibri;sans-serif" w:hAnsi="Calibri;sans-serif"/>
          <w:color w:val="000000"/>
          <w:sz w:val="24"/>
          <w:u w:val="single"/>
        </w:rPr>
        <w:t>Material Financial Restatement</w:t>
      </w:r>
      <w:r>
        <w:rPr>
          <w:color w:val="000000"/>
        </w:rPr>
        <w:t xml:space="preserve">” </w:t>
      </w:r>
      <w:r>
        <w:rPr>
          <w:rFonts w:ascii="Calibri;sans-serif" w:hAnsi="Calibri;sans-serif"/>
          <w:color w:val="000000"/>
          <w:sz w:val="24"/>
        </w:rPr>
        <w:t xml:space="preserve">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 </w:t>
      </w:r>
    </w:p>
    <w:p>
      <w:pPr>
        <w:pStyle w:val="TextBody"/>
        <w:bidi w:val="0"/>
        <w:spacing w:before="0" w:after="240"/>
        <w:jc w:val="left"/>
        <w:rPr>
          <w:rFonts w:ascii="Calibri" w:hAnsi="Calibri"/>
          <w:color w:val="000000"/>
          <w:sz w:val="24"/>
        </w:rPr>
      </w:pPr>
      <w:r>
        <w:rPr>
          <w:rFonts w:ascii="Calibri" w:hAnsi="Calibri"/>
          <w:color w:val="000000"/>
          <w:sz w:val="24"/>
        </w:rPr>
        <w:t>m.</w:t>
      </w:r>
    </w:p>
    <w:p>
      <w:pPr>
        <w:pStyle w:val="TextBody"/>
        <w:bidi w:val="0"/>
        <w:spacing w:before="0" w:after="240"/>
        <w:jc w:val="left"/>
        <w:rPr/>
      </w:pPr>
      <w:r>
        <w:rPr>
          <w:color w:val="000000"/>
        </w:rPr>
        <w:t>“</w:t>
      </w:r>
      <w:r>
        <w:rPr>
          <w:rFonts w:ascii="Calibri;sans-serif" w:hAnsi="Calibri;sans-serif"/>
          <w:color w:val="000000"/>
          <w:sz w:val="24"/>
          <w:u w:val="single"/>
        </w:rPr>
        <w:t>Restatement Date</w:t>
      </w:r>
      <w:r>
        <w:rPr>
          <w:color w:val="000000"/>
        </w:rPr>
        <w:t xml:space="preserve">” </w:t>
      </w:r>
      <w:r>
        <w:rPr>
          <w:rFonts w:ascii="Calibri;sans-serif" w:hAnsi="Calibri;sans-serif"/>
          <w:color w:val="000000"/>
          <w:sz w:val="24"/>
        </w:rPr>
        <w:t>means, with respect to a Material Financial Restatement, the earlier to occur of: (i) the date the Board or the Audit Committee of the Board concludes, or reasonably should have concluded, that the Company is required to prepare the Material Financial Restatement or (ii) the date a court, regulator or other legally authorized body directs the Company to prepare the Material Financial Restatement.</w:t>
      </w:r>
    </w:p>
    <w:p>
      <w:pPr>
        <w:pStyle w:val="TextBody"/>
        <w:bidi w:val="0"/>
        <w:spacing w:before="0" w:after="240"/>
        <w:jc w:val="left"/>
        <w:rPr>
          <w:rFonts w:ascii="Calibri;sans-serif" w:hAnsi="Calibri;sans-serif"/>
          <w:b/>
          <w:color w:val="000000"/>
          <w:sz w:val="24"/>
        </w:rPr>
      </w:pPr>
      <w:r>
        <w:rPr>
          <w:rFonts w:ascii="Calibri;sans-serif" w:hAnsi="Calibri;sans-serif"/>
          <w:b/>
          <w:color w:val="000000"/>
          <w:sz w:val="24"/>
        </w:rPr>
        <w:t>4. Exception to Compensation Recovery Requirement</w:t>
      </w:r>
    </w:p>
    <w:p>
      <w:pPr>
        <w:pStyle w:val="TextBody"/>
        <w:bidi w:val="0"/>
        <w:spacing w:before="0" w:after="240"/>
        <w:jc w:val="left"/>
        <w:rPr>
          <w:rFonts w:ascii="Times New Roman" w:hAnsi="Times New Roman"/>
          <w:sz w:val="20"/>
        </w:rPr>
      </w:pPr>
      <w:r>
        <w:rPr>
          <w:rFonts w:ascii="Calibri;sans-serif" w:hAnsi="Calibri;sans-serif"/>
          <w:color w:val="000000"/>
          <w:sz w:val="24"/>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r>
        <w:rPr>
          <w:rFonts w:ascii="Times New Roman" w:hAnsi="Times New Roman"/>
          <w:color w:val="000000"/>
          <w:sz w:val="20"/>
        </w:rPr>
        <w:t xml:space="preserve"> </w:t>
      </w:r>
    </w:p>
    <w:p>
      <w:pPr>
        <w:pStyle w:val="TextBody"/>
        <w:bidi w:val="0"/>
        <w:spacing w:before="0" w:after="240"/>
        <w:jc w:val="left"/>
        <w:rPr>
          <w:rFonts w:ascii="Calibri;sans-serif" w:hAnsi="Calibri;sans-serif"/>
          <w:b/>
          <w:color w:val="000000"/>
          <w:sz w:val="24"/>
        </w:rPr>
      </w:pPr>
      <w:r>
        <w:rPr>
          <w:rFonts w:ascii="Calibri;sans-serif" w:hAnsi="Calibri;sans-serif"/>
          <w:b/>
          <w:color w:val="000000"/>
          <w:sz w:val="24"/>
        </w:rPr>
        <w:t>5. Tax Considerations</w:t>
      </w:r>
    </w:p>
    <w:p>
      <w:pPr>
        <w:pStyle w:val="TextBody"/>
        <w:bidi w:val="0"/>
        <w:spacing w:before="0" w:after="240"/>
        <w:jc w:val="left"/>
        <w:rPr>
          <w:rFonts w:ascii="Times New Roman" w:hAnsi="Times New Roman"/>
          <w:sz w:val="20"/>
        </w:rPr>
      </w:pPr>
      <w:r>
        <w:rPr>
          <w:rFonts w:ascii="Calibri;sans-serif" w:hAnsi="Calibri;sans-serif"/>
          <w:color w:val="000000"/>
          <w:sz w:val="24"/>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r>
        <w:rPr>
          <w:rFonts w:ascii="Times New Roman" w:hAnsi="Times New Roman"/>
          <w:color w:val="000000"/>
          <w:sz w:val="20"/>
        </w:rPr>
        <w:t xml:space="preserve"> </w:t>
      </w:r>
    </w:p>
    <w:p>
      <w:pPr>
        <w:pStyle w:val="TextBody"/>
        <w:bidi w:val="0"/>
        <w:spacing w:before="0" w:after="240"/>
        <w:jc w:val="left"/>
        <w:rPr>
          <w:rFonts w:ascii="Calibri;sans-serif" w:hAnsi="Calibri;sans-serif"/>
          <w:b/>
          <w:color w:val="000000"/>
          <w:sz w:val="24"/>
        </w:rPr>
      </w:pPr>
      <w:r>
        <w:rPr>
          <w:rFonts w:ascii="Calibri;sans-serif" w:hAnsi="Calibri;sans-serif"/>
          <w:b/>
          <w:color w:val="000000"/>
          <w:sz w:val="24"/>
        </w:rPr>
        <w:t>6. Method of Compensation Recovery</w:t>
      </w:r>
    </w:p>
    <w:p>
      <w:pPr>
        <w:pStyle w:val="TextBody"/>
        <w:bidi w:val="0"/>
        <w:spacing w:before="240" w:after="283"/>
        <w:jc w:val="center"/>
        <w:rPr>
          <w:rFonts w:ascii="Calibri;sans-serif" w:hAnsi="Calibri;sans-serif"/>
          <w:color w:val="000000"/>
          <w:sz w:val="24"/>
        </w:rPr>
      </w:pPr>
      <w:r>
        <w:rPr>
          <w:rFonts w:ascii="Calibri;sans-serif" w:hAnsi="Calibri;sans-serif"/>
          <w:color w:val="000000"/>
          <w:sz w:val="24"/>
        </w:rPr>
        <w:t>3</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spacing w:before="0" w:after="240"/>
        <w:jc w:val="left"/>
        <w:rPr>
          <w:rFonts w:ascii="Calibri;sans-serif" w:hAnsi="Calibri;sans-serif"/>
          <w:color w:val="000000"/>
          <w:sz w:val="24"/>
        </w:rPr>
      </w:pPr>
      <w:r>
        <w:rPr>
          <w:rFonts w:ascii="Calibri;sans-serif" w:hAnsi="Calibri;sans-serif"/>
          <w:color w:val="000000"/>
          <w:sz w:val="24"/>
        </w:rPr>
        <w:t>The Committee shall determine, in its sole discretion, the method for recovering Erroneously Awarded Compensation hereunder, which may include, without limitation, any one or more of the following:</w:t>
      </w:r>
    </w:p>
    <w:p>
      <w:pPr>
        <w:pStyle w:val="TextBody"/>
        <w:bidi w:val="0"/>
        <w:spacing w:before="0" w:after="240"/>
        <w:jc w:val="left"/>
        <w:rPr>
          <w:rFonts w:ascii="Calibri" w:hAnsi="Calibri"/>
          <w:color w:val="000000"/>
          <w:sz w:val="24"/>
        </w:rPr>
      </w:pPr>
      <w:r>
        <w:rPr>
          <w:rFonts w:ascii="Calibri" w:hAnsi="Calibri"/>
          <w:color w:val="000000"/>
          <w:sz w:val="24"/>
        </w:rPr>
        <w:t>a.</w:t>
      </w:r>
    </w:p>
    <w:p>
      <w:pPr>
        <w:pStyle w:val="TextBody"/>
        <w:bidi w:val="0"/>
        <w:spacing w:before="0" w:after="240"/>
        <w:jc w:val="left"/>
        <w:rPr>
          <w:rFonts w:ascii="Calibri;sans-serif" w:hAnsi="Calibri;sans-serif"/>
          <w:color w:val="000000"/>
          <w:sz w:val="24"/>
        </w:rPr>
      </w:pPr>
      <w:r>
        <w:rPr>
          <w:rFonts w:ascii="Calibri;sans-serif" w:hAnsi="Calibri;sans-serif"/>
          <w:color w:val="000000"/>
          <w:sz w:val="24"/>
        </w:rPr>
        <w:t>requiring reimbursement of cash Incentive-Based Compensation previously paid;</w:t>
      </w:r>
    </w:p>
    <w:p>
      <w:pPr>
        <w:pStyle w:val="TextBody"/>
        <w:bidi w:val="0"/>
        <w:spacing w:before="0" w:after="240"/>
        <w:jc w:val="left"/>
        <w:rPr>
          <w:rFonts w:ascii="Calibri" w:hAnsi="Calibri"/>
          <w:color w:val="000000"/>
          <w:sz w:val="24"/>
        </w:rPr>
      </w:pPr>
      <w:r>
        <w:rPr>
          <w:rFonts w:ascii="Calibri" w:hAnsi="Calibri"/>
          <w:color w:val="000000"/>
          <w:sz w:val="24"/>
        </w:rPr>
        <w:t>b.</w:t>
      </w:r>
    </w:p>
    <w:p>
      <w:pPr>
        <w:pStyle w:val="TextBody"/>
        <w:bidi w:val="0"/>
        <w:spacing w:before="0" w:after="240"/>
        <w:jc w:val="left"/>
        <w:rPr>
          <w:rFonts w:ascii="Calibri;sans-serif" w:hAnsi="Calibri;sans-serif"/>
          <w:color w:val="000000"/>
          <w:sz w:val="24"/>
        </w:rPr>
      </w:pPr>
      <w:r>
        <w:rPr>
          <w:rFonts w:ascii="Calibri;sans-serif" w:hAnsi="Calibri;sans-serif"/>
          <w:color w:val="000000"/>
          <w:sz w:val="24"/>
        </w:rPr>
        <w:t xml:space="preserve">seeking recovery of any gain realized on the vesting, exercise, settlement, sale, transfer or other disposition of any equity-based awards; </w:t>
      </w:r>
    </w:p>
    <w:p>
      <w:pPr>
        <w:pStyle w:val="TextBody"/>
        <w:bidi w:val="0"/>
        <w:spacing w:before="0" w:after="240"/>
        <w:jc w:val="left"/>
        <w:rPr>
          <w:rFonts w:ascii="Calibri" w:hAnsi="Calibri"/>
          <w:color w:val="000000"/>
          <w:sz w:val="24"/>
        </w:rPr>
      </w:pPr>
      <w:r>
        <w:rPr>
          <w:rFonts w:ascii="Calibri" w:hAnsi="Calibri"/>
          <w:color w:val="000000"/>
          <w:sz w:val="24"/>
        </w:rPr>
        <w:t>c.</w:t>
      </w:r>
    </w:p>
    <w:p>
      <w:pPr>
        <w:pStyle w:val="TextBody"/>
        <w:bidi w:val="0"/>
        <w:spacing w:before="0" w:after="240"/>
        <w:jc w:val="left"/>
        <w:rPr>
          <w:rFonts w:ascii="Calibri;sans-serif" w:hAnsi="Calibri;sans-serif"/>
          <w:color w:val="000000"/>
          <w:sz w:val="24"/>
        </w:rPr>
      </w:pPr>
      <w:r>
        <w:rPr>
          <w:rFonts w:ascii="Calibri;sans-serif" w:hAnsi="Calibri;sans-serif"/>
          <w:color w:val="000000"/>
          <w:sz w:val="24"/>
        </w:rPr>
        <w:t xml:space="preserve">cancelling or rescinding some or all outstanding vested or unvested equity-based awards; </w:t>
      </w:r>
    </w:p>
    <w:p>
      <w:pPr>
        <w:pStyle w:val="TextBody"/>
        <w:bidi w:val="0"/>
        <w:spacing w:before="0" w:after="240"/>
        <w:jc w:val="left"/>
        <w:rPr>
          <w:rFonts w:ascii="Calibri" w:hAnsi="Calibri"/>
          <w:color w:val="000000"/>
          <w:sz w:val="24"/>
        </w:rPr>
      </w:pPr>
      <w:r>
        <w:rPr>
          <w:rFonts w:ascii="Calibri" w:hAnsi="Calibri"/>
          <w:color w:val="000000"/>
          <w:sz w:val="24"/>
        </w:rPr>
        <w:t>d.</w:t>
      </w:r>
    </w:p>
    <w:p>
      <w:pPr>
        <w:pStyle w:val="TextBody"/>
        <w:bidi w:val="0"/>
        <w:spacing w:before="0" w:after="240"/>
        <w:jc w:val="left"/>
        <w:rPr>
          <w:rFonts w:ascii="Calibri;sans-serif" w:hAnsi="Calibri;sans-serif"/>
          <w:color w:val="000000"/>
          <w:sz w:val="24"/>
        </w:rPr>
      </w:pPr>
      <w:r>
        <w:rPr>
          <w:rFonts w:ascii="Calibri;sans-serif" w:hAnsi="Calibri;sans-serif"/>
          <w:color w:val="000000"/>
          <w:sz w:val="24"/>
        </w:rPr>
        <w:t>adjusting or withholding from unpaid compensation or other set-off;</w:t>
      </w:r>
    </w:p>
    <w:p>
      <w:pPr>
        <w:pStyle w:val="TextBody"/>
        <w:bidi w:val="0"/>
        <w:spacing w:before="0" w:after="240"/>
        <w:jc w:val="left"/>
        <w:rPr>
          <w:rFonts w:ascii="Calibri" w:hAnsi="Calibri"/>
          <w:color w:val="000000"/>
          <w:sz w:val="24"/>
        </w:rPr>
      </w:pPr>
      <w:r>
        <w:rPr>
          <w:rFonts w:ascii="Calibri" w:hAnsi="Calibri"/>
          <w:color w:val="000000"/>
          <w:sz w:val="24"/>
        </w:rPr>
        <w:t>e.</w:t>
      </w:r>
    </w:p>
    <w:p>
      <w:pPr>
        <w:pStyle w:val="TextBody"/>
        <w:bidi w:val="0"/>
        <w:spacing w:before="0" w:after="240"/>
        <w:jc w:val="left"/>
        <w:rPr>
          <w:rFonts w:ascii="Calibri;sans-serif" w:hAnsi="Calibri;sans-serif"/>
          <w:color w:val="000000"/>
          <w:sz w:val="24"/>
        </w:rPr>
      </w:pPr>
      <w:r>
        <w:rPr>
          <w:rFonts w:ascii="Calibri;sans-serif" w:hAnsi="Calibri;sans-serif"/>
          <w:color w:val="000000"/>
          <w:sz w:val="24"/>
        </w:rPr>
        <w:t xml:space="preserve">cancelling or setting-off against planned future grants of equity-based awards; and/or </w:t>
      </w:r>
    </w:p>
    <w:p>
      <w:pPr>
        <w:pStyle w:val="TextBody"/>
        <w:bidi w:val="0"/>
        <w:spacing w:before="0" w:after="240"/>
        <w:jc w:val="left"/>
        <w:rPr>
          <w:rFonts w:ascii="Calibri" w:hAnsi="Calibri"/>
          <w:color w:val="000000"/>
          <w:sz w:val="24"/>
        </w:rPr>
      </w:pPr>
      <w:r>
        <w:rPr>
          <w:rFonts w:ascii="Calibri" w:hAnsi="Calibri"/>
          <w:color w:val="000000"/>
          <w:sz w:val="24"/>
        </w:rPr>
        <w:t>f.</w:t>
      </w:r>
    </w:p>
    <w:p>
      <w:pPr>
        <w:pStyle w:val="TextBody"/>
        <w:bidi w:val="0"/>
        <w:spacing w:before="0" w:after="240"/>
        <w:jc w:val="left"/>
        <w:rPr>
          <w:rFonts w:ascii="Calibri;sans-serif" w:hAnsi="Calibri;sans-serif"/>
          <w:color w:val="000000"/>
          <w:sz w:val="24"/>
        </w:rPr>
      </w:pPr>
      <w:r>
        <w:rPr>
          <w:rFonts w:ascii="Calibri;sans-serif" w:hAnsi="Calibri;sans-serif"/>
          <w:color w:val="000000"/>
          <w:sz w:val="24"/>
        </w:rPr>
        <w:t>any other method permitted by applicable law or contract.</w:t>
      </w:r>
    </w:p>
    <w:p>
      <w:pPr>
        <w:pStyle w:val="TextBody"/>
        <w:bidi w:val="0"/>
        <w:spacing w:before="0" w:after="240"/>
        <w:jc w:val="left"/>
        <w:rPr>
          <w:rFonts w:ascii="Calibri;sans-serif" w:hAnsi="Calibri;sans-serif"/>
          <w:color w:val="000000"/>
          <w:sz w:val="24"/>
        </w:rPr>
      </w:pPr>
      <w:r>
        <w:rPr>
          <w:rFonts w:ascii="Calibri;sans-serif" w:hAnsi="Calibri;sans-serif"/>
          <w:color w:val="000000"/>
          <w:sz w:val="24"/>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pStyle w:val="TextBody"/>
        <w:bidi w:val="0"/>
        <w:spacing w:before="0" w:after="240"/>
        <w:jc w:val="left"/>
        <w:rPr>
          <w:rFonts w:ascii="Calibri;sans-serif" w:hAnsi="Calibri;sans-serif"/>
          <w:b/>
          <w:color w:val="000000"/>
          <w:sz w:val="24"/>
        </w:rPr>
      </w:pPr>
      <w:r>
        <w:rPr>
          <w:rFonts w:ascii="Calibri;sans-serif" w:hAnsi="Calibri;sans-serif"/>
          <w:b/>
          <w:color w:val="000000"/>
          <w:sz w:val="24"/>
        </w:rPr>
        <w:t>7. Policy Interpretation</w:t>
      </w:r>
    </w:p>
    <w:p>
      <w:pPr>
        <w:pStyle w:val="TextBody"/>
        <w:bidi w:val="0"/>
        <w:spacing w:before="0" w:after="240"/>
        <w:jc w:val="left"/>
        <w:rPr>
          <w:rFonts w:ascii="Calibri;sans-serif" w:hAnsi="Calibri;sans-serif"/>
          <w:color w:val="000000"/>
          <w:sz w:val="24"/>
        </w:rPr>
      </w:pPr>
      <w:r>
        <w:rPr>
          <w:rFonts w:ascii="Calibri;sans-serif" w:hAnsi="Calibri;sans-serif"/>
          <w:color w:val="000000"/>
          <w:sz w:val="24"/>
        </w:rPr>
        <w:t>This Policy shall be interpreted in a manner that is consistent with the Applicable Rules and any 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pStyle w:val="TextBody"/>
        <w:bidi w:val="0"/>
        <w:spacing w:before="0" w:after="240"/>
        <w:jc w:val="left"/>
        <w:rPr>
          <w:rFonts w:ascii="Calibri;sans-serif" w:hAnsi="Calibri;sans-serif"/>
          <w:b/>
          <w:color w:val="000000"/>
          <w:sz w:val="24"/>
        </w:rPr>
      </w:pPr>
      <w:r>
        <w:rPr>
          <w:rFonts w:ascii="Calibri;sans-serif" w:hAnsi="Calibri;sans-serif"/>
          <w:b/>
          <w:color w:val="000000"/>
          <w:sz w:val="24"/>
        </w:rPr>
        <w:t>8. Policy Administration</w:t>
      </w:r>
    </w:p>
    <w:p>
      <w:pPr>
        <w:pStyle w:val="TextBody"/>
        <w:bidi w:val="0"/>
        <w:spacing w:before="0" w:after="240"/>
        <w:jc w:val="left"/>
        <w:rPr>
          <w:rFonts w:ascii="Times New Roman" w:hAnsi="Times New Roman"/>
          <w:sz w:val="20"/>
        </w:rPr>
      </w:pPr>
      <w:r>
        <w:rPr>
          <w:rFonts w:ascii="Calibri;sans-serif" w:hAnsi="Calibri;sans-serif"/>
          <w:color w:val="000000"/>
          <w:sz w:val="24"/>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w:t>
      </w:r>
      <w:r>
        <w:rPr>
          <w:rFonts w:ascii="Times New Roman" w:hAnsi="Times New Roman"/>
          <w:color w:val="000000"/>
          <w:sz w:val="20"/>
        </w:rPr>
        <w:t xml:space="preserve"> </w:t>
      </w:r>
    </w:p>
    <w:p>
      <w:pPr>
        <w:pStyle w:val="TextBody"/>
        <w:bidi w:val="0"/>
        <w:spacing w:before="240" w:after="283"/>
        <w:jc w:val="center"/>
        <w:rPr>
          <w:rFonts w:ascii="Calibri;sans-serif" w:hAnsi="Calibri;sans-serif"/>
          <w:color w:val="000000"/>
          <w:sz w:val="24"/>
        </w:rPr>
      </w:pPr>
      <w:r>
        <w:rPr>
          <w:rFonts w:ascii="Calibri;sans-serif" w:hAnsi="Calibri;sans-serif"/>
          <w:color w:val="000000"/>
          <w:sz w:val="24"/>
        </w:rPr>
        <w:t>4</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spacing w:before="0" w:after="240"/>
        <w:jc w:val="left"/>
        <w:rPr>
          <w:rFonts w:ascii="Times New Roman" w:hAnsi="Times New Roman"/>
          <w:sz w:val="20"/>
        </w:rPr>
      </w:pPr>
      <w:r>
        <w:rPr>
          <w:rFonts w:ascii="Calibri;sans-serif" w:hAnsi="Calibri;sans-serif"/>
          <w:color w:val="000000"/>
          <w:sz w:val="24"/>
        </w:rPr>
        <w:t>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r>
        <w:rPr>
          <w:rFonts w:ascii="Times New Roman" w:hAnsi="Times New Roman"/>
          <w:color w:val="000000"/>
          <w:sz w:val="20"/>
        </w:rPr>
        <w:t xml:space="preserve"> </w:t>
      </w:r>
    </w:p>
    <w:p>
      <w:pPr>
        <w:pStyle w:val="TextBody"/>
        <w:bidi w:val="0"/>
        <w:spacing w:before="0" w:after="240"/>
        <w:jc w:val="left"/>
        <w:rPr>
          <w:rFonts w:ascii="Calibri;sans-serif" w:hAnsi="Calibri;sans-serif"/>
          <w:b/>
          <w:color w:val="000000"/>
          <w:sz w:val="24"/>
        </w:rPr>
      </w:pPr>
      <w:r>
        <w:rPr>
          <w:rFonts w:ascii="Calibri;sans-serif" w:hAnsi="Calibri;sans-serif"/>
          <w:b/>
          <w:color w:val="000000"/>
          <w:sz w:val="24"/>
        </w:rPr>
        <w:t>9. Compensation Recovery Repayments not Subject to Indemnification</w:t>
      </w:r>
    </w:p>
    <w:p>
      <w:pPr>
        <w:pStyle w:val="TextBody"/>
        <w:bidi w:val="0"/>
        <w:spacing w:before="0" w:after="240"/>
        <w:jc w:val="left"/>
        <w:rPr>
          <w:rFonts w:ascii="Calibri;sans-serif" w:hAnsi="Calibri;sans-serif"/>
          <w:color w:val="000000"/>
          <w:sz w:val="24"/>
        </w:rPr>
      </w:pPr>
      <w:r>
        <w:rPr>
          <w:rFonts w:ascii="Calibri;sans-serif" w:hAnsi="Calibri;sans-serif"/>
          <w:color w:val="000000"/>
          <w:sz w:val="24"/>
        </w:rPr>
        <w:t>Notwithstanding anything to the contrary set forth in any agreement with, or the organizational documents of, the Company or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p>
      <w:pPr>
        <w:pStyle w:val="TextBody"/>
        <w:bidi w:val="0"/>
        <w:spacing w:before="0" w:after="240"/>
        <w:jc w:val="left"/>
        <w:rPr>
          <w:rFonts w:ascii="Calibri;sans-serif" w:hAnsi="Calibri;sans-serif"/>
          <w:b/>
          <w:color w:val="000000"/>
          <w:sz w:val="24"/>
        </w:rPr>
      </w:pPr>
      <w:r>
        <w:rPr>
          <w:rFonts w:ascii="Calibri;sans-serif" w:hAnsi="Calibri;sans-serif"/>
          <w:b/>
          <w:color w:val="000000"/>
          <w:sz w:val="24"/>
        </w:rPr>
        <w:t>Adopted on September 29, 2023.</w:t>
      </w:r>
    </w:p>
    <w:p>
      <w:pPr>
        <w:pStyle w:val="TextBody"/>
        <w:bidi w:val="0"/>
        <w:spacing w:before="240" w:after="283"/>
        <w:jc w:val="center"/>
        <w:rPr>
          <w:rFonts w:ascii="Calibri;sans-serif" w:hAnsi="Calibri;sans-serif"/>
          <w:color w:val="000000"/>
          <w:sz w:val="24"/>
        </w:rPr>
      </w:pPr>
      <w:r>
        <w:rPr>
          <w:rFonts w:ascii="Calibri;sans-serif" w:hAnsi="Calibri;sans-serif"/>
          <w:color w:val="000000"/>
          <w:sz w:val="24"/>
        </w:rPr>
        <w:t>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hyperlink" Target="https://www.sec.gov/Archives/edgar/data/1812364/000119312521118438/d110953dex21.htm" TargetMode="External"/><Relationship Id="rId15" Type="http://schemas.openxmlformats.org/officeDocument/2006/relationships/hyperlink" Target="https://www.sec.gov/Archives/edgar/data/1812364/000095017023004123/rlay-ex3_1.htm" TargetMode="External"/><Relationship Id="rId16" Type="http://schemas.openxmlformats.org/officeDocument/2006/relationships/hyperlink" Target="https://www.sec.gov/Archives/edgar/data/0001812364/000119312520196383/d29076dex32.htm" TargetMode="External"/><Relationship Id="rId17" Type="http://schemas.openxmlformats.org/officeDocument/2006/relationships/hyperlink" Target="https://www.sec.gov/Archives/edgar/data/0001812364/000119312520190069/d924757dex41.htm" TargetMode="External"/><Relationship Id="rId18" Type="http://schemas.openxmlformats.org/officeDocument/2006/relationships/hyperlink" Target="https://www.sec.gov/Archives/edgar/data/0001812364/000119312520177746/d924757dex101.htm" TargetMode="External"/><Relationship Id="rId19" Type="http://schemas.openxmlformats.org/officeDocument/2006/relationships/hyperlink" Target="https://www.sec.gov/Archives/edgar/data/1812364/000095017022001978/rlay-ex10_2.htm" TargetMode="External"/><Relationship Id="rId20" Type="http://schemas.openxmlformats.org/officeDocument/2006/relationships/hyperlink" Target="https://www.sec.gov/Archives/edgar/data/0001812364/000119312520190069/d924757dex103.htm" TargetMode="External"/><Relationship Id="rId21" Type="http://schemas.openxmlformats.org/officeDocument/2006/relationships/hyperlink" Target="https://www.sec.gov/Archives/edgar/data/0001812364/000119312520177746/d924757dex104.htm" TargetMode="External"/><Relationship Id="rId22" Type="http://schemas.openxmlformats.org/officeDocument/2006/relationships/hyperlink" Target="https://www.sec.gov/Archives/edgar/data/1812364/000095017023039874/rlay-ex10_2.htm" TargetMode="External"/><Relationship Id="rId23" Type="http://schemas.openxmlformats.org/officeDocument/2006/relationships/hyperlink" Target="https://www.sec.gov/Archives/edgar/data/1812364/000095017023039874/rlay-ex10_2.htm" TargetMode="External"/><Relationship Id="rId24" Type="http://schemas.openxmlformats.org/officeDocument/2006/relationships/hyperlink" Target="https://www.sec.gov/Archives/edgar/data/0001812364/000119312520177746/d924757dex106.htm" TargetMode="External"/><Relationship Id="rId25" Type="http://schemas.openxmlformats.org/officeDocument/2006/relationships/hyperlink" Target="https://www.sec.gov/Archives/edgar/data/0001812364/000119312520190069/d924757dex108.htm" TargetMode="External"/><Relationship Id="rId26" Type="http://schemas.openxmlformats.org/officeDocument/2006/relationships/hyperlink" Target="https://www.sec.gov/Archives/edgar/data/0001812364/000119312520177746/d924757dex109.htm" TargetMode="External"/><Relationship Id="rId27" Type="http://schemas.openxmlformats.org/officeDocument/2006/relationships/hyperlink" Target="https://www.sec.gov/Archives/edgar/data/0001812364/000156459021043999/rlay-ex102_8.htm" TargetMode="External"/><Relationship Id="rId28" Type="http://schemas.openxmlformats.org/officeDocument/2006/relationships/hyperlink" Target="https://www.sec.gov/Archives/edgar/data/1812364/000095017023039874/rlay-ex10_3.htm" TargetMode="External"/><Relationship Id="rId29" Type="http://schemas.openxmlformats.org/officeDocument/2006/relationships/hyperlink" Target="https://www.sec.gov/Archives/edgar/data/0001812364/000119312520177746/d924757dex1010.htm" TargetMode="External"/><Relationship Id="rId30" Type="http://schemas.openxmlformats.org/officeDocument/2006/relationships/hyperlink" Target="https://www.sec.gov/Archives/edgar/data/0001812364/000119312521137130/d132252dex1010.htm" TargetMode="External"/><Relationship Id="rId31" Type="http://schemas.openxmlformats.org/officeDocument/2006/relationships/hyperlink" Target="https://www.sec.gov/Archives/edgar/data/0001812364/000156459021027601/rlay-ex104_188.htm" TargetMode="External"/><Relationship Id="rId32" Type="http://schemas.openxmlformats.org/officeDocument/2006/relationships/hyperlink" Target="https://www.sec.gov/Archives/edgar/data/1812364/000095017022007873/rlay-ex10_1.htm" TargetMode="External"/><Relationship Id="rId33" Type="http://schemas.openxmlformats.org/officeDocument/2006/relationships/hyperlink" Target="https://www.sec.gov/Archives/edgar/data/1812364/000095017022007873/rlay-ex10_1.htm" TargetMode="External"/><Relationship Id="rId34" Type="http://schemas.openxmlformats.org/officeDocument/2006/relationships/hyperlink" Target="https://www.sec.gov/Archives/edgar/data/1812364/000095017023039874/rlay-ex10_1.htm" TargetMode="External"/><Relationship Id="rId35" Type="http://schemas.openxmlformats.org/officeDocument/2006/relationships/hyperlink" Target="https://www.sec.gov/Archives/edgar/data/1812364/000095017023039874/rlay-ex10_1.htm" TargetMode="External"/><Relationship Id="rId36" Type="http://schemas.openxmlformats.org/officeDocument/2006/relationships/hyperlink" Target="https://www.sec.gov/Archives/edgar/data/1812364/000095017023058237/rlay-ex10_1.htm" TargetMode="External"/><Relationship Id="rId37" Type="http://schemas.openxmlformats.org/officeDocument/2006/relationships/hyperlink" Target="https://www.sec.gov/Archives/edgar/data/1812364/000095017023058237/rlay-ex10_1.htm" TargetMode="External"/><Relationship Id="rId38" Type="http://schemas.openxmlformats.org/officeDocument/2006/relationships/hyperlink" Target="https://www.sec.gov/Archives/edgar/data/1812364/000156459021015518/rlay-ex1010_1012.htm" TargetMode="External"/><Relationship Id="rId39" Type="http://schemas.openxmlformats.org/officeDocument/2006/relationships/hyperlink" Target="https://www.sec.gov/Archives/edgar/data/1812364/000095017022007873/rlay-ex10_2.htm" TargetMode="External"/><Relationship Id="rId40" Type="http://schemas.openxmlformats.org/officeDocument/2006/relationships/hyperlink" Target="https://www.sec.gov/Archives/edgar/data/0001812364/000119312521137130/d132252dex1014.htm" TargetMode="External"/><Relationship Id="rId41" Type="http://schemas.openxmlformats.org/officeDocument/2006/relationships/hyperlink" Target="https://www.sec.gov/Archives/edgar/data/0001812364/000119312520177746/d924757dex107.htm" TargetMode="External"/><Relationship Id="rId42" Type="http://schemas.openxmlformats.org/officeDocument/2006/relationships/hyperlink" Target="https://www.sec.gov/Archives/edgar/data/0001812364/000119312520291681/d24902dex107.htm" TargetMode="External"/><Relationship Id="rId43" Type="http://schemas.openxmlformats.org/officeDocument/2006/relationships/hyperlink" Target="https://www.sec.gov/Archives/edgar/data/0001812364/000156459021043999/rlay-ex105_91.htm" TargetMode="External"/><Relationship Id="rId44" Type="http://schemas.openxmlformats.org/officeDocument/2006/relationships/hyperlink" Target="https://www.sec.gov/Archives/edgar/data/1812364/000095017022001978/rlay-ex21_1.htm" TargetMode="External"/><Relationship Id="rId45" Type="http://schemas.openxmlformats.org/officeDocument/2006/relationships/image" Target="media/image13.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101986</Words>
  <Characters>570556</Characters>
  <CharactersWithSpaces>672995</CharactersWithSpaces>
  <Paragraphs>7873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