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lay-20251231.htm"/>
      <w:bookmarkStart w:id="1" w:name="ksrlay20251231"/>
      <w:bookmarkEnd w:id="0"/>
      <w:bookmarkEnd w:id="1"/>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left"/>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TO</w:t>
            </w:r>
            <w:r>
              <w:rPr>
                <w:rFonts w:ascii="Times New Roman" w:hAnsi="Times New Roman"/>
                <w:color w:val="000000"/>
                <w:sz w:val="20"/>
              </w:rPr>
              <w:t xml:space="preserve"> </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001-39385</w:t>
      </w:r>
    </w:p>
    <w:p>
      <w:pPr>
        <w:pStyle w:val="TextBody"/>
        <w:pBdr>
          <w:bottom w:val="sing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4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823" w:type="dxa"/>
        <w:jc w:val="left"/>
        <w:tblInd w:w="0" w:type="dxa"/>
        <w:tblLayout w:type="fixed"/>
        <w:tblCellMar>
          <w:top w:w="28" w:type="dxa"/>
          <w:left w:w="28" w:type="dxa"/>
          <w:bottom w:w="28" w:type="dxa"/>
          <w:right w:w="28" w:type="dxa"/>
        </w:tblCellMar>
      </w:tblPr>
      <w:tblGrid>
        <w:gridCol w:w="2431"/>
        <w:gridCol w:w="146"/>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47-3923475</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60 Hampshire Street</w:t>
            </w:r>
          </w:p>
          <w:p>
            <w:pPr>
              <w:pStyle w:val="TableContents"/>
              <w:bidi w:val="0"/>
              <w:spacing w:before="0" w:after="20"/>
              <w:jc w:val="center"/>
              <w:rPr>
                <w:rFonts w:ascii="Times New Roman" w:hAnsi="Times New Roman"/>
                <w:b/>
                <w:color w:val="000000"/>
                <w:sz w:val="18"/>
              </w:rPr>
            </w:pPr>
            <w:r>
              <w:rPr>
                <w:rFonts w:ascii="Times New Roman" w:hAnsi="Times New Roman"/>
                <w:b/>
                <w:color w:val="000000"/>
                <w:sz w:val="18"/>
              </w:rPr>
              <w:t>Cambridge, 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02139</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(617) 370-8837</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200" w:type="dxa"/>
        <w:jc w:val="left"/>
        <w:tblInd w:w="0" w:type="dxa"/>
        <w:tblLayout w:type="fixed"/>
        <w:tblCellMar>
          <w:top w:w="28" w:type="dxa"/>
          <w:left w:w="28" w:type="dxa"/>
          <w:bottom w:w="28" w:type="dxa"/>
          <w:right w:w="28" w:type="dxa"/>
        </w:tblCellMar>
      </w:tblPr>
      <w:tblGrid>
        <w:gridCol w:w="3766"/>
        <w:gridCol w:w="146"/>
        <w:gridCol w:w="826"/>
        <w:gridCol w:w="146"/>
        <w:gridCol w:w="3316"/>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RLAY</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NASDAQ Global Market</w:t>
            </w:r>
          </w:p>
        </w:tc>
      </w:tr>
    </w:tbl>
    <w:p>
      <w:pPr>
        <w:pStyle w:val="TextBody"/>
        <w:bidi w:val="0"/>
        <w:spacing w:before="40" w:after="283"/>
        <w:jc w:val="left"/>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15(d) of the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common stock held by non-affiliates of the Registrant based on the closing price of the Registrant’s common stock as reported on the Nasdaq Global Market on June 30, 2025, the last business day of the Registrant’s most recently completed second quarter, was approximately $585.5</w:t>
      </w:r>
      <w:r>
        <w:rPr>
          <w:rFonts w:ascii="Times New Roman" w:hAnsi="Times New Roman"/>
          <w:color w:val="000000"/>
          <w:sz w:val="20"/>
        </w:rPr>
        <w:t xml:space="preserve"> </w:t>
      </w:r>
      <w:r>
        <w:rPr>
          <w:rFonts w:ascii="Times New Roman" w:hAnsi="Times New Roman"/>
          <w:color w:val="000000"/>
          <w:sz w:val="16"/>
        </w:rPr>
        <w:t>million. In determining the market value of non-affiliate common stock, shares of the Registrant’s common stock beneficially owned by officers, directors and affiliates have been excluded. This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40" w:after="120"/>
        <w:jc w:val="left"/>
        <w:rPr>
          <w:rFonts w:ascii="Times New Roman" w:hAnsi="Times New Roman"/>
          <w:sz w:val="20"/>
        </w:rPr>
      </w:pPr>
      <w:r>
        <w:rPr>
          <w:rFonts w:ascii="Times New Roman" w:hAnsi="Times New Roman"/>
          <w:color w:val="000000"/>
          <w:sz w:val="16"/>
        </w:rPr>
        <w:t>The number of shares of Registrant’s Common Stock outstanding as of February 20, 2026 was 178,725,809.</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rFonts w:ascii="Times New Roman" w:hAnsi="Times New Roman"/>
          <w:color w:val="000000"/>
          <w:sz w:val="16"/>
        </w:rPr>
      </w:pPr>
      <w:r>
        <w:rPr>
          <w:rFonts w:ascii="Times New Roman" w:hAnsi="Times New Roman"/>
          <w:color w:val="000000"/>
          <w:sz w:val="16"/>
        </w:rPr>
        <w:t>The Registrant intends to file a definitive proxy statement pursuant to Regulation 14A relating to the 2026 Annual Meeting of Stockholders within 120 days of the end of the registrant’s fiscal year ended December 31, 2025. Portions of such definitive proxy statement are incorporated by reference into Part III of this Annual Report on Form 10-K to the extent stated herein.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Table of Contents</w:t>
      </w:r>
    </w:p>
    <w:p>
      <w:pPr>
        <w:pStyle w:val="TextBody"/>
        <w:bidi w:val="0"/>
        <w:jc w:val="left"/>
        <w:rPr/>
      </w:pPr>
      <w:r>
        <w:rPr/>
        <w:t> </w:t>
      </w:r>
    </w:p>
    <w:tbl>
      <w:tblPr>
        <w:tblW w:w="9644" w:type="dxa"/>
        <w:jc w:val="left"/>
        <w:tblInd w:w="0" w:type="dxa"/>
        <w:tblLayout w:type="fixed"/>
        <w:tblCellMar>
          <w:top w:w="28" w:type="dxa"/>
          <w:left w:w="28" w:type="dxa"/>
          <w:bottom w:w="28" w:type="dxa"/>
          <w:right w:w="28" w:type="dxa"/>
        </w:tblCellMar>
      </w:tblPr>
      <w:tblGrid>
        <w:gridCol w:w="873"/>
        <w:gridCol w:w="283"/>
        <w:gridCol w:w="7831"/>
        <w:gridCol w:w="146"/>
        <w:gridCol w:w="511"/>
      </w:tblGrid>
      <w:tr>
        <w:trPr/>
        <w:tc>
          <w:tcPr>
            <w:tcW w:w="8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Page</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
              <w:r>
                <w:rPr>
                  <w:rStyle w:val="InternetLink"/>
                  <w:rFonts w:ascii="Times New Roman" w:hAnsi="Times New Roman"/>
                  <w:b/>
                  <w:color w:val="0000FF"/>
                  <w:sz w:val="17"/>
                  <w:u w:val="single"/>
                </w:rPr>
                <w:t>PART 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center"/>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7"/>
                  <w:u w:val="single"/>
                </w:rPr>
                <w:t>Business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17"/>
                <w:u w:val="single"/>
              </w:rPr>
            </w:pPr>
            <w:r>
              <w:rPr>
                <w:rFonts w:ascii="Times New Roman" w:hAnsi="Times New Roman"/>
                <w:color w:val="0000FF"/>
                <w:sz w:val="17"/>
                <w:u w:val="single"/>
              </w:rPr>
              <w:t>Risk Factors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1B.</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7"/>
                  <w:u w:val="single"/>
                </w:rPr>
                <w:t>Unresolved Staff Comments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1C.</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17"/>
                  <w:u w:val="single"/>
                </w:rPr>
                <w:t>Cybersecurity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7"/>
                  <w:u w:val="single"/>
                </w:rPr>
                <w:t>Properties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7"/>
                  <w:u w:val="single"/>
                </w:rPr>
                <w:t>Legal Proceedings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
              <w:r>
                <w:rPr>
                  <w:rStyle w:val="InternetLink"/>
                  <w:rFonts w:ascii="Times New Roman" w:hAnsi="Times New Roman"/>
                  <w:color w:val="0000FF"/>
                  <w:sz w:val="17"/>
                  <w:u w:val="single"/>
                </w:rPr>
                <w:t>Mine Safety Disclosures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
              <w:r>
                <w:rPr>
                  <w:rStyle w:val="InternetLink"/>
                  <w:rFonts w:ascii="Times New Roman" w:hAnsi="Times New Roman"/>
                  <w:b/>
                  <w:color w:val="0000FF"/>
                  <w:sz w:val="17"/>
                  <w:u w:val="single"/>
                </w:rPr>
                <w:t>PART II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17"/>
                  <w:u w:val="single"/>
                </w:rPr>
                <w:t>Market for Registrant’s Common Equity, Related Stockholder Matters and Issuer Purchases of Equity Securities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77</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17"/>
                  <w:u w:val="single"/>
                </w:rPr>
                <w:t>[Reserved]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78</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7.</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managements_discussion_and_analysis">
              <w:r>
                <w:rPr>
                  <w:rStyle w:val="InternetLink"/>
                  <w:rFonts w:ascii="Times New Roman" w:hAnsi="Times New Roman"/>
                  <w:color w:val="0000FF"/>
                  <w:sz w:val="17"/>
                  <w:u w:val="single"/>
                </w:rPr>
                <w:t>Management’s Discussion and Analysis of Financial Condition and Results of Operations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79</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7A.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17"/>
                  <w:u w:val="single"/>
                </w:rPr>
                <w:t>Quantitative and Qualitative Disclosures About Market Risk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90</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8.</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17"/>
                  <w:u w:val="single"/>
                </w:rPr>
                <w:t>Financial Statements and Supplementary Data</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9.</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
              <w:r>
                <w:rPr>
                  <w:rStyle w:val="InternetLink"/>
                  <w:rFonts w:ascii="Times New Roman" w:hAnsi="Times New Roman"/>
                  <w:color w:val="0000FF"/>
                  <w:sz w:val="17"/>
                  <w:u w:val="single"/>
                </w:rPr>
                <w:t>Changes in and Disagreements With Accountants on Accounting and Financial Disclosure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9A.</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
              <w:r>
                <w:rPr>
                  <w:rStyle w:val="InternetLink"/>
                  <w:rFonts w:ascii="Times New Roman" w:hAnsi="Times New Roman"/>
                  <w:color w:val="0000FF"/>
                  <w:sz w:val="17"/>
                  <w:u w:val="single"/>
                </w:rPr>
                <w:t>Controls and Procedures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91</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9B.</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
              <w:r>
                <w:rPr>
                  <w:rStyle w:val="InternetLink"/>
                  <w:rFonts w:ascii="Times New Roman" w:hAnsi="Times New Roman"/>
                  <w:color w:val="0000FF"/>
                  <w:sz w:val="17"/>
                  <w:u w:val="single"/>
                </w:rPr>
                <w:t>Other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9C.</w:t>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
              <w:r>
                <w:rPr>
                  <w:rStyle w:val="InternetLink"/>
                  <w:rFonts w:ascii="Times New Roman" w:hAnsi="Times New Roman"/>
                  <w:color w:val="0000FF"/>
                  <w:sz w:val="17"/>
                  <w:u w:val="single"/>
                </w:rPr>
                <w:t>Disclosure Regarding Foreign Jurisdictions that Prevent Inspections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_">
              <w:r>
                <w:rPr>
                  <w:rStyle w:val="InternetLink"/>
                  <w:rFonts w:ascii="Times New Roman" w:hAnsi="Times New Roman"/>
                  <w:b/>
                  <w:color w:val="0000FF"/>
                  <w:sz w:val="17"/>
                  <w:u w:val="single"/>
                </w:rPr>
                <w:t>PART III</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10.</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17"/>
                  <w:u w:val="single"/>
                </w:rPr>
                <w:t>Directors, Executive Officers and Corporate Governance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11.</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17"/>
                  <w:u w:val="single"/>
                </w:rPr>
                <w:t>Executive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of">
              <w:r>
                <w:rPr>
                  <w:rStyle w:val="InternetLink"/>
                  <w:rFonts w:ascii="Times New Roman" w:hAnsi="Times New Roman"/>
                  <w:color w:val="0000FF"/>
                  <w:sz w:val="17"/>
                  <w:u w:val="single"/>
                </w:rPr>
                <w:t>Security Ownership of Certain Beneficial Owners and Management and Related Stockholder Matters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13.</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
              <w:r>
                <w:rPr>
                  <w:rStyle w:val="InternetLink"/>
                  <w:rFonts w:ascii="Times New Roman" w:hAnsi="Times New Roman"/>
                  <w:color w:val="0000FF"/>
                  <w:sz w:val="17"/>
                  <w:u w:val="single"/>
                </w:rPr>
                <w:t>Certain Relationships and Related Transactions, and Director Independence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14.</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
              <w:r>
                <w:rPr>
                  <w:rStyle w:val="InternetLink"/>
                  <w:rFonts w:ascii="Times New Roman" w:hAnsi="Times New Roman"/>
                  <w:color w:val="0000FF"/>
                  <w:sz w:val="17"/>
                  <w:u w:val="single"/>
                </w:rPr>
                <w:t>Principal Accounting Fees and Services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_">
              <w:r>
                <w:rPr>
                  <w:rStyle w:val="InternetLink"/>
                  <w:rFonts w:ascii="Times New Roman" w:hAnsi="Times New Roman"/>
                  <w:b/>
                  <w:color w:val="0000FF"/>
                  <w:sz w:val="17"/>
                  <w:u w:val="single"/>
                </w:rPr>
                <w:t>PART IV</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17"/>
                  <w:u w:val="single"/>
                </w:rPr>
                <w:t>Exhibits and Financial Statement Schedules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17"/>
              </w:rPr>
            </w:pPr>
            <w:r>
              <w:rPr>
                <w:rFonts w:ascii="Times New Roman" w:hAnsi="Times New Roman"/>
                <w:color w:val="000000"/>
                <w:sz w:val="17"/>
              </w:rPr>
              <w:t>96</w:t>
            </w:r>
          </w:p>
        </w:tc>
      </w:tr>
      <w:tr>
        <w:trPr/>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17"/>
              </w:rPr>
            </w:pPr>
            <w:r>
              <w:rPr>
                <w:rFonts w:ascii="Times New Roman" w:hAnsi="Times New Roman"/>
                <w:color w:val="000000"/>
                <w:sz w:val="17"/>
              </w:rPr>
              <w:t>Item 16.</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17"/>
                  <w:u w:val="single"/>
                </w:rPr>
                <w:t>Form 10-K Summary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aps/>
          <w:color w:val="000000"/>
          <w:sz w:val="18"/>
        </w:rPr>
        <w:t>Summary of the Material Risks Associated with Our Business</w:t>
      </w:r>
      <w:r>
        <w:rPr>
          <w:rFonts w:ascii="Times New Roman" w:hAnsi="Times New Roman"/>
          <w:caps/>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never successfully completed any large-scale, pivotal clinical trials, and we may be unable to do so for any product candidates we develop. Clinical product development involves a lengthy and expensive process, with an uncertain outcome. We may incur additional costs or experience delays in completing, or ultimately be unable to complete, the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If we experience delays or difficulties in the enrollment of patients in clinical trials, our receipt of necessary regulatory approvals could be delayed or prevented.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current or future clinical trials or those of future collaborators or licensees may reveal significant adverse events not seen in our preclinical or nonclinical studies or early clinical data and may result in a safety profile that would inhibit regulatory approval or market acceptance of any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face substantial competition, which may result in others discovering, developing or commercializing products before or more successfully than we do.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have relied on, and expect to continue to rely on, third parties to conduct our current and future clinical trials of our product candidates,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are a biopharmaceutical company with a limited operating history. We have incurred significant operating losses since our inception and anticipate that we will incur continued losses for the foreseeable future. We have no products approved for commercial sale and have not generated any revenue from product sales.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will need to raise substantial additional funding. If we are unable to raise capital when needed, we would be forced to delay, reduce or eliminate some of our product development programs or commercialization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18"/>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This Annual Report on Form 10-K contains express or implied "forward-looking statements," within the meaning of the Private Securities Litigation Reform Act of 1995,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Annual Report on Form 10-K include, but are not limited to, implied or express statements about: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enrollment, timing, progress, results, and cost of our product candidates and research and development programs and our current and future preclinical and clinical studies, including statements regarding the timing of initiation and completion of studies or trials and related preparatory work, as well as the period during which the results of the trials will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identification of research priorities, reallocation of resources among programs, and application of a risk-mitigated strategy to efficiently discover and develop product candidates, including by applying learnings from one program to other programs and from one modality to our other modalities, as well as the potential expected benefits therefrom;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safety and efficacy of our product candidates and the therapeutic implications of clinical and preclinical data;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manufacture of our drug substances, delivery vehicles, and product candidates for preclinical use, for clinical trials, and, on a larger scale, for commercial use,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relationships with our third-party strategic collaborators and licensees and their ability to continue research and development and commercialization activities relating to our development candidates and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funding for our operations necessary to complete further development and commercialization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plans to seek regulatory approval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pricing and reimbursement of our product candidates, if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implementation of our business model and strategic plans for our business,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protection for intellectual property rights covering our product candidates and technology;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estimates of our future expenses, revenues, capital requirements, and our needs for additional financing;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potential benefits of strategic collaboration and/or license agreements with collaborators and/or licensees with development, regulatory, and commercialization expertise;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agreements with third parties in connection with the commercialization of product candidates and any other approved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size and growth potential of the markets for our product candidates, and our ability to serve those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financial performance;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rate and degree of market acceptance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regulatory developments in the United States and foreign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contract with third-party suppliers and manufacturers and their ability to perform adequately;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produce our products or product candidates with advantages in turnaround times or manufacturing cost;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competing therapies that are or may become available;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and retain key scientific, clinical, or management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laws and regulations on our business and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relating to our competitors and our industry;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effect of public health epidemics or outbreaks of an infectious disease and ongoing geopolitical conflicts, including mitigation efforts and economic effects, on any of the foregoing or other aspects of our business operations, including, but not limited to, our preclinical studies and current and future clinical trials;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economic and market conditions, including, among others, inflation, interest rates, tax rates, economic uncertainty, the actual or perceived failure or financial difficulties of additional financial institutions, and economic and trade sanctions, including their effect on our results of operations;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risks and uncertainties, including those listed under the caption "Risk Factors."</w:t>
      </w:r>
    </w:p>
    <w:p>
      <w:pPr>
        <w:pStyle w:val="TextBody"/>
        <w:bidi w:val="0"/>
        <w:spacing w:before="240" w:after="283"/>
        <w:jc w:val="left"/>
        <w:rPr>
          <w:rFonts w:ascii="Times New Roman" w:hAnsi="Times New Roman"/>
          <w:sz w:val="20"/>
        </w:rPr>
      </w:pPr>
      <w:r>
        <w:rPr>
          <w:rFonts w:ascii="Times New Roman" w:hAnsi="Times New Roman"/>
          <w:color w:val="000000"/>
          <w:sz w:val="18"/>
        </w:rPr>
        <w:t>In some cases, you can identify forward-looking statements by terminology such as "may," "can," "should," "expects," "intends," "plans," "anticipates," "believes," "estimates," "forecasts," "goal," "likely," "predicts," "potential," "projects," "will," "might," "could," "continue," or the negative of these terms or other comparable terminology. These statements are only predictions. All statements other than statements of historical facts are statements that could be deemed forward-looking statements.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above under "Summary of the Material Risks Associated with Our Business," those listed below under the section titled "Risk Factors" and elsewhere in this Annual Report on Form 10-K.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Annual Report on Form 10-K and the documents that we reference in this Annual Report on Form 10-K and have filed with the Securities and Exchange Commission, or the SEC, as exhibits hereto completely and with the understanding that our actual future results may be materially different from any future results expressed or implied by these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forward-looking statements in this Annual Report on Form 10-K represent our views as of the date of this Annual Report on Form 10-K.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Annual Report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This Annual Report on Form 10-K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Annual Report on Form 10-K, their estimates, in particular as they relate to projections, involve numerous assumptions, are subject to risks and uncertainties, and are subject to change based on various factors, including those discussed under the section titled "Risk Factors" and elsewhere in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bookmarkStart w:id="2" w:name="part_i_"/>
      <w:bookmarkEnd w:id="2"/>
      <w:r>
        <w:rPr>
          <w:rFonts w:ascii="Times New Roman" w:hAnsi="Times New Roman"/>
          <w:b/>
          <w:color w:val="000000"/>
          <w:sz w:val="18"/>
        </w:rPr>
        <w:t>PART I</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Except where the context otherwise requires or where otherwise indicated, the terms "Relay Therapeutics," "we," "us," "our," "our company," the "Company," and "our business" refer to Relay Therapeutics, Inc. and its consolidated subsidiaries.</w:t>
      </w:r>
    </w:p>
    <w:p>
      <w:pPr>
        <w:pStyle w:val="TextBody"/>
        <w:bidi w:val="0"/>
        <w:spacing w:before="240" w:after="283"/>
        <w:jc w:val="left"/>
        <w:rPr>
          <w:rFonts w:ascii="Times New Roman" w:hAnsi="Times New Roman"/>
          <w:sz w:val="20"/>
        </w:rPr>
      </w:pPr>
      <w:bookmarkStart w:id="3" w:name="item_1_business"/>
      <w:bookmarkEnd w:id="3"/>
      <w:r>
        <w:rPr>
          <w:rFonts w:ascii="Times New Roman" w:hAnsi="Times New Roman"/>
          <w:b/>
          <w:color w:val="000000"/>
          <w:sz w:val="18"/>
        </w:rPr>
        <w:t>Item 1.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 xml:space="preserve">Overview </w:t>
      </w:r>
    </w:p>
    <w:p>
      <w:pPr>
        <w:pStyle w:val="TextBody"/>
        <w:bidi w:val="0"/>
        <w:spacing w:before="240" w:after="283"/>
        <w:jc w:val="left"/>
        <w:rPr>
          <w:rFonts w:ascii="Times New Roman" w:hAnsi="Times New Roman"/>
          <w:sz w:val="20"/>
        </w:rPr>
      </w:pPr>
      <w:r>
        <w:rPr>
          <w:rFonts w:ascii="Times New Roman" w:hAnsi="Times New Roman"/>
          <w:color w:val="000000"/>
          <w:sz w:val="18"/>
        </w:rPr>
        <w:t>We are a clinical-stage, small molecule precision medicine company developing potentially life-changing therapies for patients living with cancer and genetic disease. Our Dynamo® platform integrates an array of leading-edge computational and experimental approaches designed to drug protein targets that have previously been intractable or inadequately addressed.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Precision medicine emerged as an approach for disease treatment as the understanding of the link between genetic alterations, protein dysfunction and diseases evolved. Precision medicine aims to specifically and potently drug genetically validated target proteins (i.e., genetic variants potentially implicated in biology of disease). However, some target proteins thus far have been intractable or inadequately addressed using conventional drug discovery tools. While conventional approaches are well-suited to solving some drug discovery problems such as orthosteric site kinase inhibitors, their reliance on static images of protein fragments limits their ability to gain accurate insights into the dynamic behavior of proteins in their natural state, which in turn limits their ability to discover medicines with exquisite specificity. Our approach pivots the understanding of protein targets from the industry-standard, static view, to a novel paradigm based on fundamental insights into protein motion. We then apply these novel insights into protein motion to drug discovery and design, which we term Motion-Based Drug Design®.</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zovegalisib (RLY-2608), our lead product candidate discussed below.</w:t>
      </w:r>
      <w:r>
        <w:rPr>
          <w:rFonts w:ascii="Times New Roman" w:hAnsi="Times New Roman"/>
          <w:color w:val="000000"/>
          <w:sz w:val="20"/>
        </w:rPr>
        <w:t xml:space="preserve"> </w:t>
      </w:r>
    </w:p>
    <w:p>
      <w:pPr>
        <w:pStyle w:val="TextBody"/>
        <w:bidi w:val="0"/>
        <w:jc w:val="center"/>
        <w:rPr/>
      </w:pPr>
      <w:r>
        <w:rPr/>
        <w:drawing>
          <wp:inline distT="0" distB="0" distL="0" distR="0">
            <wp:extent cx="6400800" cy="3228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00800" cy="3228975"/>
                    </a:xfrm>
                    <a:prstGeom prst="rect">
                      <a:avLst/>
                    </a:prstGeom>
                  </pic:spPr>
                </pic:pic>
              </a:graphicData>
            </a:graphic>
          </wp:inline>
        </w:drawing>
      </w:r>
    </w:p>
    <w:p>
      <w:pPr>
        <w:pStyle w:val="TextBody"/>
        <w:bidi w:val="0"/>
        <w:spacing w:before="240" w:after="283"/>
        <w:jc w:val="left"/>
        <w:rPr>
          <w:rFonts w:ascii="Times New Roman" w:hAnsi="Times New Roman"/>
          <w:sz w:val="20"/>
        </w:rPr>
      </w:pPr>
      <w:r>
        <w:rPr>
          <w:rFonts w:ascii="Times New Roman" w:hAnsi="Times New Roman"/>
          <w:b/>
          <w:color w:val="000000"/>
          <w:sz w:val="18"/>
        </w:rPr>
        <w:t>Zovegalisib (RLY-2608).</w:t>
      </w:r>
      <w:r>
        <w:rPr>
          <w:rFonts w:ascii="Times New Roman" w:hAnsi="Times New Roman"/>
          <w:color w:val="000000"/>
          <w:sz w:val="20"/>
        </w:rPr>
        <w:t xml:space="preserve"> </w:t>
      </w:r>
      <w:r>
        <w:rPr>
          <w:rFonts w:ascii="Times New Roman" w:hAnsi="Times New Roman"/>
          <w:color w:val="000000"/>
          <w:sz w:val="18"/>
        </w:rPr>
        <w:t>Zovegalisib is the first known allosteric, pan-mutant and isoform-selective phosphoinostide 3 kinase alpha, or PI3Kα, inhibitor in clinical development. It is the lead program in our efforts to discover and develop mutant selective inhibitors of PI3Kα.</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Breast Cancer and Solid Tumors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18"/>
          <w:u w:val="single"/>
        </w:rPr>
        <w:t>ReDiscover Trial</w:t>
      </w:r>
      <w:r>
        <w:rPr>
          <w:rFonts w:ascii="Times New Roman" w:hAnsi="Times New Roman"/>
          <w:color w:val="000000"/>
          <w:sz w:val="18"/>
        </w:rPr>
        <w:t xml:space="preserve">. In December 2021, we dosed the first patient in a first-in-human clinical trial for zovegalisib, or the ReDiscover Trial. Since then, we have predominantly focused on evaluating zovegalisib in combination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fulvestrant for patients with HR+, HER2–, PI3Kα-mutated, locally advanced or metastatic breast cancer. We are also advancing triplet combination arms with zovegalisib, fulvestrant and cyclin dependent kinase 4/6, or CDK 4/6, inhibitors, or atirmociclib, the investigative selective-CDK4 inhibitor from Pfizer Inc., or Pfizer. In the second quarter of 2025, we initiated a global Phase 3 registrational study, or the ReDiscover-2 Trial, which is designed to evaluate the safety and efficacy of zovegalisib plus fulvestrant in PI3Kα-mutated, HR+/HER2- advanced breast cancer patients previously treated with a CDK4/6 inhibitor. The comparator arm in the ReDiscover-2 Trial is capivasertib plus fulvestrant. In February 2026, we announced that the U.S. Food and Drug Administration, or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color w:val="000000"/>
          <w:sz w:val="18"/>
          <w:u w:val="single"/>
        </w:rPr>
        <w:t>Clinical Data</w:t>
      </w:r>
      <w:r>
        <w:rPr>
          <w:rFonts w:ascii="Times New Roman" w:hAnsi="Times New Roman"/>
          <w:color w:val="000000"/>
          <w:sz w:val="18"/>
        </w:rPr>
        <w:t>. In June 2025, we announced updated interim clinical data for the zovegalisib plus fulvestrant arm of the ReDiscover Trial with a data cut-off date of March 26, 2025, and in December 2025, we announced an efficacy subset analysis of interim clinical data for zovegalisib at the San Antonio Breast Cancer Symposium 2025 with a data cut-off date of October 15, 2025. These interim clinical data are discussed further below in "Our Product Pipeline and Programs —Our Lead Product Candidate – Breast Cancer and Solid Tumors - Interim Clinical Data." 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 xml:space="preserve">Vascular Anomalies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18"/>
          <w:u w:val="single"/>
        </w:rPr>
        <w:t>ReInspire Trial.</w:t>
      </w:r>
      <w:r>
        <w:rPr>
          <w:color w:val="000000"/>
        </w:rPr>
        <w:t xml:space="preserve"> </w:t>
      </w:r>
      <w:r>
        <w:rPr>
          <w:rFonts w:ascii="Times New Roman" w:hAnsi="Times New Roman"/>
          <w:color w:val="000000"/>
          <w:sz w:val="18"/>
        </w:rPr>
        <w:t>In the first quarter of 2025, we initiated the global Phase 1/2 clinical trial for zovegalisib in patients with PIK3CA-related overgrowth spectrum, or PROS, and vascular anomalies driven by PIK3CA mutations, or the ReInspire Trial. Enrollment is continuing in this clinical trial.</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programs mentioned above, we are progressing our NRAS-selective inhibitor, RLY-8161, to address NRAS-mutated solid tumors as well as our non-inhibitory chaperone for Fabry disease. We are also advancing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mission is to leverage unique insights into protein motion to transform the lives of patients suffering from debilitating and life-threatening diseases through the discovery, development and commercialization of small molecule therapies. We believe that, by placing protein motion at the heart of Motion-Based Drug Design discovery, our unique Dynamo® platform has the potential to address previously intractable or inadequately addressed precision medicine targets. To accomplish this, we have built a team that shares our commitment to patients and we intend to rapidly advance our precision medicine pipeline of product candidates with a focus on the highest value opportunities. The key elements of our strategy are to: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 xml:space="preserve">Rapidly advance our PI3Kα franchise and other programs through clinical development with the goal of reaching as many patients as possible. </w:t>
      </w:r>
      <w:r>
        <w:rPr>
          <w:rFonts w:ascii="Times New Roman" w:hAnsi="Times New Roman"/>
          <w:color w:val="000000"/>
          <w:sz w:val="18"/>
        </w:rPr>
        <w:t>We believe that zovegalisib has the potential to address a significant portion of patients globally with HR+, HER2- breast cancer with a PI3Kα mutation, one of the largest patient populations for a precision oncology medicine. We initiated the Phase 3 ReDiscover-2 Trial in the second quarter of 2025 and continue to prioritize development of the zovegalisib doublet and triplet combinations with the aim of reaching breast cancer patients across both CDK4/6-experienced and -naïve settings. Additionally, in the first quarter of 2025, we advanced zovegalisib in vascular anomalies through the initiation of our ReInspire Trial, expanding our PI3Kα franchise to genetic disease. We plan to continue to conduct our clinical studies in genetically-defined patient populations. If we are successful in generating clinically meaningful and differentiated data for our programs, we plan to meet with regulatory authorities to discuss potential approval pathways.</w:t>
      </w:r>
    </w:p>
    <w:p>
      <w:pPr>
        <w:pStyle w:val="TextBody"/>
        <w:bidi w:val="0"/>
        <w:spacing w:before="240" w:after="283"/>
        <w:jc w:val="left"/>
        <w:rPr>
          <w:rFonts w:ascii="Times New Roman" w:hAnsi="Times New Roman"/>
          <w:sz w:val="20"/>
        </w:rPr>
      </w:pPr>
      <w:r>
        <w:rPr>
          <w:rFonts w:ascii="Times New Roman" w:hAnsi="Times New Roman"/>
          <w:b/>
          <w:color w:val="000000"/>
          <w:sz w:val="18"/>
        </w:rPr>
        <w:t>Harness the insights and data generated from our drug discovery platform against intractable or inadequately addressed precision medicine targets, with current focus on oncology and genetic diseases.</w:t>
      </w:r>
      <w:r>
        <w:rPr>
          <w:rFonts w:ascii="Times New Roman" w:hAnsi="Times New Roman"/>
          <w:color w:val="000000"/>
          <w:sz w:val="20"/>
        </w:rPr>
        <w:t xml:space="preserve"> </w:t>
      </w:r>
      <w:r>
        <w:rPr>
          <w:rFonts w:ascii="Times New Roman" w:hAnsi="Times New Roman"/>
          <w:color w:val="000000"/>
          <w:sz w:val="18"/>
        </w:rPr>
        <w:t>We are committed to deploying our Dynamo® platform against genetically validated targets, taking on some of the toughest technical drug discovery challenges and creating novel medicines against those targets that can rapidly attain clinical proof-of-concept and address significant unmet medical needs. Our focus is on precision oncology where there are clear genetic driver alterations in the tumor genome, and genetic disease where the causal mutations are present at birth.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Selectively enter into strategic partnerships to maximize the value of our platform and pipeline.</w:t>
      </w:r>
      <w:r>
        <w:rPr>
          <w:rFonts w:ascii="Times New Roman" w:hAnsi="Times New Roman"/>
          <w:color w:val="000000"/>
          <w:sz w:val="20"/>
        </w:rPr>
        <w:t xml:space="preserve"> </w:t>
      </w:r>
      <w:r>
        <w:rPr>
          <w:rFonts w:ascii="Times New Roman" w:hAnsi="Times New Roman"/>
          <w:color w:val="000000"/>
          <w:sz w:val="18"/>
        </w:rPr>
        <w:t>We intend to build a fully integrated biopharmaceutical company and independently pursue the development and commercialization of our key product candidates. Given our potential to generate novel product candidates addressing a wide variety of therapeutic indications, we may enter into strategic partnerships around certain targets, product candidates, disease areas or geographies if we believe these collaborations or licenses could accelerate the development and commercialization of our product candidates and allow us to realize additional potential in our product candidates and our platform. For example, in June 2024, we entered into a global clinical trial collaboration with Pfizer for the development of zovegalisib in combination with fulvestrant and atirmociclib, Pfizer's investigative selective-CDK4 inhibitor, in patients with PI3Kα-mutated, HR+, HER2- metastatic breast cancer. Additionally, in December 2024, we entered into an exclusive global licensing agreement, or the Elevar Agreement, with Elevar Therapeutics, Inc., or Elevar, pursuant to which Elevar was granted global development and commercialization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rights for lirafugratinib</w:t>
      </w:r>
      <w:r>
        <w:rPr>
          <w:rFonts w:ascii="Times New Roman" w:hAnsi="Times New Roman"/>
          <w:color w:val="000000"/>
          <w:sz w:val="20"/>
        </w:rPr>
        <w:t xml:space="preserve"> </w:t>
      </w:r>
      <w:r>
        <w:rPr>
          <w:rFonts w:ascii="Times New Roman" w:hAnsi="Times New Roman"/>
          <w:color w:val="000000"/>
          <w:sz w:val="18"/>
        </w:rPr>
        <w:t>(RLY-4008), our selective oral small molecule inhibitor of fibroblast growth factor receptor 2, or FGFR2.</w:t>
      </w:r>
      <w:r>
        <w:rPr>
          <w:rFonts w:ascii="Times New Roman" w:hAnsi="Times New Roman"/>
          <w:color w:val="000000"/>
          <w:sz w:val="20"/>
        </w:rPr>
        <w:t xml:space="preserve"> </w:t>
      </w:r>
      <w:r>
        <w:rPr>
          <w:rFonts w:ascii="Times New Roman" w:hAnsi="Times New Roman"/>
          <w:color w:val="000000"/>
          <w:sz w:val="18"/>
        </w:rPr>
        <w:t>Outside of the Elevar Agreement, we currently retain full development and commercialization rights to our pipeline of active precision medicine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Dynamo</w:t>
      </w:r>
      <w:r>
        <w:rPr>
          <w:rFonts w:ascii="Times New Roman" w:hAnsi="Times New Roman"/>
          <w:b/>
          <w:color w:val="000000"/>
          <w:sz w:val="12"/>
        </w:rPr>
        <w:t xml:space="preserve">® </w:t>
      </w:r>
      <w:r>
        <w:rPr>
          <w:rFonts w:ascii="Times New Roman" w:hAnsi="Times New Roman"/>
          <w:b/>
          <w:color w:val="000000"/>
          <w:sz w:val="18"/>
        </w:rPr>
        <w:t>Platform</w:t>
      </w:r>
    </w:p>
    <w:p>
      <w:pPr>
        <w:pStyle w:val="TextBody"/>
        <w:bidi w:val="0"/>
        <w:spacing w:before="240" w:after="283"/>
        <w:jc w:val="left"/>
        <w:rPr>
          <w:rFonts w:ascii="Times New Roman" w:hAnsi="Times New Roman"/>
          <w:sz w:val="20"/>
        </w:rPr>
      </w:pPr>
      <w:r>
        <w:rPr>
          <w:rFonts w:ascii="Times New Roman" w:hAnsi="Times New Roman"/>
          <w:color w:val="000000"/>
          <w:sz w:val="18"/>
        </w:rPr>
        <w:t>Dynamo was built to capitalize on experimental and computational techniques to develop medicines against protein targets with greater specificity and potency. Using our Dynamo platform, we pivot from industry standard approaches, which are based on static structures and often rely on incomplete protein fragments, to a novel drug-discovery paradigm based on fundamental insights into protein motion, which we term Motion-Based Drug Design®. We leverage insights from our platform to develop novel, motion-based hypotheses for how to drug target proteins. We can then more rapidly identify and optimize effective lead compounds by integrating powerful experimental and computational tools to sample a much broader range of chemical space than is possible using conventional approaches, which are labor intensive and require significant experimental effort.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Our platform integrates a broad and tailored array of leading edge experimental and computational approaches to gain fundamental insights into protein function. We deploy the power of our Dynamo platform in three key phases of Motion-Based Drug Design discovery. We first understand how to drug the protein by developing a detailed mechanistic understanding of the dynamic behavior of the target protein and by identifying pockets where binding of a small molecule can impact protein function, which allows us to generate a target modulation hypothesis. Our platform then aids in efficient hit identification, or the identification of chemical starting points through an integrated system of experimental and virtual screens. This enables rapid lead optimization until a development candidate is selected by computationally prioritizing compounds for experimental evaluation. As each cycle generates new learnings for both our team and our underlying machine learning models, our successful iteration of this process continuously improves our understanding of protein motion which leads to a more effective and efficient drug discovery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Product Pipeline and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our Dynamo platform could potentially be applied to a wide range of disease-associated protein targets, we focus on precision medicine targets, currently specifically in oncology and genetic diseases, for which alterations in specific genes are known to cause disease. The genetic diseases we pursue include cancers with clear genetic driver alterations in the tumor genome, as well as monogenic diseases where the causal mutations are present at birth.</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 "—Overview" above for a table that summarizes our current portfolio of product candidates and programs.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Lead Product Candidate</w:t>
      </w:r>
    </w:p>
    <w:p>
      <w:pPr>
        <w:pStyle w:val="TextBody"/>
        <w:bidi w:val="0"/>
        <w:spacing w:before="240" w:after="283"/>
        <w:jc w:val="left"/>
        <w:rPr>
          <w:rFonts w:ascii="Times New Roman" w:hAnsi="Times New Roman"/>
          <w:sz w:val="20"/>
        </w:rPr>
      </w:pPr>
      <w:r>
        <w:rPr>
          <w:rFonts w:ascii="Times New Roman" w:hAnsi="Times New Roman"/>
          <w:color w:val="000000"/>
          <w:sz w:val="18"/>
        </w:rPr>
        <w:t>Our lead product candidate in clinical development, zovegalisib, is the first known investigational allosteric, pan-mutant and isoform-selective inhibitor of PI3Kα, which is discussed further below.</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Overview</w:t>
      </w:r>
    </w:p>
    <w:p>
      <w:pPr>
        <w:pStyle w:val="TextBody"/>
        <w:bidi w:val="0"/>
        <w:spacing w:before="240" w:after="283"/>
        <w:jc w:val="left"/>
        <w:rPr>
          <w:rFonts w:ascii="Times New Roman" w:hAnsi="Times New Roman"/>
          <w:sz w:val="20"/>
        </w:rPr>
      </w:pPr>
      <w:r>
        <w:rPr>
          <w:rFonts w:ascii="Times New Roman" w:hAnsi="Times New Roman"/>
          <w:color w:val="000000"/>
          <w:sz w:val="18"/>
        </w:rPr>
        <w:t>Zovegalisib is the lead program in our efforts to discover and develop mutant selective inhibitors of PI3Kα. PI3Kα is the most frequently mutated kinase in all cancers and all vascular anomalies. Traditionally, the development of PI3Kα inhibitors has focused on the active, or orthosteric, site. The therapeutic index of orthosteric inhibitors is limited by the lack of clinically meaningful selectivity for mutant versus wild-type PI3Kα and off-isoform activity. Toxicity related to inhibition of wild-type PI3Kα and other PI3K isoforms results in sub-optimal inhibition of mutant PI3Kα with reductions in dose intensity and frequent discontinuation. The Dynamo® platform enabled the discovery of zovegalisib, what we believe to be the first known allosteric, pan-mutant, and isoform-selective PI3Kα inhibitor designed to overcome these limitations. By solving the full-length cryo-electron microscopy, or Cryo-EM, structure of PI3Kα and performing computational long time-scale molecular dynamic simulations to elucidate conformational differences between wild-type and mutant PI3Kα, we were able to leverage these insights to support the design of zovegalisib.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dosed the first patient in the ReDiscover Trial in December 2021. Since then, we have predominantly focused on evaluating zovegalisib in combination with fulvestrant for patients with HR+, HER2–, PI3Kα-mutated, locally advanced or metastatic breast cancer. We are also advancing triplet combination arms with zovegalisib, fulvestrant and CDK 4/6 inhibitors or atirmociclib, the investigative selective-CDK4 inhibitor from Pfizer. In the second quarter of 2025, we initiated the ReDiscover-2 Trial, which is designed to evaluate the safety and efficacy of zovegalisib plus fulvestrant in PI3Kα-mutated, HR+/HER2- advanced breast cancer patients previously treated with a CDK4/6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that while the interim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 Zovegalisib interim clinical data are discussed in further detail below in "—Interim Clinical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breast cancer, we have also advanced zovegalisib in genetic disease. In the first quarter of 2025, we initiated the ReInspire Trial for zovegalisib in patients with PROS and anomalies driven by PIK3CA mutations. Enrollment is continuing in this clinical trial.</w:t>
      </w:r>
    </w:p>
    <w:p>
      <w:pPr>
        <w:pStyle w:val="TextBody"/>
        <w:bidi w:val="0"/>
        <w:spacing w:before="240" w:after="283"/>
        <w:jc w:val="left"/>
        <w:rPr>
          <w:rFonts w:ascii="Times New Roman" w:hAnsi="Times New Roman"/>
          <w:sz w:val="20"/>
        </w:rPr>
      </w:pPr>
      <w:r>
        <w:rPr>
          <w:rFonts w:ascii="Times New Roman" w:hAnsi="Times New Roman"/>
          <w:color w:val="000000"/>
          <w:sz w:val="18"/>
        </w:rPr>
        <w:t>We believe zovegalisib has the potential, if approved, to address a significant portion of the approximately 140,000 patients with HR+, HER2- breast cancer with a PI3Kα mutation per year in the United States and the estimated 170,000 patients with vascular anomalies driven by a PI3Kα mutation per year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Limitations of current PI3Kα inhibitors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Traditionally, the development of PI3Kα inhibitors has focused on the active, or orthosteric site. This site and its location make selectivity for PI3Kα over other PI3K isoforms and for mutant PI3Kα over wild-type PI3Kα difficult, and they do not enable pan-mutant coverage. Though these existing inhibitors have shown clinical activity in breast cancer as both monotherapy and in combination with hormonal therapy and cell cycle therapy, as well as anecdotal monotherapy responses in patients with PI3Kα mutations in other tumor types, the therapeutic index of such orthosteric inhibitors is limited by the lack of clinically meaningful selectivity for mutant versus wild-type PI3Kα and off-isoform activity. Toxicity related to inhibition of wild-type PI3Kα, other PI3K isoforms, or other nodes in the PI3K pathway results in sub-optimal inhibition of mutant PI3Kα with reductions in dose intensity and frequent discontinuation. These agents are generally limited by high rates of severe hyperglycemia, which is an on-target toxicity, and by gastrointestinal toxicity, which may be related to inhibition of other PI3K family members, including PI3Kδ.</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Zovegalisib, the first known investigational allosteric, pan-mutant, and isoform-selective PI3Kα inhibitor, was designed to overcome these limitations. (</w:t>
      </w:r>
      <w:r>
        <w:rPr>
          <w:rFonts w:ascii="Times New Roman" w:hAnsi="Times New Roman"/>
          <w:b/>
          <w:color w:val="000000"/>
          <w:sz w:val="18"/>
        </w:rPr>
        <w:t>Figure 1</w:t>
      </w:r>
      <w:r>
        <w:rPr>
          <w:rFonts w:ascii="Times New Roman" w:hAnsi="Times New Roman"/>
          <w:color w:val="000000"/>
          <w:sz w:val="18"/>
        </w:rPr>
        <w:t>)</w:t>
      </w:r>
    </w:p>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Figure 1: Non-selective inhibition of the PI3Kα pathway leads to toxicity challenges.</w:t>
      </w:r>
    </w:p>
    <w:p>
      <w:pPr>
        <w:pStyle w:val="TextBody"/>
        <w:bidi w:val="0"/>
        <w:jc w:val="center"/>
        <w:rPr/>
      </w:pPr>
      <w:r>
        <w:rPr/>
        <w:drawing>
          <wp:inline distT="0" distB="0" distL="0" distR="0">
            <wp:extent cx="6400800" cy="3429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00800" cy="3429000"/>
                    </a:xfrm>
                    <a:prstGeom prst="rect">
                      <a:avLst/>
                    </a:prstGeom>
                  </pic:spPr>
                </pic:pic>
              </a:graphicData>
            </a:graphic>
          </wp:inline>
        </w:drawing>
      </w:r>
    </w:p>
    <w:p>
      <w:pPr>
        <w:pStyle w:val="TextBody"/>
        <w:pBdr>
          <w:bottom w:val="single" w:sz="8" w:space="1" w:color="000000"/>
        </w:pBdr>
        <w:bidi w:val="0"/>
        <w:spacing w:before="240" w:after="283"/>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1. EPIK-B5, SABCS 2025 #RF7-02; 2. FDA Prescribing Information; 3. per CAPItello-291 enrollment criteria; 4. Rash for alpelisib references the cumulative sum of rates of rash and rash maculo-papular from the EPIK-B5 study, and may include overlap. Rash for capivasertib references Cutaneous Adverse Reactions grouped term includes a number of preferred terms listed in FDA Prescribing Information; 5. Stomatitis for alpelisib references the cumulative sum of rates of stomatitis and mucosal inflammation from the EPIK-B5 study, and may include overlap; ReDiscover preliminary data as of 03/26/2025.</w:t>
      </w:r>
    </w:p>
    <w:p>
      <w:pPr>
        <w:pStyle w:val="TextBody"/>
        <w:bidi w:val="0"/>
        <w:jc w:val="left"/>
        <w:rPr>
          <w:rFonts w:ascii="Times New Roman" w:hAnsi="Times New Roman"/>
          <w:i/>
          <w:color w:val="000000"/>
          <w:sz w:val="18"/>
        </w:rPr>
      </w:pPr>
      <w:r>
        <w:rPr>
          <w:rFonts w:ascii="Times New Roman" w:hAnsi="Times New Roman"/>
          <w:i/>
          <w:color w:val="000000"/>
          <w:sz w:val="18"/>
        </w:rPr>
        <w:t>Note: These data are derived from different clinical trials at different points in time, with differences in molecule composition, trial design and patient populations. As a result, cross-trial comparisons cannot be made, and no head-to-head clinical trials have been conducted.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Our solution, zovegalisib</w:t>
      </w:r>
    </w:p>
    <w:p>
      <w:pPr>
        <w:pStyle w:val="TextBody"/>
        <w:bidi w:val="0"/>
        <w:spacing w:before="240" w:after="283"/>
        <w:jc w:val="left"/>
        <w:rPr>
          <w:rFonts w:ascii="Times New Roman" w:hAnsi="Times New Roman"/>
          <w:sz w:val="20"/>
        </w:rPr>
      </w:pPr>
      <w:r>
        <w:rPr>
          <w:rFonts w:ascii="Times New Roman" w:hAnsi="Times New Roman"/>
          <w:color w:val="000000"/>
          <w:sz w:val="18"/>
        </w:rPr>
        <w:t>Given the existence of mutations in PI3Kα with different biological mechanisms underlying aberrant activity, we believe the broadest opportunity is through the development of "pan-mutant" inhibitors of PI3Kα. Addressing the challenge of mutant selectivity required us to express and then solve the structure of the full-length PI3Kα protein. This structure, which to our knowledge had previously not been solved, represented a technical challenge because PI3Kα is a membrane-bound protein. This type of protein is typically difficult both to purify in large quantities and to crystallize. Nonetheless, we were able to obtain the structure of full-length PI3Kα using Cryo-EM. The three-dimensional structure of PI3Kα was determined by collecting data from two-dimensional electron microscopic projections of thin layers of protein. The resulting three-dimensional protein structure provided us with fundamental insights into the mechanism of activation of PI3Kα and the impact of mutations on its function. The integration of these structural insights with a combination of experimental and computational techniques has led to zovegalisib, the first molecule derived from these efforts and the first known allosteric, pan-mutant and isoform-selective PI3Kα inhibitor in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Breast Cancer and Solid Tumors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PI3Kα is the most frequently mutated kinase in all cancers, with oncogenic mutations detected in about 14% of patients with solid tumors. We believe zovegalisib has the potential to address a significant portion of the approximately 140,000 patients with HR+, HER2- breast cancer with a PI3Kα mutation per year in the United States, one of the largest patient populations for a precision oncology medicine.</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The ReDiscover Trial is designed to evaluate the safety, tolerability, pharmacokinetics, pharmacodynamics and preliminary antitumor activity of zovegalisib, and consists of three separate arms (</w:t>
      </w:r>
      <w:r>
        <w:rPr>
          <w:rFonts w:ascii="Times New Roman" w:hAnsi="Times New Roman"/>
          <w:b/>
          <w:color w:val="000000"/>
          <w:sz w:val="18"/>
        </w:rPr>
        <w:t>Figure 2</w:t>
      </w:r>
      <w:r>
        <w:rPr>
          <w:rFonts w:ascii="Times New Roman" w:hAnsi="Times New Roman"/>
          <w:color w:val="000000"/>
          <w:sz w:val="18"/>
        </w:rPr>
        <w:t>). Initial development began with the monotherapy arm assessing zovegalisib as a single agent for patients with unresectable or metastatic solid tumors with PI3Kα mutation. Current development efforts prioritize combination arms for patients with PI3Kα-mutant, HR+, HER2- locally advanced or metastatic breast cancer, including the doublet arm evaluating zovegalisib in combination with fulvestrant and the triplet arm evaluating triplet combinations with CDK4/6 inhibitors and selective CDK4 inhibitor, atirmociclib. Each arm has two parts, a dose escalation (part 1) to determine the maximum tolerated dose and/or recommended Phase 2 dose, followed by a dose expansion (part 2) to evaluate zovegalisib in genomically defined populations.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Figure 2: ReDiscover Trial design.</w:t>
      </w:r>
    </w:p>
    <w:p>
      <w:pPr>
        <w:pStyle w:val="TextBody"/>
        <w:bidi w:val="0"/>
        <w:spacing w:before="240" w:after="283"/>
        <w:jc w:val="center"/>
        <w:rPr/>
      </w:pPr>
      <w:r>
        <w:rPr/>
        <w:drawing>
          <wp:inline distT="0" distB="0" distL="0" distR="0">
            <wp:extent cx="6124575" cy="2943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24575" cy="2943225"/>
                    </a:xfrm>
                    <a:prstGeom prst="rect">
                      <a:avLst/>
                    </a:prstGeom>
                  </pic:spPr>
                </pic:pic>
              </a:graphicData>
            </a:graphic>
          </wp:inline>
        </w:drawing>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________</w:t>
      </w:r>
    </w:p>
    <w:p>
      <w:pPr>
        <w:pStyle w:val="TextBody"/>
        <w:bidi w:val="0"/>
        <w:jc w:val="left"/>
        <w:rPr>
          <w:rFonts w:ascii="Times New Roman" w:hAnsi="Times New Roman"/>
          <w:sz w:val="20"/>
        </w:rPr>
      </w:pPr>
      <w:r>
        <w:rPr>
          <w:rFonts w:ascii="Times New Roman" w:hAnsi="Times New Roman"/>
          <w:i/>
          <w:color w:val="000000"/>
          <w:sz w:val="18"/>
        </w:rPr>
        <w:t>CCOC = clear cell ovarian cancer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also initiated the ReDiscover-2 Trial, which is designed to evaluate the safety and efficacy of zovegalisib plus fulvestrant in PI3Kα-mutated, HR+/HER2- advanced breast cancer patients previously treated with a CDK4/6 inhibitor in either the adjuvant or metastatic setting (n=540). The comparator arm in the ReDiscover-2 Trial is capivasertib plus fulvestrant. The ReDiscover-2 Trial is a randomized, open-label, multicenter clinical trial (</w:t>
      </w:r>
      <w:r>
        <w:rPr>
          <w:rFonts w:ascii="Times New Roman" w:hAnsi="Times New Roman"/>
          <w:b/>
          <w:color w:val="000000"/>
          <w:sz w:val="18"/>
        </w:rPr>
        <w:t>Figure 3</w:t>
      </w:r>
      <w:r>
        <w:rPr>
          <w:rFonts w:ascii="Times New Roman" w:hAnsi="Times New Roman"/>
          <w:color w:val="000000"/>
          <w:sz w:val="18"/>
        </w:rPr>
        <w:t>). The Phase 3 dose in the ReDiscover-2 Trial is 400 mg twice daily fed. A positive food effect has been observed when zovegalisib was administered to patients in the fed state, which increased the exposure level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zovegalisib compared to the fasted state. The 400 mg twice daily fed dose has been shown to achieve exposures similar to the 600 mg twice daily fasted dose, which was the dose used in the ReDiscover Trial expansion cohorts for which we have reported the interim clinical data described below.</w:t>
      </w:r>
      <w:r>
        <w:rPr>
          <w:rFonts w:ascii="Times New Roman" w:hAnsi="Times New Roman"/>
          <w:color w:val="000000"/>
          <w:sz w:val="20"/>
        </w:rPr>
        <w:t xml:space="preserve"> </w:t>
      </w:r>
    </w:p>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Figure 3: Phase 3 ReDiscover-2 Trial.</w:t>
      </w:r>
    </w:p>
    <w:p>
      <w:pPr>
        <w:pStyle w:val="TextBody"/>
        <w:bidi w:val="0"/>
        <w:jc w:val="center"/>
        <w:rPr/>
      </w:pPr>
      <w:r>
        <w:rPr/>
        <w:drawing>
          <wp:inline distT="0" distB="0" distL="0" distR="0">
            <wp:extent cx="6400800" cy="2371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400800" cy="2371725"/>
                    </a:xfrm>
                    <a:prstGeom prst="rect">
                      <a:avLst/>
                    </a:prstGeom>
                  </pic:spPr>
                </pic:pic>
              </a:graphicData>
            </a:graphic>
          </wp:inline>
        </w:drawing>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__________</w:t>
      </w:r>
    </w:p>
    <w:p>
      <w:pPr>
        <w:pStyle w:val="TextBody"/>
        <w:bidi w:val="0"/>
        <w:jc w:val="left"/>
        <w:rPr>
          <w:rFonts w:ascii="Times New Roman" w:hAnsi="Times New Roman"/>
          <w:i/>
          <w:color w:val="000000"/>
          <w:sz w:val="18"/>
        </w:rPr>
      </w:pPr>
      <w:r>
        <w:rPr>
          <w:rFonts w:ascii="Times New Roman" w:hAnsi="Times New Roman"/>
          <w:i/>
          <w:color w:val="000000"/>
          <w:sz w:val="18"/>
        </w:rPr>
        <w:t>1. Disease progression during or within 1 year of completing adjuvant therapy; 2. Applies to chemotherapy administered in the advanced setting.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Interim Clinical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2025, we announced updated interim clinical data for the zovegalisib plus fulvestrant arm of the ReDiscover Trial with a data cut-off date of March 26, 2025, or the June 2025 Data, and in December 2025, we announced a subset analysis of interim clinical data for zovegalisib with a data cut-off date of October 15, 2025, or the December 2025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presented the June 2025 Data at the American Society of Clinical Oncology 2025 Annual Meeting. As of the March 26, 2025 data cut-off date, the zovegalisib and fulvestrant combination arm of the study had enrolled 118 patients with PI3Kα-mutated, HR+, HER2- locally advanced or metastatic breast cancer across all doses in both the dose escalation and dose expansion portions of the study, including 64 patients at 600 mg twice daily, or BID, administered in the fasted state, which reaches exposures comparable to our Phase 3 dose. Among these 64 patients, 31 had a kinase mutation and 33 had a non-kinase mutation. Twelve patients also had a PTEN or AKT co-mutation and were therefore excluded from the efficacy analysis, consistent with the planned pivotal population. All patients in the zovegalisib and fulvestrant combination arm across doses had received a significant level of prior therapy in the advanced setting, including at least one prior endocrine therapy and at least one prior CDK4/6 inhibitor. Among the 64 patients who received the 600 mg BID fasted dose, 44% of patients (n=28) had received two or more prior lines of therapy.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Among the 52 patients in the zovegalisib and fulvestrant combination arm who received the 600 mg BID fasted dose and did not have a PTEN or AKT co-mutation, as of the March 26, 2025 data cut-off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median follow-up was 12.5 months;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median progression free survival, or PFS, was 10.3 months for all patients and 11 months for second line, or 2L, patients;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 2L patients, median PFS was 18.4 months for patients with kinase mutations and 8.5 months for patients with non-kinase mutations;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Clinical benefit rate, or CBR, was 67% across all patients (35 of 52 CBR-evaluable patients; CBR defined as the proportion of patients with complete response, partial response or stable disease for at least 24 weeks);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Among the 31 patients with measurable disease, 12 achieved a partial response, or PR (39% confirmed objective response rate, or ORR);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81% of patients experienced tumor reductions (25/31);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Among the 15 patients with measurable disease who had a kinase mutation, two thirds achieved a PR (67% confirmed ORR; n=10);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Among the 15 patients who had received prior fulvestrant, 6 achieved a PR (40% confirmed ORR).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Zovegalisib in combination with fulvestrant was generally well tolerated in the 118 patients treated across all doses as of the March 26, 2025 data cut-off date. The overall tolerability profile consisted of mostly low-grade treatment-related adverse events, or TRAEs, that were manageable and reversible. Safety outcomes were generally as expected across dose levels based on exposure and consistent with mutant-selective PI3Kα inhibition. Among the 64 patients who received the 600 mg BID fasted dose, as of the March 26, 2025 data cut-off 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low rate of TRAE-related dose modifications allowed for 92% median dose intensity;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Only two patients discontinued treatment due to TRAEs (Grade 1 pruritis; Grade 1 nausea, loss of appetite);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majority of hyperglycemia was Grade 1; only two patients (3%) experienced Grade 3 hyperglycemia; no Grade 4-5 hyperglycemia;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Only 36% of patients experienced a Grade 3 TRAE; no Grade 4-5 TRAEs.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presented the December 2025 Data at the San Antonio Breast Cancer Symposium 2025, which consisted of an efficacy subset analysis. As of the October 15, 2025 data cut-off date, among the 64 patients who received the 600 mg BID fasted dose, 45% of patients (n=29) had received two or more prior lines of therapy, 52% of patients (n=33) had received prior selective estrogen receptor degrader, or SERD, (includes fulvestrant or oral SERD), and 29% of patients (n=18) had detectable ESR1 mutations at baseline.</w:t>
      </w:r>
    </w:p>
    <w:p>
      <w:pPr>
        <w:pStyle w:val="TextBody"/>
        <w:bidi w:val="0"/>
        <w:spacing w:before="240" w:after="283"/>
        <w:jc w:val="left"/>
        <w:rPr>
          <w:rFonts w:ascii="Times New Roman" w:hAnsi="Times New Roman"/>
          <w:sz w:val="20"/>
        </w:rPr>
      </w:pPr>
      <w:r>
        <w:rPr>
          <w:rFonts w:ascii="Times New Roman" w:hAnsi="Times New Roman"/>
          <w:color w:val="000000"/>
          <w:sz w:val="18"/>
        </w:rPr>
        <w:t>The total efficacy population for the December 2025 Data consisted of 52 zovegalisib and fulvestrant patients who received the 600 mg BID fasted dose and did not have a PTEN or AKT co-mutation. Median follow-up was 20.2 months as of the October 15, 2025 data cut-off date.</w:t>
      </w:r>
      <w:r>
        <w:rPr>
          <w:rFonts w:ascii="Times New Roman" w:hAnsi="Times New Roman"/>
          <w:color w:val="000000"/>
          <w:sz w:val="20"/>
        </w:rPr>
        <w:t xml:space="preserve"> </w:t>
      </w:r>
      <w:r>
        <w:rPr>
          <w:rFonts w:ascii="Times New Roman" w:hAnsi="Times New Roman"/>
          <w:color w:val="000000"/>
          <w:sz w:val="18"/>
        </w:rPr>
        <w:t>The median PFS was 10.3 months for all patients. Among the total of 31 patients with measurable disease, ORR was 39%. For 2L patients, median PFS was 11.4 months and ORR was 47%. Efficacy was generally consistent across other subsets of patients. As of the October 15, 2025 data cut-off date, for patients who received prior SERD, median PFS was 11.4 months and ORR was 44% (7/16), and for patients who had a detectable ESR1 mutation at baseline, median PFS was 8.8 months and ORR was 60% (6/10).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the October 15, 2025 data cut-off date, the overall tolerability profile remained consistent with the June 2025 Data, with TRAEs that were mostly low-grade, manageable and reversible.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Vascular Anomalies</w:t>
      </w:r>
    </w:p>
    <w:p>
      <w:pPr>
        <w:pStyle w:val="TextBody"/>
        <w:bidi w:val="0"/>
        <w:spacing w:before="240" w:after="283"/>
        <w:jc w:val="left"/>
        <w:rPr>
          <w:rFonts w:ascii="Times New Roman" w:hAnsi="Times New Roman"/>
          <w:sz w:val="20"/>
        </w:rPr>
      </w:pPr>
      <w:r>
        <w:rPr>
          <w:rFonts w:ascii="Times New Roman" w:hAnsi="Times New Roman"/>
          <w:color w:val="000000"/>
          <w:sz w:val="18"/>
        </w:rPr>
        <w:t>Vascular anomalies are a series of rare diseases that occur due to atypical development of lymphatic and/or blood vessels, which enlarge or form tangles, pockets or shunting vessels that cause abnormal blood flow. They can occur in different parts of the body, vary in severity and may cause symptoms such as pain, swelling, skin discoloration, limb asymmetry and functional limits. The anomalies typically grow over time, and, depending on what vessel(s) are involved, can become life-threatening. The primary vessel(s) involved determine the sub-type of anomaly, which can include venous malformations, cerebral cavernous malformations, lymphatic malformations and PIK3CA-related overgrowth spectrum.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PI3Kα is the most common driver mutation among these sub-types, causing an estimated 30-55% of these vascular anomalies. In the U.S., an estimated 170,000 people have one of these sub-types driven by a PI3Kα mutation. A mutant selective PI3Kα inhibitor provides the opportunity for greater target coverage, leading to the potential for improved efficacy and better chronic tolerability.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u w:val="single"/>
        </w:rPr>
      </w:pPr>
      <w:r>
        <w:rPr>
          <w:rFonts w:ascii="Times New Roman" w:hAnsi="Times New Roman"/>
          <w:color w:val="000000"/>
          <w:sz w:val="18"/>
          <w:u w:val="single"/>
        </w:rPr>
        <w:t>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In the first quarter of 2025, we initiated the ReInspire Trial, which is a global Phase 1/2 clinical trial designed to evaluate the safety and efficacy of zovegalisib in adults and children with PROS and anomalies driven by PIK3CA mutation (</w:t>
      </w:r>
      <w:r>
        <w:rPr>
          <w:rFonts w:ascii="Times New Roman" w:hAnsi="Times New Roman"/>
          <w:b/>
          <w:color w:val="000000"/>
          <w:sz w:val="18"/>
        </w:rPr>
        <w:t>Figure 4</w:t>
      </w:r>
      <w:r>
        <w:rPr>
          <w:rFonts w:ascii="Times New Roman" w:hAnsi="Times New Roman"/>
          <w:color w:val="000000"/>
          <w:sz w:val="18"/>
        </w:rPr>
        <w:t>). The ReInspire Trial is a three-part trial consisting of a dose selection (part 1), a basket design with exploratory single-arm cohorts for various subpopulations of participants (part 2) and a randomized, double-blinded study vs. placebo (part 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Figure 4: Initial development plan for Part 1 and 2 of the ReInspire Trial.</w:t>
      </w:r>
    </w:p>
    <w:p>
      <w:pPr>
        <w:pStyle w:val="TextBody"/>
        <w:bidi w:val="0"/>
        <w:jc w:val="center"/>
        <w:rPr/>
      </w:pPr>
      <w:r>
        <w:rPr/>
        <w:drawing>
          <wp:inline distT="0" distB="0" distL="0" distR="0">
            <wp:extent cx="6400800" cy="32766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400800" cy="3276600"/>
                    </a:xfrm>
                    <a:prstGeom prst="rect">
                      <a:avLst/>
                    </a:prstGeom>
                  </pic:spPr>
                </pic:pic>
              </a:graphicData>
            </a:graphic>
          </wp:inline>
        </w:drawing>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Pipeline Programs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our lead product candidate, we are advancing additional programs across both precision oncology and genetic diseases. We are progressing our NRAS-selective inhibitor, RLY-8161, to address NRAS-mutated solid tumors as well as our non-inhibitory chaperone for Fabry disease. We are also advancing early-stage discovery programs across both precision oncology and genetic diseases. Our precision oncology programs leverage insights into protein conformational dynamics to address high-value, genetically validated oncogenes that previously have been intractable to, or inadequately addressed by, conventional drug-discovery approaches. With respect to our genetic disease programs, we are working to address genetically validated targets in monogenic diseases where genetic alterations lead to disease-causing defects in protein conformational dynamics.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NRAS-selective inhibitor (RLY-8161)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NRAS is a known oncogene driver that belongs to the RAS family of signaling proteins. It plays an important role in cell division, cell differentiation and programmed cell death. The NRAS protein is responsible for converting GTP to GDP and is turned “on” when it binds to GTP and “off” once the GTP is converted to GDP. When mutated, the NRAS gene creates NRAS proteins that are always “on”, which makes cells grow and divide uncontrollably and can lead to a number of cancers, including melanoma, colorectal and non-small-cell lung. In the U.S., an estimated 29,000 people are diagnosed each year with mutated NRAS solid tumors.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Existing approved and in-development treatments either target all RAS proteins (pan-RAS) or target other downstream parts of the pathway such as RAF and MEK, which can lead to significant off-target toxicity and limits efficacy. We have created what we believe to be the first NRAS-selective inhibitor, RLY-8161, which has been designed to address the liabilities of current pan-RAS inhibitors by only binding to NRAS, while sparing KRAS and HRAS.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Fabry disease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Fabry disease, a defective gene, or GLA, prohibits the body from producing enough healthy versions of an enzyme called alpha-galactosidase A, or αGal, which is responsible for breaking down globotriaosylceramide, or Gb3, a fat-like substance. As a result, harmful levels of Gb3 accumulate in blood cells and tissues throughout the body, which can lead to a range of symptoms, including potentially life-threatening ones such as kidney failure, heart failure and stroke. In the U.S., approximately 10,000 people are estimated to have this rare, progressive genetic disorder.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created what we believe to be the first investigational non-inhibitory chaperone for Fabry disease, which is designed to stabilize the αGal protein without inhibiting its activity, thus enabling greater Gb3 clearance across organs. A non-inhibitory chaperone could potentially serve as a chronic treatment option for people with Fabry disease, either as a monotherapy or in combination with enzyme replacement therapy.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18"/>
        </w:rPr>
        <w:t>Discovery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deploying our Dynamo platform to advance discovery stage programs across both precision oncology and genetic diseases. As with preclinical and clinical programs described above, our discovery programs leverage insights into protein conformational dynamics to address high-value, genetically validated disease-causing genes that previously have been intractable to, or inadequately addressed by, conventional drug-discovery approaches.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Partnered Program</w:t>
      </w:r>
    </w:p>
    <w:p>
      <w:pPr>
        <w:pStyle w:val="TextBody"/>
        <w:bidi w:val="0"/>
        <w:spacing w:before="240" w:after="283"/>
        <w:jc w:val="left"/>
        <w:rPr>
          <w:rFonts w:ascii="Times New Roman" w:hAnsi="Times New Roman"/>
          <w:sz w:val="20"/>
        </w:rPr>
      </w:pPr>
      <w:r>
        <w:rPr>
          <w:rFonts w:ascii="Times New Roman" w:hAnsi="Times New Roman"/>
          <w:i/>
          <w:color w:val="000000"/>
          <w:sz w:val="18"/>
        </w:rPr>
        <w:t>Lirafugratinib</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December 2024, we entered into the Elevar Agreement with Elevar, pursuant to which Elevar was granted global development and commercialization rights for lirafugratinib, a potent, selective and oral small molecule inhibitor of FGFR2, a receptor tyrosine kinase that is frequently altered in certain cancers. Under the terms of the Elevar Agreement, Elevar assumed full responsibility for all further development activities, including submission of any new drug applications, or NDAs, all subsequent clinical development, and global commercialization for FGFR2-driven</w:t>
      </w:r>
      <w:r>
        <w:rPr>
          <w:rFonts w:ascii="Times New Roman" w:hAnsi="Times New Roman"/>
          <w:color w:val="000000"/>
          <w:sz w:val="20"/>
        </w:rPr>
        <w:t xml:space="preserve"> </w:t>
      </w:r>
      <w:r>
        <w:rPr>
          <w:rFonts w:ascii="Times New Roman" w:hAnsi="Times New Roman"/>
          <w:color w:val="000000"/>
          <w:sz w:val="18"/>
        </w:rPr>
        <w:t>cholangiocarcinoma, or CCA and FGFR2-altered other solid tumors.</w:t>
      </w:r>
    </w:p>
    <w:p>
      <w:pPr>
        <w:pStyle w:val="TextBody"/>
        <w:bidi w:val="0"/>
        <w:spacing w:before="240" w:after="283"/>
        <w:jc w:val="left"/>
        <w:rPr>
          <w:rFonts w:ascii="Times New Roman" w:hAnsi="Times New Roman"/>
          <w:sz w:val="20"/>
        </w:rPr>
      </w:pPr>
      <w:r>
        <w:rPr>
          <w:rFonts w:ascii="Times New Roman" w:hAnsi="Times New Roman"/>
          <w:b/>
          <w:color w:val="000000"/>
          <w:sz w:val="18"/>
        </w:rPr>
        <w:t>Competition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biotechnology and pharmaceutical industries are characterized by rapid innovation of new technologies, fierce competition and strong defense of intellectual property. While we believe that our platform and our knowledge, experience and scientific resources provide us with competitive advantages, we face competition from major pharmaceutical and biotechnology companies, academic institutions, governmental agencies and public and private research institutions, among others.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compete in the segments of the pharmaceutical, biotechnology, and other related markets that address experimentally and computationally driven structure-based drug design in cancer and genetic diseases. There are other companies focusing on structure-based drug design to develop therapies in the fields of cancer and other diseases. These companies include divisions of large pharmaceutical companies and biotechnology companies of various sizes. 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principal competitive factors to our business include, among other things, the rich protein structural data sets we are able to generate, the power and accuracy of our computations and predictions, ability to integrate experimental and computational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there are many pharmaceutical and biotechnology companies that use some of the same tools that we use in our platform, we believe we compete favorably on the basis of these factors. The effort and investment required to develop a highly integrated experimental and computational platform similar to ours will hinder new entrants that are unable to invest the necessary capital and time and lack the breadth and depth of technical expertise required to develop competing capabilities.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will need to develop our product candidates in collaboration with diagnostic companies, and we will face competition from other companies in establishing these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Furthermore, we also face competition more broadly across the market for cost-effective and reimbursable treatments for cancer and genetic disease. The most common methods of treating patients with cancer are surgery, radiation and drug therapy, including chemotherapy, hormone therapy and targeted drug therapy or a combination of such methods. Similarly, there are a variety of available treatments for genetic diseases, like Fabry disease, which include enzyme replacement therapy, gene therapy, and oral targeted therapy.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any of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are developing new therapeutics, and we cannot predict what the standard of care will be as our product candidates progress through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Zovegalisib– Breast Cancer and Solid Tumors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zovegalisib will compete against approved medicines, Piqray (alpelisib), a non-selective PI3Kα inhibitor marketed by Novartis for the treatment of PIK3CA mutated HR+, HER2- advanced or metastatic breast cancer, Truqap (capivasertib), an AKT inhibitor marketed by AstraZeneca for the treatment of metastatic breast cancer with a PIK3CA, AKT1 or PTEN alteration, and Itovebi (inavolisib), a non-selective PI3Kα inhibitor marketed by Roche Holding AG through its subsidiary Genentech for the treatment of PIK3CA mutated HR+, HER2- advanced or metastatic breast cancer. We are aware of other companies developing therapeutics that target both wild-type and mutant PI3Kα, including, but not limited to, Celcuity Inc and Totus Medicines. In addition, Eli Lilly and Company and OnKure have clinical development programs for mutant-selective PI3Kα inhibitors.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Zovegalisib– Vascular Anomalies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zovegalisib will compete against the only approved systemic therapy medicine, Vijoice (alpelisib), a non-selective PI3Kα inhibitor marketed by Novartis for the treatment of PIK3CA-Related Overgrowth Spectrum (PROS), available under accelerated approval. There are no approved agents for any other vascular anomaly sub-types. We are aware of other companies developing therapies for vascular anomalies, including Kaken Pharmaceutical Company, which is developing an oral non-selective PI3Kα inhibitor for patients with refractory vascular anomalies, and Palvella Therapeutics, which is developing a topical mTOR inhibitor for patients with cutaneous manifestations of lymphatic and venous malformations.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NRAS-Selective Inhibitor (RLY-8161)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there are currently no approved products that selectively target NRAS, there are therapeutic approaches that target other nodes in the RAS/MAPK pathway which we’d expect our NRAS-selective molecule to compete against. This includes pan-RAF and MEK inhibitors, which are often used in combination, such as Braftovi (encorafenib), a BRAF inhibitor indicated for use in combination with Mektovi (binimetinib), a MEK inhibitor, both marketed by Pfizer for the treatment of metastatic melanoma with a BRAF V600E or V600K mutation. Braftovi as a single agent is additionally recommended for use in certain cases of cutaneous melanoma by the National Comprehensive Cancer Network, though has not received regulatory approval. There are also clinical stage pan-RAS molecules in development, including Revolution Medicines RMC-6236.</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Fabry Disease</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non-inhibitory chaperone for Fabry disease to compete against Galafold (migalastat), an αGal chaperone marketed by Amicus Therapeutics for the treatment of Fabry disease with an amenable galactosidase alpha gene variant, as well as approved enzyme replacement therapies for Fabry disease including Fabrazyme (agalsidase beta), marketed by Sanofi, Replagal (agalsidase alfa), marketed by Takeda, and Elfabrio (pegunigalsidase alfa-iwxj), marketed by Protalix Biotherapeutics.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Our Collaborations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License Agreements and Strategic Collaborations</w:t>
      </w:r>
    </w:p>
    <w:p>
      <w:pPr>
        <w:pStyle w:val="TextBody"/>
        <w:bidi w:val="0"/>
        <w:spacing w:before="240" w:after="283"/>
        <w:jc w:val="left"/>
        <w:rPr>
          <w:rFonts w:ascii="Times New Roman" w:hAnsi="Times New Roman"/>
          <w:sz w:val="20"/>
        </w:rPr>
      </w:pPr>
      <w:r>
        <w:rPr>
          <w:rFonts w:ascii="Times New Roman" w:hAnsi="Times New Roman"/>
          <w:i/>
          <w:color w:val="000000"/>
          <w:sz w:val="18"/>
        </w:rPr>
        <w:t>Collaboration and License Agreement with D. E. Shaw Research, LLC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 August 17, 2016, we entered into a Collaboration and License Agreement with D. E. Shaw Research, which was amended to extend the term and otherwise modify certain of the provisions thereof. We refer to this agreement, as amended and restated from time to time, as the DESRES Agreement. Under the DESRES Agreement, we agreed to collaborate with D. E. Shaw Research to research certain biological targets using computational modeling with an aim to develop and commercialize compounds and products directed to such targets. D. E. Shaw Research has no involvement with the clinical development or potential commercialization of these compounds and products, regardless of any co-ownership rights pursuant to the terms of the DESRES Agreement, and instead receives solely milestone and royalty payments as described below. The initial research term under the DESRES Agreement ended on August 16, 2025, and we are not currently collaborating with D.E. Shaw Research on any of our active preclinical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DESRES Agreement, Category 1 Targets are targets that, among other things, we collaborated, or intended to collaborate, on with D. E. Shaw Research, D. E. Shaw Research has exclusivity obligations with respect to, and we may owe royalties and other milestone payments on. The targets associated with all of our current programs in clinical development are Category 1 Targets under the DESRES Agreement.</w:t>
      </w:r>
    </w:p>
    <w:p>
      <w:pPr>
        <w:pStyle w:val="TextBody"/>
        <w:bidi w:val="0"/>
        <w:spacing w:before="240" w:after="283"/>
        <w:jc w:val="left"/>
        <w:rPr>
          <w:rFonts w:ascii="Times New Roman" w:hAnsi="Times New Roman"/>
          <w:sz w:val="20"/>
        </w:rPr>
      </w:pPr>
      <w:r>
        <w:rPr>
          <w:rFonts w:ascii="Times New Roman" w:hAnsi="Times New Roman"/>
          <w:color w:val="000000"/>
          <w:sz w:val="18"/>
        </w:rPr>
        <w:t>Work product that we jointly developed with D. E. Shaw Research was initially co-owned with them. We have the right to have patents claiming certain product candidates assigned to us upon issuance of those patents. For each Category 1 Target, there is a limit to the number of core compounds and total compounds, including derivatives of core compounds, that can be designated as solely owned by us,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subject to certain adjustments. Each of we and D. E. Shaw Research grants to the other a perpetual, irrevocable, non-exclusive license for jointly held intellectual property, subject to certain exclusions.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initial research term, D. E. Shaw Research was restricted from researching any Category 1 Target (or granting certain rights with respect to such target) with the aim of pursuing any compound designed to interact with or bind to such Category 1 Target, subject to some exceptions. Following the end of the initial research term, D. E. Shaw Research is similarly restricted with respect to any target that was a Category 1 Target at the end of the initial research term, subject to some exceptions. However, D. E. Shaw Research is not bound by such exclusivity provisions with respect to a particular Category 1 Target if we, and parties acting on our behalf, stop using commercially reasonable efforts to research, develop or commercialize any products against such Category 1 Target. Further, D. E. Shaw Research will be released from such exclusivity obligations with respect to a particular Category 1 Target if, at least 24 months after the end of the initial research term, D. E. Shaw Research informs us that D. E. Shaw Research will forgo all future payments with respect to such Category 1 Target.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Through December 31, 2025, we have made cash payments to D. E. Shaw Research totaling $57.1 million in the aggregate. On a product-by-product basis, we have also agreed to pay D. E. Shaw Research milestone payments upon the achievement of certain development and regulatory milestone events for products we develop under the DESRES Agreement that are directed to a Category 1 Target or any target that was a Category 1 Target. Our PI3K, FGFR2, and NRAS programs are each directed to Category 1 Targets. Such payments for achievement of development and regulatory milestones total up to $7.3 million in the aggregate for each of the first three products we develop, and up to $6.3 million in the aggregate for each product we develop after the first three.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we have agreed to pay D. E. Shaw Research, on a product-by-product basis, with respect to products directed to Category 1 Targets or any target that was a Category 1 Target, royalties in the low single digits on worldwide net sales of products that we commercialize directed to the targets selected for development under the DESRES Agreement, subject to certain reductions. Royalties are payable on a product-by-product and country-by-country basis until the later of twelve years after first commercial sale in such country or the expiration of all applicable regulatory exclusivities in such country. On a product-by-product basis, we also agreed to pay D. E. Shaw Research sales milestone payments up to $36.0 million in the aggregate based on sales of each product directed to a Category 1 Target or any target that was a Category 1 Target. Further, if we enter into transactions granting third parties rights to a Category 1 Target or a compound or product directed to a Category 1 Target or any target that was a Category 1 Target such as our licensing arrangement with Elevar for lirafugratinib discussed below, but subject to certain exclusions, we will share with D. E. Shaw Research a percentage of the proceeds of such transactions ranging from the low- to high-single digits, depending on the stage of development of compounds or products directed to such target at the time we enter into such transaction. We also paid an annual collaboration fee during the initial research term.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Unless earlier terminated, the DESRES Agreement will continue on a target-by-target basis until all payment obligations have expired. D. E. Shaw Research has the right to terminate the DESRES Agreement due to non-payment. We and D. E. Shaw Research each have the right to terminate the DESRES Agreement due to an uncured material breach by the other party, or in the event the other party becomes insolvent or enters into bankruptcy or dissolution proceedings. Our payment obligations to D. E. Shaw Research survive termination of the DESRES Agreement. If D. E. Shaw Research terminates the DESRES Agreement, the exclusivity obligations will terminate. If we terminate the DESRES Agreement, D. E. Shaw Research remains bound by its exclusivity obligations with respect to certain targets until, on a target-by-target basis, there are no further payment obligations due to D. E. Shaw Research in respect of such targets.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18"/>
        </w:rPr>
        <w:t>Exclusive Global Licensing Agreement with Elevar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December 2, 2024, we entered into the Elevar Agreement. Pursuant to the Elevar Agreement, Elevar was granted global development and commercialization rights for lirafugratinib. Elevar is responsible for all further development activities and global commercialization for lirafugratinib in FGFR2-driven CCA and FGFR2-altered other solid tumors.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Collaboration and License Agreement with Genentech</w:t>
      </w:r>
    </w:p>
    <w:p>
      <w:pPr>
        <w:pStyle w:val="TextBody"/>
        <w:bidi w:val="0"/>
        <w:spacing w:before="240" w:after="283"/>
        <w:jc w:val="left"/>
        <w:rPr>
          <w:rFonts w:ascii="Times New Roman" w:hAnsi="Times New Roman"/>
          <w:sz w:val="20"/>
        </w:rPr>
      </w:pPr>
      <w:r>
        <w:rPr>
          <w:rFonts w:ascii="Times New Roman" w:hAnsi="Times New Roman"/>
          <w:color w:val="000000"/>
          <w:sz w:val="18"/>
        </w:rPr>
        <w:t>On December 11, 2020, we entered into a Collaboration and License Agreement with Genentech, Inc. and F. Hoffmann-La Roche Ltd, collectively referred to as Genentech, which was amended on February 2, 2022, to modify certain terms thereof. We refer to this agreement, as amended from time to time, as the Genentech Agreement. Pursuant to the Genentech Agreement, we and Genentech collaborated on the development and commercialization of RLY-1971, our inhibitor of SRC homology region 2 domain containing phosphatase 2 (now referred to as migoprotafib, or GDC-1971), or the Genentech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terms of the Genentech Agreement, we received $75.0 million in an upfront payment in 2021, as well as $45.0 million in milestone payments from Genentech as of December 31, 2025. Genentech elected to terminate the Genentech Agreement without cause, effective as of January 7, 2025. As a result of the termination of the Genentech Agreement, the parties no longer have any development or commercialization obligations and the licenses that we granted to Genentech pursuant to the Genentech Agreement ceased to be in effect. As of the termination date, we are no longer entitled to receive any further milestones or other payments under the Genentech Agreement. We will not continue development of migoprotafib.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Collaborations</w:t>
      </w:r>
    </w:p>
    <w:p>
      <w:pPr>
        <w:pStyle w:val="TextBody"/>
        <w:bidi w:val="0"/>
        <w:spacing w:before="240" w:after="283"/>
        <w:jc w:val="left"/>
        <w:rPr>
          <w:rFonts w:ascii="Times New Roman" w:hAnsi="Times New Roman"/>
          <w:sz w:val="20"/>
        </w:rPr>
      </w:pPr>
      <w:r>
        <w:rPr>
          <w:rFonts w:ascii="Times New Roman" w:hAnsi="Times New Roman"/>
          <w:color w:val="000000"/>
          <w:sz w:val="18"/>
        </w:rPr>
        <w:t>While we have invested extensively in our in-house capabilities and know-how, we selectively work with key collaborators and field experts on certain emerging experimental and computational tools and techniques we use in our drug discovery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2024, we entered into a global clinical trial collaboration with Pfizer for the development of zovegalisib in combination with fulvestrant and atirmociclib, Pfizer's investigative selective-CDK4 inhibitor, in patients with PI3Kα-mutated, HR+, HER2- metastatic breast cancer.</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We seek to protect the intellectual property and proprietary technology that we consider important to our business, including by pursuing patent applications that cover our product candidates and methods of using the same, as well as any other relevant inventions and improvements that we believe to be commercially important to the development of our business. We also rely on trade secrets, know-how and continuing technological innovation to develop and maintain our proprietary and intellectual property position. 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with other biotechnology and pharmaceutical companies, our ability to maintain and solidify our proprietary and intellectual property position for our product candidates and technologies will depend on our success in obtaining effective patent claims and enforcing those claims if granted. However, our pending provisional and PCT patent applications, and any patent applications that we may in the future file or license from third parties, may not result in the issuance of patents and any issued patents we may obtain do not guarantee us the right to practice our technology or commercialize our product candidates. We also cannot predict the breadth of claims that may be allowed or enforced in any patents we may own or in-license in the future. Any issued patents that we currently own or may own or in-license in the future may be challenged, invalidated, circumvented or have the scope of their claims narrowed. In addition, because of the extensive time required for clinical development and regulatory review of a product candidate we may develop, it is possible that, before any of our product candidates can be commercialized, any related patent may expire or remain in force for only a short period following commercialization, thereby limiting the protection such patent would afford the respective product and any competitive advantage such patent may provide.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term of individual patents depends upon the date of filing of the patent application, the date of patent issuance and the legal term of patents in the countries in which they are obtained. In most countries, including the United States, the patent term is 20 years from the earliest filing date of a non-provisional patent application. In the United States, a patent’s term may be lengthened by patent term adjustment, which compensates a patentee for administrative delays by the United States Patent and Trademark Office, or USPTO, in examining and granting a patent, or may be shortened if a patent is terminally disclaimed over an earlier expiring patent. The term of a patent claiming a new drug product may also be eligible for a limited patent term extension when FDA approval is granted, provided statutory and regulatory requirements are met. The restoration period granted on a patent covering a product is typically one-half the time between the effective date of a clinical investigation involving human beings is begun and the submission date of an application, plus the time between the submission date of an application and the ultimate approval date. The restoration period cannot be longer than five years, and the restoration period may not extend the patent term beyond 14 years from the date of FDA approval. Only one patent applicable to an approved product is eligible for the extension, and only those claims covering the approved product, a method for using it, or a method for manufacturing it may be extended. Additionally, the application for the extension must be submitted prior to the expiration of the patent in question. A patent that covers multiple products for which approval is sought can only be extended in connection with one of the approvals. The USPTO reviews and approves the application for any patent term extension or restoration in consultation with the FDA. In the future, if our product candidates receive approval by the FDA, we expect to apply for patent term extensions on one issued patent covering each of those products, depending upon the length of the clinical studies for each product and other factors. There can be no assurance that patents will issue from our current or future pending patent applications, or that we will benefit from any patent term extension or favorable adjustments to the terms of any patents we may own or in-license in the future. In addition,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The patent term may be inadequate to protect our competitive position on our products for an adequate amount of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Zovegalisib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co-owned with D.E. Shaw Research pending U.S. and foreign patent applications, covering our lead PI3K program, which are directed to the composition of matter for the drug candidates of the program, including zovegalisib, analogs thereof, as well as methods of making and using these compounds. Any U.S. or foreign patents that may issue from this patent family, if granted and all appropriate maintenance fees paid, would be scheduled to expire in 2041, excluding any additional term for patent term adjustment or patent term extension, if applicable. As of the date of this Annual Report on Form 10-K, we co-own with D.E. Shaw Research granted patents in Eurasia, Japan, Korea, Chile, and the United States covering the composition of matter of zovegalisib.</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wholly owned pending U.S. and foreign patent applications relating to zovegalisib isotopolog composition of matter, methods of treatment, solid forms and methods of manufacture. Any U.S. or foreign patents that may issue from this patent family, if granted and all appropriate maintenance fees paid, would be scheduled to expire in 2042, excluding any additional term for patent term adjustment or patent term extension, if applicable.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Lirafugratinib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co-owned with D. E. Shaw Research pending U.S. and foreign patent applications which relate to our FGFR2 inhibitors. Any U.S. or foreign patents that may issue from this patent family, if granted and all appropriate maintenance fees paid, would be scheduled to expire in 2040, excluding any additional term for patent term adjustment or patent term extension, if applicable. As of the date of this Annual Report on Form 10-K, we own granted patents in Eurasia, Europe, Taiwan, Japan, Hong Kong, and the United States covering the composition of matter of lirafugratinib.</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wholly owned pending U.S. and foreign patent applications relating to lirafugratinib salts composition of matter, methods of treatment, solid forms and methods of manufacture. Any U.S. or foreign patents that may issue from this patent family, if granted and all appropriate maintenance fees paid, would be scheduled to expire in 2041, excluding any additional term for patent term adjustment or patent term extension, if applicable.</w:t>
      </w:r>
      <w:r>
        <w:rPr>
          <w:rFonts w:ascii="Times New Roman" w:hAnsi="Times New Roman"/>
          <w:color w:val="000000"/>
          <w:sz w:val="20"/>
        </w:rPr>
        <w:t xml:space="preserve"> </w:t>
      </w:r>
      <w:r>
        <w:rPr>
          <w:rFonts w:ascii="Times New Roman" w:hAnsi="Times New Roman"/>
          <w:color w:val="000000"/>
          <w:sz w:val="18"/>
        </w:rPr>
        <w:t>As of the date of this Annual Report on Form 10-K, we own a granted patent in the United States covering solid forms of lirafugratinib.</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Elevar Therapeutics, as the exclusive licensee of our FGFR2 inhibitor program, has the sole right and responsibility for the prosecution, maintenance, and enforcement of all of our solely-owned and jointly-owned (with D.E. Shaw Research) patents and patent applications directed to our FGFR2 inhibitor program. We retain certain reversion rights in the event Elevar terminates its license, or declines to prosecute claims specifically relating to lirafugratinib.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Patent prosecution is a lengthy process, during which the scope of the claims initially submitted for examination by the USPTO or other foreign jurisdiction are often significantly narrowed by the time they issue, if they issue at all. Any U.S. or foreign patent issuing from these provisional, PCT, or foreign patent applications (assuming they are timely converted into non-provisional applications, and such non-provisional applications are granted as issued patents) would be scheduled to expire twenty years from their earliest non-provisional priority filing date, excluding any additional term for patent term adjustment or patent term extension, and assuming national phase entries are timely made based upon the pending PCT application, and payment of all applicable maintenance or annuity fees. Any of our pending PCT patent applications are not eligible to become issued patents until, among other things, we file national stage patent applications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Our provisional patent applications may never result in issued patents and are not eligible to become issued patents until, among other things, we file a non-provisional patent application and/or PCT patent application within 12 months of filing the related provisional patent application. If we do not timely file non-provisional patent applications, we may lose our priority date with respect to our provisional patent applications and any patent protection on the inventions disclosed in our provisional patent applications. While we intend to timely file non-provisional and national stage patent applications relating to our provisional and PCT patent applications, we cannot predict whether any of our current or future patent applications for any of our product candidates or technology, will issue as patents. If we do not successfully obtain patent protection, or, even if we do obtain patent protection, if the scope of the patent protection we, Genentech, or our potential licensors, obtain with respect to any of our product candidates or technology is not sufficiently broad, we will be unable to prevent others from using our technology or from developing or commercializing technology and products similar or identical to ours or other competing products and technologies.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patent applications, we rely on unpatented trade secrets, know-how and continuing technological innovation to develop and maintain our competitive position. However, trade secrets and confidential know-how are difficult to protect. In particular, we anticipate that with respect to the building of our compound library, our trade secrets and know-how will over time be disseminated within the industry through independent development and public presentations describing the methodology. We seek to protect our proprietary information, in part, by executing confidentiality agreements with our collaborators and scientific advisors and non-competition, non-solicitation, confidentiality and invention assignment agreements with our employees and consultants. We have also executed agreements requiring assignment of inventions with selected consultants,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that we will have executed such agreements with all applicable employees and contractors, or that these agreements will afford us adequate protection of our intellectual property and proprietary information rights. In addition, our trade secrets and/or confidential know-how may become known or be independently developed by a third party or misused by any collaborator to whom we disclose such information. These agreements may also be breached, and we may not have an adequate remedy for any such breach. Despite any measures taken to protect our intellectual property, unauthorized parties may attempt to copy aspects of our products or to obtain or use information that we regard as proprietary. Although we take steps to protect our proprietary information, third parties may independently develop the same or similar proprietary information or may otherwise gain access to our proprietary information. As a result, we may be unable to meaningfully protect our trade secrets and proprietary information. For more information regarding the risks related to our intellectual property, please see "Risk Factors—Risks Related to our Intellectual Property."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Subject to receiving marketing approvals, we expect to commence commercialization activities by building a focused sales and marketing organization in the United States to sell our products. We believe that such an organization will be able to address the community of oncologists and genetic disease specialists who are the key specialists in treating the patient populations for which our product candidates are being developed. Outside the United States, we expect to enter into distribution and other marketing arrangements with third parties for any of our product candidates that obtain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All of our drug candidates are small molecules and are manufactured in synthetic processes from available or custom-made starting materials. The chemistry appears amenable to scale-up and we rely on the specialized equipment of third parties to manufacture our product candidates. We expect to continue to develop product candidates that can be produced cost-effectively at contract manufacturing facilities.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Governmental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and contract manufacturers, are and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where we are initially focusing our drug development, the FDA regulates drug products under the Federal Food, Drug, and Cosmetic Act, or FD&amp;C Act, as amended, its implementing regulations and other laws. If we fail to comply with applicable FDA or other 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process required by the FDA before our product candidates are approved as drugs for therapeutic indications and may be marketed in the United States generally involves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completion of extensive preclinical studies in accordance with applicable regulations, including studies conducted in accordance with good laboratory practice, or GLP,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completion of the manufacture, under current Good Manufacturing Practices, or cGMP, conditions, of the drug substance and drug product that the sponsor intends to use in human clinical trials along with required analytical and stability testing;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submission to the FDA of an investigational new drug application, or IND, which must become effective before clinical trials may begin;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approval by an institutional review board, or IRB, or independent ethics committee at each clinical trial site before each trial may be initiated;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submission to the FDA of a New Drug Application, or an NDA;</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determination by the FDA within 60 days of its receipt of an NDA, to accept the filing for review;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potentially, satisfactory completion of FDA audit of the clinical trial sites that generated the data in support of the NDA;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payment of user fees for FDA review of the NDA;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FDA review and approval of the NDA, including consideration of the views of any FDA advisory committee, prior to any commercial marketing or sale of the drug in the United States. </w:t>
      </w:r>
    </w:p>
    <w:p>
      <w:pPr>
        <w:pStyle w:val="TextBody"/>
        <w:bidi w:val="0"/>
        <w:spacing w:before="240" w:after="283"/>
        <w:jc w:val="left"/>
        <w:rPr>
          <w:rFonts w:ascii="Times New Roman" w:hAnsi="Times New Roman"/>
          <w:sz w:val="20"/>
        </w:rPr>
      </w:pPr>
      <w:r>
        <w:rPr>
          <w:rFonts w:ascii="Times New Roman" w:hAnsi="Times New Roman"/>
          <w:b/>
          <w:i/>
          <w:color w:val="000000"/>
          <w:sz w:val="18"/>
        </w:rPr>
        <w:t>Preclinical studies and clinical trials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testing any drug in humans, the product candidate must undergo rigorous preclinical testing. Preclinical studies include laboratory evaluations of drug chemistry, formulation and stability, as well as</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and animal studies to assess safety and in some cases to establish the rationale for therapeutic use. The conduct of preclinical studies is subject to federal and state regulation,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The FDA must notify the trial sponsor of the grounds for the hold and any identified deficiencies must be resolved before the clinical trial can begin. Submission of an IND may result in the FDA not allowing clinical trials to commence or not allowing clinical trials to commence on the terms originally specified in the IND. A clinical hold can also be imposed once a trial has already begun, thereby halting the trial until the deficiencies articulated by the FDA are corrected.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trial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www.ClinicalTrials.gov, a clinical trials database maintained by the National Institutes of Health, or NIH.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public notification of noncompliance, civil monetary penalties and also prevent the non-compliant party from receiving future grant funds from the federal government.</w:t>
      </w:r>
    </w:p>
    <w:p>
      <w:pPr>
        <w:pStyle w:val="TextBody"/>
        <w:bidi w:val="0"/>
        <w:spacing w:before="240" w:after="283"/>
        <w:jc w:val="left"/>
        <w:rPr>
          <w:rFonts w:ascii="Times New Roman" w:hAnsi="Times New Roman"/>
          <w:sz w:val="20"/>
        </w:rPr>
      </w:pPr>
      <w:r>
        <w:rPr>
          <w:rFonts w:ascii="Times New Roman" w:hAnsi="Times New Roman"/>
          <w:color w:val="000000"/>
          <w:sz w:val="18"/>
        </w:rPr>
        <w:t>A sponsor who wishes to conduct a clinical trial outside of the United States may, but need not, obtain FDA authorization to conduct the clinical trial under an IND. If a foreign clinical trial is not conducted under an IND, the FDA will nevertheless accept the results of the study in support of an NDA if the study was conducted in accordance with GCP requirements, and the FDA is able to validate the data through an onsite inspection if deemed necessary.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trials to evaluate therapeutic indications to support NDAs for marketing approval are typically conducted in three sequential phases, which may overlap.</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Phase 1</w:t>
      </w:r>
      <w:r>
        <w:rPr>
          <w:color w:val="000000"/>
        </w:rPr>
        <w:t>—</w:t>
      </w:r>
      <w:r>
        <w:rPr>
          <w:rFonts w:ascii="Times New Roman" w:hAnsi="Times New Roman"/>
          <w:color w:val="000000"/>
          <w:sz w:val="18"/>
        </w:rPr>
        <w:t xml:space="preserve">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Phase 2</w:t>
      </w:r>
      <w:r>
        <w:rPr>
          <w:color w:val="000000"/>
        </w:rPr>
        <w:t>—</w:t>
      </w:r>
      <w:r>
        <w:rPr>
          <w:rFonts w:ascii="Times New Roman" w:hAnsi="Times New Roman"/>
          <w:color w:val="000000"/>
          <w:sz w:val="18"/>
        </w:rPr>
        <w:t xml:space="preserve">Phase 2 clinical trials typically involve administration of the investigational product to a limited patient population with a specified disease or condition to evaluate the drug’s potential efficacy, to determine the optimal dosages and dosing schedule and to identify possible adverse side effects and safety risks.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Phase 3</w:t>
      </w:r>
      <w:r>
        <w:rPr>
          <w:color w:val="000000"/>
        </w:rPr>
        <w:t>—</w:t>
      </w:r>
      <w:r>
        <w:rPr>
          <w:rFonts w:ascii="Times New Roman" w:hAnsi="Times New Roman"/>
          <w:color w:val="000000"/>
          <w:sz w:val="18"/>
        </w:rPr>
        <w:t xml:space="preserve">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w:t>
      </w:r>
    </w:p>
    <w:p>
      <w:pPr>
        <w:pStyle w:val="TextBody"/>
        <w:bidi w:val="0"/>
        <w:spacing w:before="240" w:after="283"/>
        <w:jc w:val="left"/>
        <w:rPr>
          <w:rFonts w:ascii="Times New Roman" w:hAnsi="Times New Roman"/>
          <w:sz w:val="20"/>
        </w:rPr>
      </w:pPr>
      <w:r>
        <w:rPr>
          <w:rFonts w:ascii="Times New Roman" w:hAnsi="Times New Roman"/>
          <w:color w:val="000000"/>
          <w:sz w:val="18"/>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the FDA. Expansion cohort trials can potentially bring efficiency to drug development and reduce development costs and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Post-approval trials, sometimes referred to as Phase 4 clinical trials or post-marketing studies,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NDA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adverse events, findings from other studies or animal or</w:t>
      </w:r>
      <w:r>
        <w:rPr>
          <w:rFonts w:ascii="Times New Roman" w:hAnsi="Times New Roman"/>
          <w:color w:val="000000"/>
          <w:sz w:val="20"/>
        </w:rPr>
        <w:t xml:space="preserve"> </w:t>
      </w:r>
      <w:r>
        <w:rPr>
          <w:rFonts w:ascii="Times New Roman" w:hAnsi="Times New Roman"/>
          <w:i/>
          <w:color w:val="000000"/>
          <w:sz w:val="18"/>
        </w:rPr>
        <w:t xml:space="preserve">in vitro </w:t>
      </w:r>
      <w:r>
        <w:rPr>
          <w:rFonts w:ascii="Times New Roman" w:hAnsi="Times New Roman"/>
          <w:color w:val="000000"/>
          <w:sz w:val="18"/>
        </w:rPr>
        <w:t>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U.S. marketing approval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is a request for approval to market a new drug for one or more specified indications and must contain proof of the drug’s safety and efficacy for the requested indications. The marketing application is required to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the FDA. The FDA must approve an NDA before a drug may be marketed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for the indications sought and whether the facility in which it is manufactured, processed, packaged or held meets standards designed to assure the product’s continued safety, quality and purity. Under the goals and polices agreed to by the FDA under the Prescription Drug User Fee Act, or PDUFA, the FDA targets ten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 under PDUFA, as amended, each NDA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or other risk-minimization tools.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With respect to oncology products, the FDA may review applications under Real-Time Oncology Review, or RTOR, established by the FDA’s Oncology Center of Excellence. RTOR, which allows an applicant to pre submit components of the application to allow the FDA to review clinical data before the complete filing is submitted, aims to explore a more efficient review process to ensure that safe and effective treatments are available to patients as early as possible, while maintaining and improving review quality. Drugs considered for review under RTOR must, among other things, be likely to demonstrate substantial improvements on a clinically relevant endpoint(s) over available therapy, and must have easily interpreted endpoints. In addition, no aspect of the application should be likely to require a longer review time, such as, for example, a requirement for a new REMS. To determine eligibility for RTOR, the FDA requires top-line efficacy and safety results from an applicant’s pivotal clinical trial(s), as well as completion of database lock for the clinical trial(s). The FDA will generally make a decision regarding acceptance into RTOR within twenty (20) business days of receipt of the request from the applicant. If an applicant is not accepted into RTOR, the applicant will follow routine application submission procedures.</w:t>
      </w:r>
    </w:p>
    <w:p>
      <w:pPr>
        <w:pStyle w:val="TextBody"/>
        <w:bidi w:val="0"/>
        <w:spacing w:before="240" w:after="283"/>
        <w:jc w:val="left"/>
        <w:rPr>
          <w:rFonts w:ascii="Times New Roman" w:hAnsi="Times New Roman"/>
          <w:sz w:val="20"/>
        </w:rPr>
      </w:pPr>
      <w:r>
        <w:rPr>
          <w:rFonts w:ascii="Times New Roman" w:hAnsi="Times New Roman"/>
          <w:b/>
          <w:i/>
          <w:color w:val="000000"/>
          <w:sz w:val="18"/>
        </w:rPr>
        <w:t>Orphan drug designation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Under the Orphan Drug Act, the FDA may grant orphan drug designation to a drug intended to treat a rare disease or condition, which is a disease or condition that affects fewer than 200,000 individuals in the United States, or if it affects 200,000 or more individuals in the United States, there is no reasonable expectation that the cost of developing and making the product available in the United States for the disease or condition will be recovered from sales of the product. Orphan drug designation must be requested before submitting an NDA. Orphan drug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If a product that has orphan drug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approved use or indication, except in limited circumstances, such as a subsequent product’s showing of clinical superiority over the product with orphan drug exclusivity or where the original applicant cannot produce sufficient quantities of product. Competitors, however, may receive approval of different therapeutic agents for the approved use or indication for which the orphan product has exclusivity or obtain approval for the same therapeutic agent for a different approved use or indication than that for which the orphan product has exclusivity. Orphan product exclusivity could block the approval of one of our products for seven years if a competitor obtains approval for the same therapeutic agent for the same approved use or indication before we do, unless we are able to demonstrate that our product is clinically superior. If an orphan designated product receives marketing approval for an indication broader than what is designated, it may not be entitled to orphan drug exclusivity. Further, orphan drug exclusive marketing rights in the United States may be lost if the FDA later determines that the request for designation was materially defective or the manufacturer of the approved product is unable to assure sufficient quantities of the product to meet the needs of patients with the rare disease or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Expedited development and review programs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more quickly than standard FDA review timelines typically permit.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Rolling review means that the agency may review portions of the marketing application before the sponsor submits the complete application. 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pStyle w:val="TextBody"/>
        <w:bidi w:val="0"/>
        <w:spacing w:before="240" w:after="283"/>
        <w:jc w:val="left"/>
        <w:rPr>
          <w:rFonts w:ascii="Times New Roman" w:hAnsi="Times New Roman"/>
          <w:sz w:val="20"/>
        </w:rPr>
      </w:pPr>
      <w:r>
        <w:rPr>
          <w:rFonts w:ascii="Times New Roman" w:hAnsi="Times New Roman"/>
          <w:color w:val="000000"/>
          <w:sz w:val="18"/>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or Biologics License Application is submitted, if the drug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Accelerated Approval is usually contingent on a sponsor’s agreement to conduct additional post-approval studies to verify and describe the product’s clinical benefit. As a condition of approval, the FDA may require that a sponsor of a drug receiving Accelerated Approval perform adequate and well-controlled post-marketing clinical trials with due diligence and, under the Food and Drug Omnibus Reform Act of 2022, or FDORA, the FDA is permitted to require, as appropriate, that such trials be underway prior to approval or within a specific time period after the date of approval for a product granted Accelerated Approval. Under FDORA, the FDA has increased authority for expedited procedures to withdraw approval of a drug or an indication approved if, for example, the confirmatory trial fails to verify the predicted clinical benefit of the product. In addition, for products being considered for Accelerated Approval, the FDA generally requires, unless otherwise informed by the agency, pre-approval of promotional materials, which could adversely impact the timing of the commercial launch of the product.</w:t>
      </w:r>
    </w:p>
    <w:p>
      <w:pPr>
        <w:pStyle w:val="TextBody"/>
        <w:bidi w:val="0"/>
        <w:spacing w:before="240" w:after="283"/>
        <w:jc w:val="left"/>
        <w:rPr>
          <w:rFonts w:ascii="Times New Roman" w:hAnsi="Times New Roman"/>
          <w:sz w:val="20"/>
        </w:rPr>
      </w:pPr>
      <w:r>
        <w:rPr>
          <w:rFonts w:ascii="Times New Roman" w:hAnsi="Times New Roman"/>
          <w:color w:val="000000"/>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though they may expedite the development or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Pediatric information and pediatric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Under the Pediatric Research Equity Act, or PREA, as amended, certain NDAs and NDA supplements must contain data that can be used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 Additionally, for molecularly targeted cancer drugs, beginning after February 3, 2029, the FDA may require testing of certain novel single ingredient or combination regimens to yield clinically meaningful pediatric study data that is gathered using appropriate formulations for each age group for which the study is required, regarding dosing, safety, and preliminary efficacy to inform potential pediatric labeling.</w:t>
      </w:r>
    </w:p>
    <w:p>
      <w:pPr>
        <w:pStyle w:val="TextBody"/>
        <w:bidi w:val="0"/>
        <w:spacing w:before="240" w:after="283"/>
        <w:jc w:val="left"/>
        <w:rPr>
          <w:rFonts w:ascii="Times New Roman" w:hAnsi="Times New Roman"/>
          <w:sz w:val="20"/>
        </w:rPr>
      </w:pPr>
      <w:r>
        <w:rPr>
          <w:rFonts w:ascii="Times New Roman" w:hAnsi="Times New Roman"/>
          <w:color w:val="000000"/>
          <w:sz w:val="18"/>
        </w:rPr>
        <w:t>A drug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 provided that at the time pediatric exclusivity is granted there is not less than nine months of term remaining.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U.S. post-approval requirements for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 populations (known as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Manufacturers and other parties involved in the drug supply chain for prescription drug products and those supplying products, ingredients, and components of them, must also comply with product tracking and tracing requirements, including electronic systems for identification and tracing, and are responsible for notifying the FDA of counterfeit, diverted, stolen and intentionally adulterated products or products that are otherwise unfit for distribution in the United States.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restrictions on the marketing or manufacturing of the product, complete withdrawal of the product from the market or product recalls;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issuance of safety alerts, Dear Healthcare Provider letters, press releases or other communications containing warnings or other safety information about the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fines, warning letters or holds on post-approval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refusal of the FDA to approve applications or supplements to approved applications, or suspension or revocation of product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consent decrees, corporate integrity agreements, debarment or exclusion from federal healthcare programs; or mandated modification of promotional materials and labeling and issuance of corrective information.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 and policies are often revised or reinterpreted by the agency in ways that may significantly affect the manner in which pharmaceutical products are regulated and marketed.</w:t>
      </w:r>
    </w:p>
    <w:p>
      <w:pPr>
        <w:pStyle w:val="TextBody"/>
        <w:bidi w:val="0"/>
        <w:spacing w:before="240" w:after="283"/>
        <w:jc w:val="left"/>
        <w:rPr>
          <w:rFonts w:ascii="Times New Roman" w:hAnsi="Times New Roman"/>
          <w:sz w:val="20"/>
        </w:rPr>
      </w:pPr>
      <w:r>
        <w:rPr>
          <w:rFonts w:ascii="Times New Roman" w:hAnsi="Times New Roman"/>
          <w:b/>
          <w:i/>
          <w:color w:val="000000"/>
          <w:sz w:val="18"/>
        </w:rPr>
        <w:t>Regulation of companion diagnostics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premarket approval application, or PMA.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In making a determination that the device is substantially equivalent to a predicate device, the FDA compares the proposed device to the predicate device and assesses whether the subject device is comparable to the predicate device with respect to intended use, technology, design and other features which could affect safety and effectiveness. If the FDA determines that the subject device is substantially equivalent to the predicate device, the subject device may be cleared for marketing. The 510(k) premarket notification pathway generally takes from three to twelve months from the date the application is completed, but can take significantly longer.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document in July 2016 setting forth the principles for co-development of an in vitro companion diagnostic device with a therapeutic product. The draft guidance describes principles to guide the development and contemporaneous marketing authorization for the therapeutic product and its corresponding in vitro companion diagnostic.</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regulatory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Manufacturing, sales, promotion and other activities of product candidates following product approval, where applicable, or commercialization are also subject to regulation by numerous regulatory authorities in the United States in addition to the FDA, which may include the Centers for Medicare &amp; Medicaid Services, or CMS, other divisions of the U.S.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healthcare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Pharmaceutical companies are subject to additional healthcare regulation and enforcement by the federal government and by authorities in the states and foreign jurisdictions in which they conduct their business that may constrain the financial arrangements and relationships through which we research, as well as sell, market and distribute any products for which we obtain marketing authorization. Such laws include, without limitation: state and federal anti-kickback, fraud and abuse, false claims, and transparency laws and regulations related to drug pricing and payments and other transfers of value made to physicians and other healthcare providers. If our operations are found to be in violation of any of such laws or any other governmental regulations that apply, we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responsible individuals may be subject to imprisonment.</w:t>
      </w:r>
    </w:p>
    <w:p>
      <w:pPr>
        <w:pStyle w:val="TextBody"/>
        <w:bidi w:val="0"/>
        <w:spacing w:before="240" w:after="283"/>
        <w:jc w:val="left"/>
        <w:rPr>
          <w:rFonts w:ascii="Times New Roman" w:hAnsi="Times New Roman"/>
          <w:sz w:val="20"/>
        </w:rPr>
      </w:pPr>
      <w:r>
        <w:rPr>
          <w:rFonts w:ascii="Times New Roman" w:hAnsi="Times New Roman"/>
          <w:b/>
          <w:i/>
          <w:color w:val="000000"/>
          <w:sz w:val="18"/>
        </w:rPr>
        <w:t>Insurance coverage and reimbursement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who are prescribed treatments for their conditions and providers performing the prescribed services generally rely on third-party payors to reimburse all or part of 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an agency within the U.S. Department of Health and Human Services. CMS decides whether and to what extent a new medicine will be covered and reimbursed under Medicare and private payors tend to follow CMS to a substantial degree.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Additionally, companies may also need to provide discounts to purchasers, private health plans or government healthcare programs, and net prices for our products may also be reduced by any future relaxation of laws that presently restrict imports of drugs from countries where they may be sold at lower prices than in the United States. Nonetheless,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Additionally, a third-party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containment of healthcare costs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 Even if favorable coverage and reimbursement status is attained for one or more products for which a company or its collaborators or licensees receive regulatory approval, less favorable coverage policies and reimbursement rates may be implemented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Current and future healthcare reform legislation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some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2010, the United States Congress enacted the Affordable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Care Act, or ACA, which, among other things, includes changes to the coverage and payment for products under government health care programs. The ACA includes provisions of importance to our potential product candidates that:</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created an annual, nondeductible fee on any entity that manufactures or imports specified branded prescription drugs and biologic products, apportioned among these entities according to their market share in certain government healthcare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eligibility criteria for Medicaid programs, thereby potentially increasing a manufacturer’s Medicaid rebate liability;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manufacturers’ rebate liability under the Medicaid Drug Rebate Program;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expanded the types of entities eligible for the 340B drug discount program;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created a Patient-Centered Outcomes Research Institute to oversee, identify priorities in, and conduct comparative clinical effectiveness research, along with funding for such research. </w:t>
      </w:r>
    </w:p>
    <w:p>
      <w:pPr>
        <w:pStyle w:val="TextBody"/>
        <w:bidi w:val="0"/>
        <w:spacing w:before="240" w:after="283"/>
        <w:jc w:val="left"/>
        <w:rPr>
          <w:rFonts w:ascii="Times New Roman" w:hAnsi="Times New Roman"/>
          <w:sz w:val="20"/>
        </w:rPr>
      </w:pPr>
      <w:r>
        <w:rPr>
          <w:rFonts w:ascii="Times New Roman" w:hAnsi="Times New Roman"/>
          <w:color w:val="000000"/>
          <w:sz w:val="18"/>
        </w:rPr>
        <w:t>Other legislative changes have been proposed and adopted in the United States since the ACA was enacted. In August 2011, the Budget Control Act of 2011, among other things, included aggregate reductions of Medicare payments to providers of 2% per fiscal year, which went into effect in April 2013 and, due to subsequent legislative amendments to the statute, will remain in effect through 2031 unless additional Congressional action is taken. In January 2013, the American Taxpayer Relief Act of 2012 was signed into law,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Due to the Statutory Pay-As-You-Go Act of 2010, estimated budget deficit increases resulting from the American Rescue Plan Act of 2021, and subsequent legislation, Medicare payments to providers were further reduced starting on January 1, 2025, however legislation has been introduced in the U.S. Congress that would, if enacted, reverse these payment reductions. In addition to provider payment cuts under Medicare, the American Rescue Plan Act of 2021 also eliminated the statutory Medicaid drug rebate cap, previously set at 100% of a drug’s average manufacturer price, for single source and innovator multiple source drugs, effective January 1, 2024. These laws and regulations may result in additional reductions in Medicare and other healthcare funding available for healthcare providers and may otherwise affect the prices we may obtain for any of our product candidates for which we may obtain regulatory approval or the frequency with which any such product candidate is prescribed or used.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Inflation Reduction Act of 2022, or the IRA, was signed into law in August 2022. The IRA includes several provisions that could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until January 1, 2032 the rebate rule that would require pass through of pharmacy benefit manager rebates to beneficiaries. Further, under the IRA, orphan drugs are exempted from the Medicare drug price negotiation program, but only if they have one orphan designation and for which the only approved indication is for that disease or condition. If a product receives multiple orphan designations or has multiple approved indications, it may not qualify for the orphan drug exemption.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Creating and Restoring Equal Access to Equivalent Samples Act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 to such requests or any legal challenges under this law, our business could be adversely impacted.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the Trump administration has taken and is expected to take executive and administrative action to reduce prescription drug costs. Although a number of these and other proposed measures may require authorization through additional legislation to become effective, and the Trump administration may reverse or otherwise change these previous measures, the current administration and Congress have indicated that they will continue to seek new legislative measures to control drug costs.</w:t>
      </w:r>
    </w:p>
    <w:p>
      <w:pPr>
        <w:pStyle w:val="TextBody"/>
        <w:bidi w:val="0"/>
        <w:spacing w:before="240" w:after="283"/>
        <w:jc w:val="left"/>
        <w:rPr>
          <w:rFonts w:ascii="Times New Roman" w:hAnsi="Times New Roman"/>
          <w:sz w:val="20"/>
        </w:rPr>
      </w:pPr>
      <w:r>
        <w:rPr>
          <w:rFonts w:ascii="Times New Roman" w:hAnsi="Times New Roman"/>
          <w:color w:val="000000"/>
          <w:sz w:val="18"/>
        </w:rPr>
        <w:t>Outside the United States, ensuring coverage and adequate payment for a product also involves challenges. Pricing of prescription pharmaceuticals is subject to government control in many countries. Pricing negotiations with government authorities can extend well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pStyle w:val="TextBody"/>
        <w:bidi w:val="0"/>
        <w:spacing w:before="240" w:after="283"/>
        <w:jc w:val="left"/>
        <w:rPr>
          <w:rFonts w:ascii="Times New Roman" w:hAnsi="Times New Roman"/>
          <w:sz w:val="20"/>
        </w:rPr>
      </w:pPr>
      <w:r>
        <w:rPr>
          <w:rFonts w:ascii="Times New Roman" w:hAnsi="Times New Roman"/>
          <w:color w:val="000000"/>
          <w:sz w:val="18"/>
        </w:rPr>
        <w:t>In the European Union, or EU,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 provides options for its Member States to restrict the range of products for which their national health insurance systems provide reimbursement and to control the prices of medicinal products for human use. EU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healthcare expenditures, especially in light of the severe fiscal and debt crises experienced by many countries in the EU.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Compliance with other federal and state laws or requirements; changing legal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which we may be subject.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distribution of pharmaceutical products is subject to additional requirements and regulations, including extensive recordkeeping, licensing, storage and security requirements intended to prevent the unauthorized sale of pharmaceutical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any of these laws or regulatory requirements may subject firms to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to incur significant legal expenses and divert our management’s attention from the operation of our business. Prohibitions or restrictions on marketing, sales or withdrawal of future products marketed by us could materially affect our business in an adverse way.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U.S. environmental, health and safety laws and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Government regulation of drugs outside of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To market any product outside of the United States,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Clinical trial approval</w:t>
      </w:r>
    </w:p>
    <w:p>
      <w:pPr>
        <w:pStyle w:val="TextBody"/>
        <w:bidi w:val="0"/>
        <w:spacing w:before="240" w:after="283"/>
        <w:jc w:val="left"/>
        <w:rPr>
          <w:rFonts w:ascii="Times New Roman" w:hAnsi="Times New Roman"/>
          <w:sz w:val="20"/>
        </w:rPr>
      </w:pPr>
      <w:r>
        <w:rPr>
          <w:rFonts w:ascii="Times New Roman" w:hAnsi="Times New Roman"/>
          <w:color w:val="000000"/>
          <w:sz w:val="18"/>
        </w:rPr>
        <w:t>In April 2014, the EU adopted the new Clinical Trials Regulation, (EU) No 536/2014 (Clinical Trials Regulation) which replaced the current Clinical Trials Directive 2001/20/EC on January 31, 2022. The Clinical Trials Regulation is directly applicable in all the EU Member States (meaning no national implementing legislation is required). The Clinical Trials Regulation aims to simplify and streamline the approval of clinical trials in the EU. The main characteristics of the Clinical Trials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continues to be governed by the national law of the concerned EU Member State, however, overall related timelines are defined by the Clinical Trials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Drug Review and Approval</w:t>
      </w:r>
    </w:p>
    <w:p>
      <w:pPr>
        <w:pStyle w:val="TextBody"/>
        <w:bidi w:val="0"/>
        <w:spacing w:before="240" w:after="283"/>
        <w:jc w:val="left"/>
        <w:rPr>
          <w:rFonts w:ascii="Times New Roman" w:hAnsi="Times New Roman"/>
          <w:sz w:val="20"/>
        </w:rPr>
      </w:pPr>
      <w:r>
        <w:rPr>
          <w:rFonts w:ascii="Times New Roman" w:hAnsi="Times New Roman"/>
          <w:color w:val="000000"/>
          <w:sz w:val="18"/>
        </w:rPr>
        <w:t>In the EU, medicinal products must be authorized for marketing by using either the centralized authorization procedure or national authorization procedures.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Centralized authorization procedure</w:t>
      </w:r>
      <w:r>
        <w:rPr>
          <w:color w:val="000000"/>
        </w:rPr>
        <w:t>—</w:t>
      </w:r>
      <w:r>
        <w:rPr>
          <w:rFonts w:ascii="Times New Roman" w:hAnsi="Times New Roman"/>
          <w:color w:val="000000"/>
          <w:sz w:val="18"/>
        </w:rPr>
        <w:t xml:space="preserve">If pursuing marketing authorization of a product candidate for a therapeutic indication under the centralized procedure, following the opining of the EMA’s Committee for Medicinal Products for Human Use, or, CHMP, the European Commission issues a single marketing authorization valid across the EU and in the additional Member States of the European Economic Area (Iceland, Liechtenstein and Norway). The centralized procedure is compulsory for human medicines derived from biotechnology processes, advanced therapy medicinal products (i.e. gene therapy, somatic cell therapy and tissue engineered products), products that contain a new active substance indicated for the treatment of certain diseases, such as HIV/AIDS, cancer, neurodegenerative disorders, diabetes, autoimmune diseases and other immune dysfunctions and viral diseases, and products designated as orphan medicines. For medicines that do not fall within these categories, an applicant has the option of submitting an application for a centralized marketing authorization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European Medicines Agency, or EMA, is 210 days, excluding clock stops, when additional written or oral information is to be provided by the applicant in response to questions asked by the CHMP. Where the CHMP gives a positive opinion, it provides the opinion together with supporting documentation to the European Commission, who makes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an MAA under the accelerated assessment procedure is 150 days, excluding clock stops, but it is possible that the CHMP can revert to the standard time limit for the centralized procedure if it considers that it is no longer appropriate to conduct an accelerated assessment.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National authorization procedures</w:t>
      </w:r>
      <w:r>
        <w:rPr>
          <w:color w:val="000000"/>
        </w:rPr>
        <w:t>—</w:t>
      </w:r>
      <w:r>
        <w:rPr>
          <w:rFonts w:ascii="Times New Roman" w:hAnsi="Times New Roman"/>
          <w:color w:val="000000"/>
          <w:sz w:val="18"/>
        </w:rPr>
        <w:t xml:space="preserve">There are also two other possible routes to authorize products for therapeutic indications in several countries, which are available for products that fall outside the scope of the centralized procedure: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Decentralized procedure</w:t>
      </w:r>
      <w:r>
        <w:rPr>
          <w:color w:val="000000"/>
        </w:rPr>
        <w:t>—</w:t>
      </w:r>
      <w:r>
        <w:rPr>
          <w:rFonts w:ascii="Times New Roman" w:hAnsi="Times New Roman"/>
          <w:color w:val="000000"/>
          <w:sz w:val="18"/>
        </w:rPr>
        <w:t xml:space="preserve">Using the decentralized procedure, an applicant may apply for simultaneous authorization in more than one EU country of medicinal products that have not yet been authorized in any EU country and that do not fall within the mandatory scope of the centralized procedure. </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i/>
          <w:color w:val="000000"/>
          <w:sz w:val="18"/>
        </w:rPr>
        <w:t>Mutual recognition procedure</w:t>
      </w:r>
      <w:r>
        <w:rPr>
          <w:color w:val="000000"/>
        </w:rPr>
        <w:t>—</w:t>
      </w:r>
      <w:r>
        <w:rPr>
          <w:rFonts w:ascii="Times New Roman" w:hAnsi="Times New Roman"/>
          <w:color w:val="000000"/>
          <w:sz w:val="18"/>
        </w:rPr>
        <w:t xml:space="preserve">In the mutual recognition procedure, a medicine is first authorized in one EU Member State, in accordance with the national procedures of that country. Following this, additional marketing authorizations can be sought from other EU countries in a procedure whereby the countries concerned recognize the validity of the original, national marketing authorization. </w:t>
      </w:r>
    </w:p>
    <w:p>
      <w:pPr>
        <w:pStyle w:val="TextBody"/>
        <w:bidi w:val="0"/>
        <w:spacing w:before="240" w:after="283"/>
        <w:jc w:val="left"/>
        <w:rPr>
          <w:rFonts w:ascii="Times New Roman" w:hAnsi="Times New Roman"/>
          <w:sz w:val="20"/>
        </w:rPr>
      </w:pPr>
      <w:r>
        <w:rPr>
          <w:rFonts w:ascii="Times New Roman" w:hAnsi="Times New Roman"/>
          <w:i/>
          <w:color w:val="000000"/>
          <w:sz w:val="18"/>
        </w:rPr>
        <w:t>Periods of authorization and renewals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marketing authorization has an initial validity for five years in principle. The marketing authorization may be renewed after five years on the basis of a re-evaluation of the risk-benefit balance by the EMA or by the competent authority of the EU Member State for a nationally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authorized product. Once subsequently definitively renewed, the marketing authorization shall be valid for an unlimited period, unless the European Commission or the national competent authority decides, on justified grounds relating to pharmacovigilance, to proceed with one additional five-year renewal period. Any authorization which is not followed by the actual placing of the medicinal product on the EU market (in the case of the centralized procedure) or on the market of the authorizing EU Member State for a nationally authorized product within three years after authorization, ceases to be valid (the so-called sunset clause).</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Drug and market exclusivity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EU, innovative products for therapeutic indications that are authorized for marketing (i.e., reference products) qualify for eight years of data exclusivity and an additional two years of market exclusivity upon marketing authorization. The data exclusivity period prevents generic or biosimilar applicants from referencing the innovator’s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ten years have elapsed from the initial authorization of the reference product in the EU.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nevertheless could also market another version of the product if such company obtained marketing authorization based on an MAA with a complete independent and data package of pharmaceutical tests, preclinical tests and clinical trials.</w:t>
      </w:r>
    </w:p>
    <w:p>
      <w:pPr>
        <w:pStyle w:val="TextBody"/>
        <w:bidi w:val="0"/>
        <w:spacing w:before="240" w:after="283"/>
        <w:jc w:val="left"/>
        <w:rPr>
          <w:rFonts w:ascii="Times New Roman" w:hAnsi="Times New Roman"/>
          <w:sz w:val="20"/>
        </w:rPr>
      </w:pPr>
      <w:r>
        <w:rPr>
          <w:rFonts w:ascii="Times New Roman" w:hAnsi="Times New Roman"/>
          <w:i/>
          <w:color w:val="000000"/>
          <w:sz w:val="18"/>
        </w:rPr>
        <w:t>Pediatric studies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Prior to obtaining a marketing authorization in the EU, applicants must demonstrate compliance with all measures included in an EMA-approved pediatric investigation plan, or PIP, covering all subsets of the pediatric population, unless the EMA has granted a product-specific waiver, a class waiver, or a deferral for one or more of the measures included in the PIP. The respective requirements for all marketing authorization procedures are laid down in Regulation (EC) No 1901/2006, the so-called Pediatric Regulation. This requirement also applies when a company wants to add a new indication, pharmaceutical form or route of administration for a medicine that is already authorized. The Pediatric Committee of the EMA, or PDCO, may grant deferrals for some medicines, allowing a company to delay development of the medicine for children until there is enough information to demonstrate its effectiveness and safety in adults. The PDCO may also grant waivers when development of a medicine for children is not needed or is not appropriate, such as for diseases that only affect the elderly population. Before an MAA can be filed, or an existing marketing authorization can be amended, the EMA determines that companies actually comply with the agreed studies and measures listed in each relevant PIP. If an applicant obtains a marketing authorization in all EU Member States, or a marketing authorization granted in the centralized procedure by the European Commission, and the study results for the pediatric population are included in the product information, even when negative, the medicine is then eligible for an additional six-month period of qualifying patent protection through extension of the term of the Supplementary Protection Certificate or SPC, provided an application for such extension is made at the same time as filing the SPC application for the product, or at any point up to two years before the SPC expires, even where the trial results are negative. In the case of orphan medicinal products, a two year extension of the orphan market exclusivity may be available. This pediatric reward is subject to specific conditions and is not automatically available when data in compliance with the PIP are developed and submitted.</w:t>
      </w:r>
    </w:p>
    <w:p>
      <w:pPr>
        <w:pStyle w:val="TextBody"/>
        <w:bidi w:val="0"/>
        <w:spacing w:before="240" w:after="283"/>
        <w:jc w:val="left"/>
        <w:rPr>
          <w:rFonts w:ascii="Times New Roman" w:hAnsi="Times New Roman"/>
          <w:sz w:val="20"/>
        </w:rPr>
      </w:pPr>
      <w:r>
        <w:rPr>
          <w:rFonts w:ascii="Times New Roman" w:hAnsi="Times New Roman"/>
          <w:i/>
          <w:color w:val="000000"/>
          <w:sz w:val="18"/>
        </w:rPr>
        <w:t>Orphan drug designation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criteria for designating an “orphan medicinal product” in the EU are similar in principle to those in the United States. In the EU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conducted in compliance with a PIP.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(i) the second applicant can establish that its product, although similar, is safer, more effective or otherwise clinically superior to the authorized orphan product; (ii) the marketing authorization holder for the authorized orphan product consents to a second orphan medicinal product application; or (iii) the marketing authorization holder for the authorized orphan product cannot supply enough orphan medicinal product.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Regulatory requirements after a marketing authorization has been obtained</w:t>
      </w:r>
    </w:p>
    <w:p>
      <w:pPr>
        <w:pStyle w:val="TextBody"/>
        <w:bidi w:val="0"/>
        <w:spacing w:before="240" w:after="283"/>
        <w:jc w:val="left"/>
        <w:rPr>
          <w:rFonts w:ascii="Times New Roman" w:hAnsi="Times New Roman"/>
          <w:sz w:val="20"/>
        </w:rPr>
      </w:pPr>
      <w:r>
        <w:rPr>
          <w:rFonts w:ascii="Times New Roman" w:hAnsi="Times New Roman"/>
          <w:color w:val="000000"/>
          <w:sz w:val="18"/>
        </w:rPr>
        <w:t>If an authorization for a medicinal product in the EU is obtained, the holder of the marketing authorization is required to comply with a range of requirements applicable to the manufacturing, marketing, promotion and sale of medicinal products. These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Compliance with the EU’s stringent pharmacovigilance or safety reporting rules must be ensured. These rules can impose post-authorization studies and additional monitoring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manufacturing of authorized medicinal products, for which a separate manufacturer’s license is mandatory, must also be conducted in strict compliance with the applicable EU laws, regulations and guidance, including Directive 2001/83/EC, Directive 2003/94/EC and Regulation (EC) No 726/2004.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marketing and promotion of authorized drugs, including industry-sponsored continuing medical education and advertising directed toward the prescribers of drugs and/or the general public, are strictly regulated in the EU. Direct-to-consumer advertising of prescription medicines is prohibited across the EU.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aforementioned EU rules are generally applicable in the European Economic Area, or EEA, which consists of the EU Member States, plus Norway, Liechtenstein and Iceland.</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Brexit and the regulatory framework in the United Kingdom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June 23, 2016, the electorate in the United Kingdom, or UK, voted in favor of leaving the EU, commonly referred to as Brexit, and the UK formally left the EU on January 31, 2020. There was a transition period during which EU pharmaceutical laws continued to apply to the UK, which expired on December 31, 2020. However, the EU and the UK have concluded a trade and cooperation agreement, or TCA, which was provisionally applicable since January 1, 2021 and has been formally applicable since May 1, 2021. The TCA includes specific provisions concerning pharmaceuticals, which include the mutual recognition of GMP, inspections of manufacturing facilities for medicinal products and GMP documents issued, but does not provide for wholesale mutual recognition of UK and EU pharmaceutical regulations. At present, Great Britain has implemented EU legislation on the marketing, promotion and sale of medicinal products through the Human Medicines Regulations 2012 (as amended) (under the Northern Ireland Protocol, the EU regulatory framework currently continues to apply in Northern Ireland). Except in respect of the new EU Clinical Trials Regulation, the regulatory regime in Great Britain for medicines therefore largely aligns with EU regulations, however, it is possible that these regimes will diverge more significantly in the future now that Great Britain’s regulatory system is independent from the EU and the TCA does not provide for mutual recognition of UK and EU pharmaceutical legislation.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Medicines and Healthcare products Regulatory Agency, or MHRA, the UK medicines regulator, will be responsible for approving all medicinal products destined for the UK market (i.e., Great Britain and Northern Ireland), and the EMA will no longer have any role in approving medicinal products destined for Northern Ireland. A single UK-wide MA will be granted by the MHRA for all medicinal products to be sold in the UK, enabling products to be sold in a single pack and under a single authorization throughout the UK. The Windsor Framework was approved by the European Union-United Kingdom Joint Committee on March 24, 2023, and the UK government and the EU will therefore enact legislative measures to bring it into law. On June 9, 2023, the MHRA announced that the medicines aspects of the Windsor Framework will apply starting on January 1, 2025.</w:t>
      </w:r>
    </w:p>
    <w:p>
      <w:pPr>
        <w:pStyle w:val="TextBody"/>
        <w:bidi w:val="0"/>
        <w:spacing w:before="240" w:after="283"/>
        <w:jc w:val="left"/>
        <w:rPr>
          <w:rFonts w:ascii="Times New Roman" w:hAnsi="Times New Roman"/>
          <w:sz w:val="20"/>
        </w:rPr>
      </w:pPr>
      <w:r>
        <w:rPr>
          <w:rFonts w:ascii="Times New Roman" w:hAnsi="Times New Roman"/>
          <w:b/>
          <w:i/>
          <w:color w:val="000000"/>
          <w:sz w:val="18"/>
        </w:rPr>
        <w:t>Government regulation of the processing of personal data collected outside of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continue to conduct ongoing or future clinical trials in the EEA and UK, we will continue to be subject to additional data protection restrictions. The collection and use of personal data in the EEA, is governed by the General Data Protection Regulation, or the GDPR, which became effective on May 25, 2018. The GDPR applies to the processing of personal data of data subjects in the EEA by any company established in the EEA and to companies established outside the EEA to the extent they process personal data in connection with the offering of goods or services to data subjects in the EEA or the monitoring of the behavior of data subjects in the EEA. The GDPR sets forth data protection obligations for data controllers of personal data, including stringent requirements relating to notifying data subjects about how their personal data are being handled and how they can exercise their data protection rights, ensuring there is a valid legal basis to process personal data, and condition to process special categories of personal data (if this is consent, the requirements for obtaining consent carry a higher threshold), requirements to conduct data protection impact assessments for certain “high risk” processing, requirements to appoint a data protection officer where sensitive personal data are processed on a “large scale,” limitations on retention of personal data, mandatory data breach notification in certain circumstances, requirements to ensure appropriate technical and organizational measures are in place to safeguard personal data, and “privacy by design” requirements, and also creates direct obligations on service providers acting as data processors.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Failure to comply with the requirements of the GDPR and the related national data protection laws of the EEA, which may deviate slightly from the GDPR, may result in fines of up to 4% of a company’s global revenues for the preceding financial year, or €20,000,000,</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may be required to put in place additional controls and processes to ensure compliance with the new data protection rules. Further to the UK’s exit from the EU on January 31, 2020, the GDPR ceased to apply in the UK but the UK incorporated the GDPR (as it existed on December 31, 2020 but subject to certain UK specific amendments) into UK law, referred to as the UK GDPR. The UK GDPR and the UK Data Protection Act 2018 set forth the UK’s data protection regime, which is independent from but currently still aligned to the EU’s GDPR. Non-compliance with the UK GDPR may result in monetary penalties of up to £17.5 million or 4% of worldwide revenue, whichever is higher.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EEA and the UK have significantly restricted the transfer of personal data to countries whose privacy laws it believes are inadequate, including the United States in certain circumstances, unless a derogation exists or adequate international transfer safeguards are put in place (for example, the European Commission approved Standard Contractual Clauses, and the UK International Data Transfer Agreement/Addendum) and transfer impact assessments carried out. Further, regulators and legislators in the U.S. are increasingly scrutinizing and restricting certain personal data transfers and transactions involving foreign countries. For example, Executive Order 14117,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Other jurisdictions may adopt similarly stringent interpretations of their data localization and cross-border data transfer laws. If we are unable to transfer personal data from the EEA, the UK, or other jurisdictions to the United States, or if the requirements for a legally-compliant transfer are too onerous, we could face significant adverse consequences, including by limiting our ability to conduct clinical trial activities in Europe and elsewhere,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Human Capital Resources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had 192 full-time employees. 34% of our employees have M.D. or Ph.D. degrees. Within our workforce, 80% of employees are engaged in research and development and 20% are engaged in business development, finance, legal, and general management and administration. None of our employees are represented by labor unions or covered by collective bargaining agreements. We consider our relationship with our employees to be good.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believe that our people are among our greatest assets and that a diverse and inclusive organization is more innovative and higher performing. We are committed to providing an inclusive, diverse and equitable environment for all employees, and creating an inclusive and collaborative culture that welcomes our differences and creates a safe space for employees to voice their different perspectives.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not only focused on recruiting top talent from a diverse range of backgrounds, industries and experiences, but also focused on retaining, developing and promoting our current employees. We maintain a robust onboarding program to ensure all new hires are grounded in our business and culture and we conduct periodic talent reviews to identify high performing and high potential talent within the organization. This data is used to inform specific development opportunities for current and future leaders, create leadership training opportunities, drive meaningful development conversations and enable succession planning for key roles. In addition to our broader talent strategy, we also foster an environment of continuous feedback through our quarterly check-in process where managers and employees share feedback and discuss development opportunities. We believe this combined approach to employee development drives a culture and environment where employees can thrive.</w:t>
      </w:r>
    </w:p>
    <w:p>
      <w:pPr>
        <w:pStyle w:val="TextBody"/>
        <w:bidi w:val="0"/>
        <w:spacing w:before="240" w:after="283"/>
        <w:jc w:val="left"/>
        <w:rPr>
          <w:rFonts w:ascii="Times New Roman" w:hAnsi="Times New Roman"/>
          <w:sz w:val="20"/>
        </w:rPr>
      </w:pPr>
      <w:r>
        <w:rPr>
          <w:rFonts w:ascii="Times New Roman" w:hAnsi="Times New Roman"/>
          <w:color w:val="000000"/>
          <w:sz w:val="18"/>
        </w:rPr>
        <w:t>We regularly host company-wide sessions (virtual and onsite) where our leaders share updates on corporate initiatives and business strategy, and where our employees share scientific breakthroughs, celebrate development milestones, and recognize each other’s contributions and accomplishments. Instead of an annual employee survey, we conduct several pulse checks per year to create a nimbler feedback-to-action loop, allowing us to respond to employee sentiment in a timelier fashion. These employee surveys help us measure employee engagement and inform future talent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were incorporated under the laws of the State of Delaware on May 4, 2015 under the name Allostery, Inc. In December 2015, we changed our name to Relay Therapeutics, Inc. Our principal corporate office is located at 60 Hampshire Street, Cambridge, MA 02139, and our telephone number is (617) 370-8837. Our website address is www.relaytx.com. Our website and the information contained on, or that can be accessed through, the website will not be deemed to be incorporated by reference in, and are not considered part of, this Annual Report on Form 10-K.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website address is www.relaytx.com. 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&amp; Media" portion of our website free of charge as soon as reasonably practicable after we electronically file such material with, or furnish it to, the SEC. Information on our website is not part of this Annual Report on Form 10-K or any of our other filings with the SEC unless specifically incorporated herein or therein by reference. In addition, our filings with the SEC may be accessed through the SEC’s Interactive Data Electronic Applications system at www.sec.gov. All statements made in any of our filings with the SEC or documents available on our website,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code of conduct, corporate governance guidelines and the charters of our Audit Committee, Research and Development Committee, Compensation Committee and Nominating and Corporate Governance Committee are available through the “Investors &amp; Media” portion of our website.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Item 1A. Risk Factors.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in our common stock involves a high degree of risk. You should carefully consider the risks described below, as well as the other information in this Annual Report on Form 10-K, including our consolidated financial statements and the related notes and "Management’s Discussion and Analysis of Financial Condition and Results of Operations," before deciding whether to invest in our common stock. We believe the risks described below include risks that are material to us as well as other risks that may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materially harm our business, financial condition, results of operations and growth prospects and could result in a complete loss of your investment. Consequently, you should not consider the following to be a complete discussion of all potential risks or uncertainties.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Clinical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never successfully completed any large-scale, pivotal clinical trials, and we may be unable to do so for any product candidates we develop.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not yet demonstrated our ability to successfully complete any large-scale, pivotal clinical trials, obtain regulatory approvals, manufacture a commercial scale product, or arrange for a third party to do so on our behalf, or conduct sales and marketing activities necessary for successful commercialization. Our lead product candidate is in clinical development. We may not be able to file investigational new drug applications, or INDs, for any of our preclinical product candidates on the timelines we expect, if at all. For example, we may experience manufacturing delays or delays with IND-enabling studies. Moreover, we cannot be sure that once we have submitted an IND, the FDA will allow further clinical trials to begin, or that, once begun, issues will not arise that require us to suspend or terminate clinical trials. The FDA or other regulatory authorities may impose a clinical hold before or after a trial begins for a number of reasons outlined in FDA regulations, including if the FDA believes the study drug raises a significant risk of illness or injury. If the FDA imposes a clinical hold, trials may not commence or recommence without FDA authorization and then only under terms authorized by the FDA. Accordingly, the submission of an IND does not mean the FDA will allow clinical trials to begin and, if and when clinical trials do commence under an active IND, issues may arise that require suspension or termination of such trials. Further, commencing each of these clinical trials is subject to finalizing the trial design based on discussions with the FDA and other regulatory authorities. Any guidance we receive from the FDA or other regulatory authorities is subject to change. Regulatory authorities could change their position, including, on the acceptability of our trial designs or the clinical endpoints selected, which may require us to complete additional clinical trials or impose stricter approval conditions than we expect. Successful completion of our clinical trials is a prerequisite to submitting a new drug application, or NDA, to the FDA and a Marketing Authorization Application, or MAA, to the EMA for each product candidate and, consequently, the ultimate approval and commercial marketing of each product candidate. While we have active clinical trials for our lead product candidate, we do not know whether any of our current clinical trials will be completed on schedule, if at all, or whether any of our future clinical trials will begin on time or be completed on schedule,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delayed in obtaining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not obtain marketing approval at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approval for indications or patient populations that are not as broad as intended or desired;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be subject to post-marketing requirements;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the product removed from the market after obtaining marketing approval. </w:t>
      </w:r>
    </w:p>
    <w:p>
      <w:pPr>
        <w:pStyle w:val="TextBody"/>
        <w:bidi w:val="0"/>
        <w:spacing w:before="240" w:after="283"/>
        <w:jc w:val="left"/>
        <w:rPr>
          <w:rFonts w:ascii="Times New Roman" w:hAnsi="Times New Roman"/>
          <w:sz w:val="20"/>
        </w:rPr>
      </w:pPr>
      <w:r>
        <w:rPr>
          <w:rFonts w:ascii="Times New Roman" w:hAnsi="Times New Roman"/>
          <w:b/>
          <w:i/>
          <w:color w:val="000000"/>
          <w:sz w:val="18"/>
        </w:rPr>
        <w:t>Clinical product development involves a lengthy and expensive process, with an uncertain outcome.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It is impossible to predict when or if any of our product candidates will prove effective and safe in humans or will receive regulatory approval. Before obtaining marketing approval from regulatory authorities for the sale of any product candidate, we must complete preclinical studies and then conduct the required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and other nonclinical studies and clinical trials have nonetheless failed to obtain marketing approval of their product candidates. Our preclinical and other nonclinical studies and future clinical trials may not be 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publish interim, top-line or preliminary data from our clinical trials. Interim data from clinical trials are subject to the risk that one or more of the clinical outcomes may materially change as more participants enroll and as data mature. Preliminary or top-line data also remain subject to cleaning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significantly harm our business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product candidates,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regulators or institutional review boards, or IRBs, or ethics committees may not authorize us or our investigators to commence a clinical trial or conduct a clinical trial at a prospective trial site;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existing clinical trial sites may drop out of the clinical trial, which may require that we add new clinical trial sites or investigators;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clinical trials of our product candidates may produce negative or inconclusive results, and we may decide, or regulators may require us, to conduct additional nonclinical studies or clinical trials or we may decide to abandon product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third-party contractors may fail to comply with regulatory requirements or meet their contractual obligations to us in a timely manner, or at all, or may deviate from the clinical trial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elect to, or regulators or IRBs or ethics committees may require us or our investigators to, suspend or terminate clinical research for various reasons, including noncompliance with regulatory requirements or a finding that the participants are being exposed to unacceptable health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clinical trials of our product candidates may be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adequately project the timing and quantity of our product candidates or any other materials necessary to conduct clinical trials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supply or quality of our product candidates, other therapies used in our clinical trials or any other materials necessary to conduct clinical trials of our product candidates may be insufficient or inadequate or not available in a reasonable timeframe, and any transfer of manufacturing activities may require unforeseen manufacturing or formulation changes;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product candidates may have undesirable side effects or other unexpected characteristics, causing us or our investigators, regulators or IRBs or ethics committees to suspend or terminate the clinical trials, or reports may arise from nonclinical studies or clinical testing of other therapies that raise safety or efficacy concerns about our product candidates. </w:t>
      </w:r>
    </w:p>
    <w:p>
      <w:pPr>
        <w:pStyle w:val="TextBody"/>
        <w:bidi w:val="0"/>
        <w:spacing w:before="240" w:after="283"/>
        <w:jc w:val="left"/>
        <w:rPr>
          <w:rFonts w:ascii="Times New Roman" w:hAnsi="Times New Roman"/>
          <w:sz w:val="20"/>
        </w:rPr>
      </w:pPr>
      <w:r>
        <w:rPr>
          <w:rFonts w:ascii="Times New Roman" w:hAnsi="Times New Roman"/>
          <w:color w:val="000000"/>
          <w:sz w:val="18"/>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a suspension or termination or clinical hold due to a number of factors, including failure to conduct the clinical trial in accordance with regulatory requirements or our clinical protocols, inspection of the clinical trial operations or clinical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costs will also increase if we experience delays in preclinical studies, clinical trials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Any delays in our preclinical or current or future clinical development programs may harm our business, financial condition and prospects significantly.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particular, because we will be deploying our drug discovery platform across a broad target space, our ability to enroll eligible patients may be limited or may result in slower enrollment than we anticipate.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competitive clinical trial environment, the eligibility criteria of our planned clinical trials will further limit the pool of available study participants as we will require that patients have specific characteristics that we can measure to assure their cancer or other disease is either severe enough or not too advanced to include them in a study. Additionally, the process of finding patients may prove costly. Where our clinical trials involve multiple combination arms, our ability to enroll eligible patients may be limited or may result in slower enrollment than we anticipate. We also may not be able to identify, recruit and enroll a sufficient number of patients to complete our clinical studies because of the perceived risks and benefits of the product candidates under study or any of the other therapies used in combination with such product candidates,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engaged and may continue to engage third parties to develop companion diagnostics for use in our clinical trials, but such third parties may not be successful in developing such companion diagnostics, furthering the difficulty in identifying patients with the targeted genetic mutations for our clinical trials. Further, if we are required to develop companion diagnostics and are unable to include patients with the targeted genetic mutations, this could compromise our ability to seek participation in the FDA’s expedited review and development programs, including Breakthrough Therapy Designation and Fast Track Designation, or otherwise to seek to accelerate clinical development and regulatory timelines. The FDA has indicated that if we continue RLY-2608 in a specific biomarker-defined population, a companion diagnostic device will be required to ensure its safe and effective use. If any of our future third-party companion diagnostic partners is unable or unwilling to obtain or maintain regulatory approval for a companion diagnostic for any of our product candidates, regulatory approval for such product candidates, if obtained at all, may be delayed.</w:t>
      </w:r>
    </w:p>
    <w:p>
      <w:pPr>
        <w:pStyle w:val="TextBody"/>
        <w:bidi w:val="0"/>
        <w:spacing w:before="240" w:after="283"/>
        <w:jc w:val="left"/>
        <w:rPr>
          <w:rFonts w:ascii="Times New Roman" w:hAnsi="Times New Roman"/>
          <w:sz w:val="20"/>
        </w:rPr>
      </w:pPr>
      <w:r>
        <w:rPr>
          <w:rFonts w:ascii="Times New Roman" w:hAnsi="Times New Roman"/>
          <w:color w:val="000000"/>
          <w:sz w:val="18"/>
        </w:rPr>
        <w:t>Clinical trial enrollment may be affected by other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severity or rarity of the disease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eligibility criteria for the clinical trial in question;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availability of an appropriate genomic screening test;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resources and efforts required to facilitate timely enrollment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approved products that treat the same indications as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ability to monitor patients adequately during and after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proximity and availability of clinical trial sites for prospective patients;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factors we may not be able to control that may limit patients, principal investigators or staff or clinical site availability, such as uncertain geopolitical conditions or current or future pandemics. </w:t>
      </w:r>
    </w:p>
    <w:p>
      <w:pPr>
        <w:pStyle w:val="TextBody"/>
        <w:bidi w:val="0"/>
        <w:spacing w:before="240" w:after="283"/>
        <w:jc w:val="left"/>
        <w:rPr>
          <w:rFonts w:ascii="Times New Roman" w:hAnsi="Times New Roman"/>
          <w:sz w:val="20"/>
        </w:rPr>
      </w:pPr>
      <w:r>
        <w:rPr>
          <w:rFonts w:ascii="Times New Roman" w:hAnsi="Times New Roman"/>
          <w:color w:val="000000"/>
          <w:sz w:val="18"/>
        </w:rPr>
        <w:t>Additionally, for certain of our current and future clinical trials, we have and may utilize, an "open-label" trial design. An "open-label" clinical trial is one where both the patient and investigator know whether the patient is receiving the investigational product candidate or either an active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when studied in a blinded trial.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Positive data from preclinical or early clinical studies of our product candidates are not necessarily predictive of the results of later clinical studies and any future clinical trials of our product candidates. If we cannot replicate the positive data from our preclinical or early clinical studies of our product candidates in our future clinical trials, we will be unable to successfully develop, obtain regulatory approval for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positive data from our preclinical or early clinical studies of our product candidates may not necessarily be predictive of the results of later clinical studies and any future clinical trials of our product candidates. Similarly, even if we are able to complete our planned preclinical and clinical studies or any future clinical trials of our product candidates according to our current development timeline, the positive data from such preclinical or early clinical studies and clinical trials of our product candidates may not be replicated in subsequent nonclinical studies or clinical trial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Moreover, preclinical, other nonclinical and clinical data are often susceptible to varying interpretations and analyses and many companies that believed their product candidates performed satisfactorily in preclinical studies and clinical trials nonetheless failed to obtain FDA, EMA or other regulatory authority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or future clinical trials or those of future collaborators or licensees may reveal significant adverse events not seen in our preclinical or other nonclinical studies or early clinical data and may result in a safety profile that would inhibit regulatory approval or market acceptance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Before obtaining regulatory approvals for the commercial sale of any products, we must demonstrate through lengthy, complex and expensive preclinical or other nonclinical studies and clinical trials that our product candidates are both safe and effective for use in each target indication. Clinical testing is expensive and can take many years to complete, and its outcome is inherently uncertain. Failure can occur at any time during the clinical trial process. The results of preclinical or other nonclinical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or other nonclinical studies and initial clinical trials. A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never approved as products and there can be no assurance that any of our current or future clinical trials will ultimately be successful or support further clinical development of any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developing certain product candidates and may develop future product candidates, in combination with one or more cancer or other therapies. The uncertainty resulting from the use of our product candidates in combination with other therapies may make it difficult to accurately predict side effects in future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many treatments for cancer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clinical trials, or we may be required to abandon the clinical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If used in combination with other therapies in the future, our product candidates could exacerbate adverse events associated with those therapies, as well as result in adverse events from drug-drug interaction. Some potential therapeutics developed in the biotechnology industry that initially showed therapeutic promise in early-stage clinical trials have later been found to cause side effects that prevented their further development. Even if the side effects do not preclude the product from obtaining or maintaining marketing approval, undesirable side effects may inhibit market acceptance of the approved product due to its tolerability versus other therapies. Any of these developments could materially harm our business,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Although we intend to explore other therapeutic opportunities, in addition to the product candidates that we are currently developing, we may fail to identify viable new product candidates for clinical development for a number of reasons. If we fail to identify additional potential product candidates, our business could be materially harmed.</w:t>
      </w:r>
    </w:p>
    <w:p>
      <w:pPr>
        <w:pStyle w:val="TextBody"/>
        <w:bidi w:val="0"/>
        <w:spacing w:before="240" w:after="283"/>
        <w:jc w:val="left"/>
        <w:rPr>
          <w:rFonts w:ascii="Times New Roman" w:hAnsi="Times New Roman"/>
          <w:sz w:val="20"/>
        </w:rPr>
      </w:pPr>
      <w:r>
        <w:rPr>
          <w:rFonts w:ascii="Times New Roman" w:hAnsi="Times New Roman"/>
          <w:color w:val="000000"/>
          <w:sz w:val="18"/>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For example, as part of our research efforts, we develop various protein models and make predictions as to how molecules might move, with subsequent validation efforts in our and our CROs’ labs. There can be no assurance that we will find potential additional targets using this approach, that any such targets will be tractable, that preclinical development of any of our research programs will be successful or that any clinical validations will be successful. Our research programs may initially show promise in identifying potential indications and/or product candidates, yet fail to yield results for clinical development for a number of reasons,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research methodology used may not be successful in identifying potential indications and/or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product candidates may, after further study, be shown to have harmful adverse effects or other characteristics that indicate they are unlikely to be effective products;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 </w:t>
      </w:r>
    </w:p>
    <w:p>
      <w:pPr>
        <w:pStyle w:val="TextBody"/>
        <w:bidi w:val="0"/>
        <w:spacing w:before="240" w:after="283"/>
        <w:jc w:val="left"/>
        <w:rPr>
          <w:rFonts w:ascii="Times New Roman" w:hAnsi="Times New Roman"/>
          <w:sz w:val="20"/>
        </w:rPr>
      </w:pPr>
      <w:r>
        <w:rPr>
          <w:rFonts w:ascii="Times New Roman" w:hAnsi="Times New Roman"/>
          <w:color w:val="000000"/>
          <w:sz w:val="18"/>
        </w:rPr>
        <w:t>Our early-stage discovery programs and preclinical development programs may not reach clinical development on the timelines we expect or ever. Because we have limited financial and human resources, we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Accordingly, there can be no assurance that we will ever be able to identify additional therapeutic opportunities for our product candidates or to develop suitable potential product candidates through internal research programs or in collaboration with third parties, which could materially adversely affect our future growth and prospects. We may focus our efforts and resources on potential product candidates or other potential programs that ultimately prove to be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intend to develop our lead product candidate, may develop other current product candidates and potentially future product candidates, in combination with other therapies, which exposes us to additional risks.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develop zovegalisib and may develop our other current product candidates and future product candidates, for use in combination with one or more currently approved cancer or other therapies. Even if any product candidate we develop was to receive marketing approval or be commercialized for use in combination with other existing therapies, we would continue to bear the risks that the FDA or similar regulatory authorities could revoke approval of the therapy used in combination with our product candidates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evaluating zovegalisib and may in the future evaluate other current product candidates or any future product candidates in combination with one or more cancer or other therapies that have not yet been approved for marketing by the FDA or similar regulatory authorities. For example, in June 2024, we entered into a clinical trial collaboration with Pfizer to evaluate atirmociclib, Pfizer’s investigative selective-CDK4 inhibitor, in combination with zovegalisib and fulvestrant in patients with PI3Kα-mutated, HR+, HER2- metastatic breast cancer and are evaluating this combination in our ReDiscover Trial. We will not be able to market and sell any of our product candidates we develop in combination with any such unapproved therapies that do not ultimately obtain marketing approval. In addition, unapproved therapies face the same risks described with respect to our product candidates currently in development and clinical trials, including the potential for serious adverse effects, supply and/or manufacturing issues, delay in their clinical trials, and lack of FDA approval.</w:t>
      </w:r>
    </w:p>
    <w:p>
      <w:pPr>
        <w:pStyle w:val="TextBody"/>
        <w:bidi w:val="0"/>
        <w:spacing w:before="240" w:after="283"/>
        <w:jc w:val="left"/>
        <w:rPr>
          <w:rFonts w:ascii="Times New Roman" w:hAnsi="Times New Roman"/>
          <w:sz w:val="20"/>
        </w:rPr>
      </w:pPr>
      <w:r>
        <w:rPr>
          <w:rFonts w:ascii="Times New Roman" w:hAnsi="Times New Roman"/>
          <w:color w:val="000000"/>
          <w:sz w:val="18"/>
        </w:rPr>
        <w:t>The uncertainty resulting from the use of our product candidates in combination with other approved or unapproved therapies may make it difficult to accurately predict side effects in current or future clinical trials. If the FDA or similar regulatory authorities do not approve these other drugs or revoke their approval of, or if safety, efficacy, manufacturing, or supply issues arise with, the drugs we choose to evaluate in combination with our lead product candidate or any other current or future product candidate we develop, we may be unable to obtain approval of or market any of such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product candidates utilize a novel mechanism of action and novel binding locations, which may result in greater research and development expenses, regulatory issues that could delay or prevent approval, or discovery of unknown or unanticipated adverse effects.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utilize novel mechanisms of action and novel binding locations, which may result in greater research and development expenses, regulatory issues that could delay or prevent approval, or discovery of unknown or unanticipated adverse effects. Our Dynamo® platform uses advanced computational models in tight integration with our medicinal chemistry, structural biology, enzymology and biophysics capabilities to predict and design the compounds that will achieve the most desirable characteristics, including potency, selectivity, bioavailability, and drug-like properties. A disruption in any of these capabilities may have significant adverse effects in our abilities to expand our Dynamo® platform, and we cannot predict whether we will continue to have access to these capabilities in the future to support our Dynamo® platform. In addition, there can be no assurance that we will be able to rapidly identify, design and synthesize the necessary compounds or that these or other problems related to the development of this novel mechanism will not arise in the future, which may cause significant delays, or raise problems that we may not be able to resolve.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our mechanism of action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Because our inhibitors utilize a novel mechanism of action that has not been the subject of extensive study compared to more well-known product candidates, there is also an increased risk that we may discover previously unknown or unanticipated adverse effects during our preclinical or other nonclinical studies and clinical trials. Any such events could adversely impact our business prospects,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conducting, or have filed clinical trial applications to conduct, clinical trials for our product candidates outside the United States, and the FDA and similar foreign regulatory authorities may not accept data from such trials.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conducted or are conducting, or have filed clinical trial applications to conduct, additional clinical trials outside the United States, including Australia, the United Kingdom, Europe, South America and Asia and may conduct, or file clinical trial applications to conduct, additional clinical trials in other foreign jurisdictions in the future. The acceptance of trial data from clinical trials conducted outside the United States by the FDA may be subject to certain conditions.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clinical trials conducted outside of the United States or the applicable jurisdiction. If the FDA or any similar foreign regulatory authority does not accept such data, it would result in the need for additional clinical trials, which would be costly and time-consuming and delay aspects of our business plan, and which may result in our product candidates not receiving approval or clearance for commercialization in the applicable jurisdiction.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Obtaining Regulatory Approvals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not able to obtain, or if delays occur in obtaining, required regulatory approvals for our product candidates, we will not be able to commercialize, or will be delayed in commercializing, our product candidates, and our ability to generate revenue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similar authorities in other countries. Before we can commercialize any of our product candidates, we must obtain marketing approval. Currently, all of our product candidates are in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nonclinical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process of obtaining regulatory approvals, both in the United States and abroad, is expensive and often takes many years. If the FDA or a similar foreign regulatory authority requires that we perform additional nonclinical studies or clinical trials, approval, if obtained at all, may be delayed. The length of such a delay varies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NDA, 510(k) or other premarket approval application, or PMA, or equivalent application types, may cause delays in the approval or rejection of an application. The FDA and similar authorities in other countries have substantial discretion in the approval process and may refuse to accept any application or may decide that our data are insufficient for approval and require additional nonclinical, clinical or other studies. It is also unclear how FDA marketing approval policies along with FDA interpretations of law or regulatory discretion could change as a result of the U.S. Supreme Court’s decision to overturn prior established case law giving deference to agency decisions and interpretations. Our product candidates could be delayed in receiving, or fail to receive, regulatory approval for many reasons,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or change their position regarding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be able to enroll a sufficient number of patients in our 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to the satisfaction of the FDA or similar foreign regulatory authorities that a product candidate is safe and effective for its proposed indication or a related companion diagnostic is suitable to identify appropriate patient populations;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clinical trials may not meet the level of statistical significance required by the FDA or similar foreign regulatory authorities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disagree with our interpretation of data from nonclinical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data collected from clinical trials of our product candidates may not be sufficient to support the submission of an NDA or other submission or to obtain regulatory approval in the United States or elsewhere;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FDA or similar foreign regulatory authorities may find deficiencies with or fail to approve the manufacturing processes or facilities of third-party manufacturers with which we contract for clinical and commercial supplies;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approval policies or regulations of the FDA or similar foreign regulatory authorities may significantly change such that our clinical data are insufficient for approval. </w:t>
      </w:r>
    </w:p>
    <w:p>
      <w:pPr>
        <w:pStyle w:val="TextBody"/>
        <w:bidi w:val="0"/>
        <w:spacing w:before="240" w:after="283"/>
        <w:jc w:val="left"/>
        <w:rPr>
          <w:rFonts w:ascii="Times New Roman" w:hAnsi="Times New Roman"/>
          <w:sz w:val="20"/>
        </w:rPr>
      </w:pPr>
      <w:r>
        <w:rPr>
          <w:rFonts w:ascii="Times New Roman" w:hAnsi="Times New Roman"/>
          <w:color w:val="000000"/>
          <w:sz w:val="18"/>
        </w:rPr>
        <w:t>Even if we were to obtain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not include the labeling claims necessary or desirable for the successful commercialization of that product candidate. Any of the foregoing scenarios could materially harm the commercial prospects for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experience delays in obtaining approval or if we fail to obtain approval of our product candidates, the commercial prospects for our product candidates may be harmed and our ability to generate revenues will be materially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projections of both the number of people who have the diseases our product candidates are targeting, as well as the subset of people with such disease who have the potential to benefit from treatment with any of our product candidates, are based on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total addressable market opportunity will ultimately depend upon, among other things, the diagnosis criteria included in the final label, and, if our product candidates are approved for sale for these indications, acceptance by the medical community and patient access, product pricing and reimbursement. The number of patients with cancers and solid tumors or other applicable diseases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For example, in December 2024, we entered into the exclusive global licensing agreement with Elevar for lirafugratinib, and in early 2025, we reduced our research-stage programs, allowing us to focus our resources on the remainder of our portfolio. These and other prioritization decisions may prove to be the wrong choice and may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development and commercialization of new products in the biopharmaceutical and related industries is highly competitive. We compete in the segments of the pharmaceutical, biotechnology, and other related markets that address computationally focused structure-based drug design in cancer and genetic diseases. There are other companies focusing on structure-based drug design to develop therapies in the fields of cancer and other diseases.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product candidates that we successfully develop and commercialize will compete with currently approved therapies and new therapies that may become available in the future from segments of the pharmaceutical, biotechnology and other related markets that pursue precision medicines. Key product features that would affect our ability to effectively compete with other therapeutics include the efficacy, safety and convenience of our products. We believe principal competitive factors to our business include, among other things, the accuracy of our computations and predictions, ability to integrate computational and experimental capabilities, ability to successfully transition research programs into clinical development, ability to raise capital, and the scalability of the platform, pipeline, and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Many of the companies that we compete against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biotechnology and diagnostic industries may result in even more resources being concentrated among a smaller number of our competitors. Smaller or earlier stage companies may also prove to be significant competitors, particularly through collaborative arrangements with large and established companies. These competitors also compete with us in recruiting and retaining qualified scientific, clinical and management personnel and establishing clinical trial sites and patient registration for clinical trials, as well as in acquiring technologies complementary to, or necessary for, our programs. In addition, we cannot predict whether our current competitive advantages will remain in place in the future. If these or other barriers to entry do not remain in place, other companies may be able to more directly or effectively compete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more rapidly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pStyle w:val="TextBody"/>
        <w:bidi w:val="0"/>
        <w:spacing w:before="240" w:after="283"/>
        <w:jc w:val="left"/>
        <w:rPr>
          <w:rFonts w:ascii="Times New Roman" w:hAnsi="Times New Roman"/>
          <w:sz w:val="20"/>
        </w:rPr>
      </w:pPr>
      <w:r>
        <w:rPr>
          <w:rFonts w:ascii="Times New Roman" w:hAnsi="Times New Roman"/>
          <w:color w:val="000000"/>
          <w:sz w:val="18"/>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See "</w:t>
      </w:r>
      <w:r>
        <w:rPr>
          <w:rFonts w:ascii="Times New Roman" w:hAnsi="Times New Roman"/>
          <w:i/>
          <w:color w:val="000000"/>
          <w:sz w:val="18"/>
        </w:rPr>
        <w:t>Business – Governmental Regulation – Insurance coverage and reimbursement.</w:t>
      </w:r>
      <w:r>
        <w:rPr>
          <w:rFonts w:ascii="Times New Roman" w:hAnsi="Times New Roman"/>
          <w:color w:val="000000"/>
          <w:sz w:val="18"/>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is also significant uncertainty related to the insurance coverage and reimbursement of newly approved products and coverage may be more limited than the purposes for which the medicine is approved by the FDA or similar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Factors payors consider in determining reimbursement are based on whether the product is (i) a covered benefit under its health plan; (ii) safe, effective and medically necessary; (iii) appropriate for the specific patient; (iv) cost-effective; and (v) neither experimental nor investigational.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In addition, many pharmaceutical manufacturers must calculate and report certain price reporting metrics to the government, such as average sales price, or ASP, and best price. Penalties may apply in some cases when such metrics are not submitted accurately and in a timely manner. Further, these prices for drugs may be reduced by mandatory discounts or rebates required by government healthcare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in some foreign countries,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 do not follow price structures of the U.S. and generally prices tend to be significantly lower.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Reliance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relied on, and expect to continue to rely on, third parties to conduct our current and future clinical trials of our product candidates,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 to be inadequate compared to the first-hand knowledge we might have gained had the investigator-sponsored trials been sponsored and conducted by us, then our ability to design and conduct any future clinical trials ourselves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rely and expect to continue to rely heavily on these parties for execution of clinical trials for our product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similar foreign regulatory authorities for any products in clinical development, including the EMA and the MHRA. These regulatory authorities enforce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similar foreign regulatory authorities may require us to perform additional clinical trials before approving our marketing applications. We cannot assure you that, upon inspection, these regulatory authorities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designed our first-in-human clinical trials of our lead product candidate and intend to design the future clinical trials for any other product candidates that we develop, we expect that CROs will conduct all of our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staffing difficulties;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fail to comply with contractual obligations;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experience regulatory compliance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undergo changes in priorities or become financially distressed;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form relationships with other entities, some of which may be our competitors. </w:t>
      </w:r>
    </w:p>
    <w:p>
      <w:pPr>
        <w:pStyle w:val="TextBody"/>
        <w:bidi w:val="0"/>
        <w:spacing w:before="240" w:after="283"/>
        <w:jc w:val="left"/>
        <w:rPr>
          <w:rFonts w:ascii="Times New Roman" w:hAnsi="Times New Roman"/>
          <w:sz w:val="20"/>
        </w:rPr>
      </w:pPr>
      <w:r>
        <w:rPr>
          <w:rFonts w:ascii="Times New Roman" w:hAnsi="Times New Roman"/>
          <w:color w:val="000000"/>
          <w:sz w:val="18"/>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relationships with these third-party principal investigators or CROs terminate, we may not be able to enter into arrangements with alternative CROs. If principal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product candidates in the subject indication would be harmed, our costs could increase and our ability to generate revenue could be delayed.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contract with third parties for the manufacture of our product candidates for preclinical development, clinical testing, and expect to continue to do so for commercialization. We also rely, and expect to continue to rely, on third parties for the supply of any investigational products, standard-of-care drugs and comparator agents used in our clinical trials. This reliance on third parties increases the risk that we will not have sufficient quantities of our product candidates or other therapies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products if any of our product candidates receive marketing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similar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be unable to establish any agreements with third-party manufacturers or to do so on acceptable terms. Even if we are able to establish agreements with third-party manufacturers, reliance on third-party manufacturers entails additional risks,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reliance on the third party for regulatory compliance and quality assurance;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breach of the manufacturing agreement by the third party;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misappropriation of our proprietary information, including our trade secrets and know-how;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possible termination or nonrenewal of the agreement by the third party at a time that is costly or inconvenient for us.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 Due to capacity constraints at cGMP manufacturers, we have been required to forecast the amount of clinical trial supply needed for our clinical trials further in advance than had typically been required, and there is limited flexibility to adjust our manufacturing needs as our clinical trials progress, which may lead to added costs or delays in our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performance failure on the part of our existing or future manufacturers could delay clinical development or marketing approval. We are also unable to predict how the effects of ongoing geopolitical conflicts may affect our third-party manufacturers, including any potential disruptions to our global supply chain. If our current contract manufacturers cannot perform as agreed, we may be required to replace such manufacturers, which we may not be able to do on reasonable terms, if at all, or manufacture the materials ourselves, for which we may not have the capabilities or resources. In either scenario, our clinical trials supply could be delayed significantly as we establish alternative supply sources. In some cases, the technical skills required to manufacture our products or product candidates may be unique or proprietary to the original contract manufacturing organization, or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may incur added costs and delays in identifying and qualifying any such replacement. Furthermore, a CMO may possess technology related to the manufacture of our product candidates that such CMO owns independently. This would increase our reliance on such CMO or require us to obtain a license from such CMO in order to have another CMO manufacture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currently rely on foreign CMOs for the manufacture of certain of our product candidates for preclinical development and clinical testing and will likely continue to do so in the future. Foreign CMOs may be subject to U.S. legislation or investigations, such as the previously proposed BIOSECURE Act in the United States, sanctions, trade restrictions and other foreign regulatory requirements, which could increase the cost or reduce the supply of material available to us, delay the procurement or supply of such material, delay or impact clinical trials, have an adverse effect on our ability to secure significant commitments from governments to purchase our product candidates, if ever approved, and could adversely affect our financial condition and business prospects.</w:t>
      </w:r>
    </w:p>
    <w:p>
      <w:pPr>
        <w:pStyle w:val="TextBody"/>
        <w:bidi w:val="0"/>
        <w:spacing w:before="240" w:after="283"/>
        <w:jc w:val="left"/>
        <w:rPr>
          <w:rFonts w:ascii="Times New Roman" w:hAnsi="Times New Roman"/>
          <w:sz w:val="20"/>
        </w:rPr>
      </w:pPr>
      <w:r>
        <w:rPr>
          <w:rFonts w:ascii="Times New Roman" w:hAnsi="Times New Roman"/>
          <w:color w:val="000000"/>
          <w:sz w:val="18"/>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rely, and expect to continue to rely, on third parties for the supply of any investigational products, standard-of-care drugs or comparator agents used in our clinical trials. Any supply chain challenges may affect our ability to supply clinical sites with any investigational products, standard-of-care drugs and/or comparator agents that we use in our clinical trials and may prevent us from enrolling subjects into our clinical trials, may result in increased costs for our clinical trials, and may otherwise delay, prevent or impair our development efforts.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The third parties upon whom we rely for the supply of the active pharmaceutical ingredients, drug product and starting materials used in our product candidates are our sole source of supply, and the loss of any of these suppliers could significantly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active pharmaceutical ingredients, or API, drug product and starting materials used in our product candidates are supplied to us primarily from single-source suppliers. Our ability to successfully develop our product candidates, and to ultimately supply our commercial products in quantities sufficient to meet the market demand, depends in part on our ability to obtain the API, drug product and starting materials for these products in accordance with regulatory requirements and in sufficient quantities for clinical testing and commercialization. We do not currently have arrangements in place for a redundant or second-source supply of any such API, drug product or starting materials in the event any of our current suppliers of such API, drug product or starting materials ceases its operations for any reason. If any of our third-party suppliers or manufacturers ceases its operations for any reason or is unable or unwilling to supply API, drug product or starting material in sufficient quantities, on the timelines necessary, or at acceptable prices, to meet our needs, it could impede, delay, limit or prevent our development efforts, which could harm our business, results of operations, financial condition and prospects. We are also unable to predict how changing global economic conditions or ongoing geopolitical conflicts and related global economic sanctions, or potential global health concerns will affect our third-party suppliers and manufacturers. Any negative impact of such matters on our third-party suppliers and manufacturers may also have an adverse impact on our results of operations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For all of our product candidates, we intend to identify and qualify additional manufacturers to provide such API, drug product and starting materials prior to or after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Establishing additional or replacement suppliers for the API, drug product and starting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drug product and starting materials used in our product candidates, any interruption or delay in the supply of components or materials, or our inability to obtain such API, drug product or starting materials from alternate sources at acceptable prices in a timely manner could impede, delay, limit or prevent our development efforts, which could harm our business, results of operations, financial condition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and may enter into other licenses or collaborations with third parties for the research, development, manufacture and commercialization of one or more of our programs or product candidates. If these licenses or collaborations are not successful, our business could be adversely affected.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entered into and may enter into licenses or collaborations with third parties for one or more of our programs or product candidates, such as the Elevar Agreement to develop and commercialize lirafugratinib. If we enter into any such arrangements with any third parties, we will likely have limited control over the amount and timing of resources that any licensees or collaborators dedicate to the development or commercialization of our product candidates. Our ability to generate revenue from these arrangements will depend on our licensees' or collaborators’ abilities to successfully perform the functions assigned to them.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licenses or collaborations we have entered into or will enter into may pose risks, including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have significant discretion in determining the efforts and resources that they will apply to these licenses or collaborations;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perform their obligations as expected;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clinical trials conducted as part of these licenses or collaborations may not be successful;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not pursue development and/or commercialization of any product candidates that achieve regulatory approval or may elect not to continue or renew development or commercialization programs based on clinical trial results, changes in the licensees' or collaborators’ strategic focus or available funding or external factors, such as an acquisition, that divert resources or create competing priorities;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delay clinical trials, provide insufficient funding for clinical trials, stop a clinical trial or abandon a product candidate, repeat or conduct new clinical trials or require a new formulation of a product candidate for clinical testing;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not have access to, or may be restricted from disclosing, certain information regarding product candidates being developed or commercialized under a license or collaboration and, consequently, may have limited ability to inform our stockholders about the status of such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could independently develop, or develop with third parties, products that compete directly or indirectly with our product candidates if the licensees or collaborators believe that competitive products are more likely to be successfully developed or can be commercialized under terms that are more economically attractive than ours;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Product candidates developed in collaboration with us may be viewed by any licensee or collaborator as competitive with their own product candidates or products, which may cause licensees or collaborators to cease to devote resources to the commercialization of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licensee or collaborator with marketing and distribution rights to one or more of our product candidates that achieve regulatory approval may not commit sufficient resources to the marketing and distribution of any such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Disagreements with licensees or collaborators, including disagreements over proprietary rights, contract interpretation or the preferred course of development of any programs or product candidates, may cause delays or termination of the research, development, manufacture or commercialization of such programs or product candidates, may lead to additional responsibilities for us with respect to such programs or product candidates or may result in litigation or arbitration, any of which would be time-consuming and expensive;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Licensees or 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Disputes may arise with respect to the ownership of intellectual property developed pursuant to our licenses or collaborations;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Licensees or collaborators may infringe the intellectual property rights of third parties, which may expose us to litigation and potential liability;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Licenses or collaborations may be terminated for the convenience of the licensee or collaborator and, if terminated, we could be required to raise additional capital to pursue further development or commercialization of the applicable product candidates. For example, Genentech terminated the Genentech Agreement for convenience effective as of January 7,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our licenses or collaborations do not result in the successful development and commercialization of products, or if one of any future licensees or collaborators terminates its agreement with us, we may not receive any milestone or royalty payments under the license or collaboration. If we do not receive the payments we expect under these agreements, our development of product candidates could be delayed and we may need additional resources to develop our product candidates. All of the risks relating to product development, regulatory approval and commercialization summarized and described in this report also apply to the activities of our licensees or collaborators.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if any licensee or collaborator terminates its agreement with us, we may find it more difficult to attract new licensees or collaborators and our reputation among the business and financial communities could be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to establish additional licenses and/or collaborations, and, if we are not able to establish them on commercially reasonable terms, or at all, we may have to alter our development and commercialization plans.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product development programs and the potential commercialization of our product candidates will require substantial additional cash to fund expenses. For some of our product candidates, we may decide to license to, or collaborate with, additional pharmaceutical and biotechnology companies for the development and potential commercialization of those product candidates.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face significant competition in seeking appropriate licensees and/or collaborators. Whether we reach a definitive agreement for a license or collaboration will depend, among other things, upon our assessment of the licensee's or collaborator’s resources and expertise, the terms and conditions of the proposed license or collaboration and the proposed licensee's or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licensee or collaborator may also consider alternative product candidates or technologies for similar indications that may be available to license or collaborate on and whether such a license or collaboration could be more attractive than the one with us for our product candidate. The terms of any additional licenses or collaborations or other arrangements that we may establish may not be favorable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be restricted under license or collaboration agreements from entering into future agreements on certain terms with potential licensees or collaborators. Licenses and collaborations are complex and time-consuming to negotiate and document. In addition, there have been a significant number of recent business combinations among large pharmaceutical companies that have resulted in a reduced number of potential future licensees and/or collaborators.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be able to negotiate additional licenses or collaborations on a timely basis, on acceptable terms, or at all. If we are unable to do so, we may have to curtail the development of the product candidate for which we are seeking to license or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be required to pay certain milestones, royalties or other payments under our license or collaboration agreements with third-party licensors or collaborators, which may adversely affect the overall profitability of any products that we may seek to commercialize or adversely impact the value of other transactional opportunities.</w:t>
      </w:r>
    </w:p>
    <w:p>
      <w:pPr>
        <w:pStyle w:val="TextBody"/>
        <w:bidi w:val="0"/>
        <w:spacing w:before="240" w:after="283"/>
        <w:jc w:val="left"/>
        <w:rPr>
          <w:rFonts w:ascii="Times New Roman" w:hAnsi="Times New Roman"/>
          <w:sz w:val="20"/>
        </w:rPr>
      </w:pPr>
      <w:r>
        <w:rPr>
          <w:rFonts w:ascii="Times New Roman" w:hAnsi="Times New Roman"/>
          <w:color w:val="000000"/>
          <w:sz w:val="18"/>
        </w:rPr>
        <w:t>Under our current and future license or collaboration agreements, including our DESRES Agreement, we may be required to pay milestones, royalties and other payments based on our revenues, including revenues from product sales, and these milestones and royalty payments could adversely affect the overall profitability of any products that we may seek to commercialize. Moreover, we may be subject to certain payment obligations under our current and future license agreements, including our DESRES Agreement, in connection with certain transactions. These payment obligations may decrease the value to us of certain transactional opportunities or otherwise burden our ability to enter into such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order to maintain our rights under our current or future license agreements, we may need to meet certain specified milestones in the development of our product candidates. Further, our licensors (or their licensors), licensees or other strategic collaborators may dispute the terms, including amounts, that we are required to pay under the respective license or collaboration agreements. If these claims result in a material increase in the amounts that we are required to pay to our licensors or collaborators, or in the event of a claim of breach of the license, our ability to research, develop and obtain approval of product candidates or to commercialize our products could be significantly impaired.</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Financial Position and Ability to Raise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a biopharmaceutical company with a limited operating history.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 biopharmaceutical company with a limited operating history and have incurred net losses in each year since our inception. Our net losses were $276.5 million, $337.7 million, and $342.0 million for the years ended December 31, 2025, 2024, and 2023, respectively. We had an accumulated deficit of $2.0 billion as of December 31, 2025. Biopharmaceutical product development is a highly speculative undertaking and involves a substantial degree of risk. We commenced operations in May 2015. Since inception, we have focused substantially all of our efforts and financial resources on developing our Dynamo® drug discovery platform and product candidates.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significant operating losses since our inception and anticipate that we will incur continued losses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Substantially all of our operating losses have resulted from costs incurred in connection with our research and development programs and from general and administrative costs associated with our operations. We expect to continue to incur significant research and development expenses in connection with the commencement and continuation of clinical trials of our product candidates. In addition, if we obtain marketing approval for our product candidates, we will incur significant sales, marketing, and outsourced-manufacturing expenses. We will also continue to incur additional costs associated with operating as a public company. As a result, we expect to continue to incur significant operating losses for the foreseeable future. In the past, we have implemented internal restructurings and reorganizations designed to reduce the size and costs of our operations,</w:t>
      </w:r>
      <w:r>
        <w:rPr>
          <w:rFonts w:ascii="Times New Roman" w:hAnsi="Times New Roman"/>
          <w:color w:val="000000"/>
          <w:sz w:val="20"/>
        </w:rPr>
        <w:t xml:space="preserve"> </w:t>
      </w:r>
      <w:r>
        <w:rPr>
          <w:rFonts w:ascii="Times New Roman" w:hAnsi="Times New Roman"/>
          <w:color w:val="000000"/>
          <w:sz w:val="18"/>
        </w:rPr>
        <w:t>improve operational efficiencies, enhance our ability to pursue market opportunities, and accelerate our development initiatives. If there are unforeseen expenses associated with such realignments in our business strategies, and we incur unanticipated charges or liabilities, we may not be able to effectively realize the expected cost savings or other benefits of such actions, which could have adverse effects on our business, operating results, and financial condition.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success or failure of clinical trials for our product candidates or competing product candidates, or any other change in the competitive landscape of our industry, including consolidation among our competitors or partners;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successfully recruit and retain subjects for clinical trials, and any delays caused by difficulties in such efforts;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obtain marketing approval for our product candidates, and the timing and scope of any such approvals we may receive;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and cost of, and level of investment in, research and development activities relating to our product candidates, which may change from time to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 of manufacturing our product candidates, which may vary depending on the quantity of production and the terms of our agreements with manufacturers;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ability to attract, hire and retain qualified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expenditures that we will or may incur to develop additional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demand for our product candidates should they receive approval, which may vary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risk/benefit profile, cost and reimbursement policies with respect to our product candidates, if approved, and existing and potential future therapeutics that compete with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effectively realize the expected cost savings and other benefits of internal restructurings;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changing and volatile U.S. and global economic environments or ongoing geopolitical conflicts;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future accounting pronouncements or changes in our accounting policies. </w:t>
      </w:r>
    </w:p>
    <w:p>
      <w:pPr>
        <w:pStyle w:val="TextBody"/>
        <w:bidi w:val="0"/>
        <w:spacing w:before="240" w:after="283"/>
        <w:jc w:val="left"/>
        <w:rPr>
          <w:rFonts w:ascii="Times New Roman" w:hAnsi="Times New Roman"/>
          <w:sz w:val="20"/>
        </w:rPr>
      </w:pPr>
      <w:r>
        <w:rPr>
          <w:rFonts w:ascii="Times New Roman" w:hAnsi="Times New Roman"/>
          <w:color w:val="000000"/>
          <w:sz w:val="18"/>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securities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have no products approved for commercial sale and we have not generated any revenue from product sales.</w:t>
      </w:r>
    </w:p>
    <w:p>
      <w:pPr>
        <w:pStyle w:val="TextBody"/>
        <w:bidi w:val="0"/>
        <w:spacing w:before="240" w:after="283"/>
        <w:jc w:val="left"/>
        <w:rPr>
          <w:rFonts w:ascii="Times New Roman" w:hAnsi="Times New Roman"/>
          <w:sz w:val="20"/>
        </w:rPr>
      </w:pPr>
      <w:r>
        <w:rPr>
          <w:rFonts w:ascii="Times New Roman" w:hAnsi="Times New Roman"/>
          <w:color w:val="000000"/>
          <w:sz w:val="18"/>
        </w:rPr>
        <w:t>Our ability to become profitable depends upon our ability to generate revenue. To date, we have no products approved for commercial sale, we have not generated any revenue from our product sales and we do not expect to generate any revenue from the sale of products in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near future. We do not expect to generate significant revenue unless and until we obtain marketing approval of, and begin to sell one or more of our product candidates. Our ability to generate revenue depends on a number of factors, including, but not limited to, our ability to:</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complete preclinical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successfully enroll subjects in, and complete,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have our IND applications go into effect for our planned clinical trials or future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receive regulatory approvals from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initiate and successfully complete all safety studies required to obtain U.S. and foreign marketing approval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 commercial manufacturing capabilities or make arrangements with third-party manufacturers for clinical supply and commercial manufacturing;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launch commercial sales of our product candidates, if and when approved, whether alone or in partnership or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acceptance of the product candidates, if and when approved, by patients, the medical community and third-party payors;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effectively compete with other therapies;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obtain and maintain healthcare coverage and adequate reimbursement;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enforce and defend intellectual property rights and claims;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take precautionary measures to help minimize the risk of any future pandemics or outbreaks similar to COVID-19 to our employees;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maintain a continued acceptable safety profile of the product candidates following approval. </w:t>
      </w:r>
    </w:p>
    <w:p>
      <w:pPr>
        <w:pStyle w:val="TextBody"/>
        <w:bidi w:val="0"/>
        <w:spacing w:before="240" w:after="283"/>
        <w:jc w:val="left"/>
        <w:rPr>
          <w:rFonts w:ascii="Times New Roman" w:hAnsi="Times New Roman"/>
          <w:sz w:val="20"/>
        </w:rPr>
      </w:pPr>
      <w:r>
        <w:rPr>
          <w:rFonts w:ascii="Times New Roman" w:hAnsi="Times New Roman"/>
          <w:color w:val="000000"/>
          <w:sz w:val="18"/>
        </w:rPr>
        <w:t>If we do not achieve one or more of these factors in a timely manner or at all, we may experience significant delays in our commercialization efforts or we may be unable to successfully commercialize our product candidates at all, which would materially harm our business and prospects. In addition, if we do not receive regulatory approvals for our product candidates, we may not be able to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Raising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will need to raise substantial additional funding. If we are unable to raise capital when needed, we would be forced to delay, reduce or eliminate some of our product development programs or commercialization efforts.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development of pharmaceutical products is capital-intensive. We have programs in clinical and preclinical development. We expect our expenses to increase in connection with our ongoing activities, particularly as we continue the research and development of, initiate clinical trials of, and seek marketing approval for, our product candidates. In addition, depending on the status of regulatory approval or, if we obtain marketing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product candidates or otherwise expand more rapidly than we presently anticipate. Furthermore, we continue to incur additional costs associated with operating as a public company. Accordingly, we will need to obtain substantial additional funding in connection with our continuing operations. If we are unable to raise capital when needed or fail to do so on attractive terms, we would be forced to delay, reduce or eliminate certain of our research and development programs or future commercialization efforts.</w:t>
      </w:r>
    </w:p>
    <w:p>
      <w:pPr>
        <w:pStyle w:val="TextBody"/>
        <w:bidi w:val="0"/>
        <w:spacing w:before="240" w:after="283"/>
        <w:jc w:val="left"/>
        <w:rPr>
          <w:rFonts w:ascii="Times New Roman" w:hAnsi="Times New Roman"/>
          <w:sz w:val="20"/>
        </w:rPr>
      </w:pPr>
      <w:r>
        <w:rPr>
          <w:rFonts w:ascii="Times New Roman" w:hAnsi="Times New Roman"/>
          <w:color w:val="000000"/>
          <w:sz w:val="18"/>
        </w:rPr>
        <w:t>We expect that our existing cash and cash equivalents and investments will be sufficient to fund our operations through at least the next 12 months. Our future capital requirements will depend on and could increase significantly as a result of many factors, including: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and/or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sz w:val="20"/>
        </w:rPr>
      </w:pPr>
      <w:r>
        <w:rPr>
          <w:rFonts w:ascii="Times New Roman" w:hAnsi="Times New Roman"/>
          <w:color w:val="000000"/>
          <w:sz w:val="18"/>
        </w:rPr>
        <w:t>Identifying potential product candidates and conducting preclinical development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additional fundraising efforts may divert our management from their day-to-day activities, which may adversely affect our ability to develop and commercialize our product candidates. Disruptions in the financial markets may make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we may be required to relinquish rights to some of our technologies or product candidates or otherwise agree to terms unfavorable to us, any of which may have a material adverse effect on our business, operating results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Until such time, if ever, as we can generate substantial product revenues, we expect to finance our cash needs through a combination of private and public equity offerings, debt financings, collaborations, strategic alliances and licensing arrangements. We do not have any committed external source of funds. To the extent that we raise additional capital through the sale of common stock or securities convertible or exchangeable into common stock, the ownership interest of our stockholders will be diluted, and the terms of those securities may include liquidation or other preferences that materially adversely affect their rights as a common stockholder. We may offer and sell up to an aggregate amount of $250.0 million of our common stock from time to time in "at the market" offerings pursuant to the sales agreement, or the 2024 Sales Agreement, with TD Securities (USA) LLC, or TD Securities, subject to the limitations thereof. As of December 31, 2025, we have not sold any shares of common stock under the 2024 Sales Agreement. Debt financing, if available, would increase our fixed payment obligations and may involve agreements that include covenants limiting or restricting our ability to take specific actions, such as incurring additional debt, making capital expenditures or declaring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funds through additional collaborations, strategic alliances or licensing arrangements with third parties, we may have to relinquish valuable rights to our intellectual property,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Public Health Matters and the Global Economy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Any future pandemic, epidemic, or outbreak of an infectious disease similar to the COVID-19 pandemic could affect our business and our financial results and could cause disruption to the development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Public health crises such as pandemics or similar outbreaks could adversely impact our business. A public health crisis similar to the COVID-19 pandemic could adversely impact our preclinical, other nonclinical or clinical trial operations, and we may experience delays in initiating, or fail to initiate, IND-enabling studies, recruiting and retaining patients, principal investigators and site staff for our clinical trials, dosing of patients in our clinical trials as well as in activating new trial sites, and protocol deviations. The negative impact of any such public health crisis on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Any unforeseen disruptions arising from a public health crisis, including potential shutdowns or disruptions of businesses and government agencies, such as the SEC or FDA, could have a material adverse effect on our business and our results of operation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Global economic and political conditions, including economic uncertainty tied to interest rates, credit and financial market instability, and uncertainty related to ongoing geopolitical conflicts, are difficult to mitigate and could pose challenges to our growth and profitability and could adversely affect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Unstable market and economic conditions may have adverse consequences on our business, financial condition or results of operations. In recent years, the global economy, in particular the credit and financial markets, has experienced significant volatility and disruptions, including diminished liquidity and credit availability, volatility in commodity prices, declines in consumer confidence and economic growth, and supply chain interruptions. Other factors, including rising interest rates and record inflation, may also increase the general cost of doing business. In 2023, the closures of Silicon Valley Bank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Continued economic uncertainty caused by these and other factors, including political instability, conflicts or crises, at the global level or involving individual countries or regions and any associated economic sanctions, could result in a variety of risks to our business, including difficulty in enrolling participants in our clinical trials, difficulty in forecasting our financial results and managing inventory levels, increases in our business costs, which in turn affect our ability to develop our current and future product candidates, and negatively impacting our ability to raise additional capital when needed on acceptable terms, if at all. In addition, political developments impacting government spending and international trade, including changes in trade agreements, potential government shutdowns and trade disputes and tariffs, including tariffs that have been or may in the future be imposed by the United States or other countries and future legislation or actions taken by the United States or other countries that restrict trade, and protectionist or retaliatory measures taken by the United States or other countries, may negatively impact markets and cause weaker macroeconomic conditions. These global economic and political factors have also strained and could continue to strain certain of our suppliers and manufacturers, possibly resulting in supply disruptions or increased raw material or manufacturing costs, or adversely impacting their ability to manufacture clinical trial materials for our product candidates. Any of the foregoing could harm our business and prospects and we cannot anticipate all of the ways in which the current economic climate and financial market conditions could adversely impact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Significant political, trade, regulatory developments, and other circumstances beyond our control, could have a material adverse effect on our financial condition or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Significant political, trade, or regulatory developments,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The United States has imposed blanket 10% tariffs on virtually all imports to the U.S. and significantly higher so-called reciprocal tariffs applicable to imports from many countries. On April 9, 2025, the U.S. announced a temporary pause on its reciprocal tariffs applicable to many countries, while increasing the tariffs applicable to imports from China. The Trump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Protecting Our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adequately protect our proprietary technology or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will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commercial success will depend in part on our ability to obtain and maintain proprietary or intellectual property protection in the United States and other countries for our product candidates, and our core technologies, including our novel target discovery technology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 Other than our Eurasian, Japanese, Korean, Chilean and U.S. patents relating to zovegalisib and our U.S. and foreign patents relating to lirafugratinib, we do not own or in-license any issued patents relating to our platform or our product candidates under clinical development.</w:t>
      </w:r>
    </w:p>
    <w:p>
      <w:pPr>
        <w:pStyle w:val="TextBody"/>
        <w:bidi w:val="0"/>
        <w:spacing w:before="240" w:after="283"/>
        <w:jc w:val="left"/>
        <w:rPr>
          <w:rFonts w:ascii="Times New Roman" w:hAnsi="Times New Roman"/>
          <w:sz w:val="20"/>
        </w:rPr>
      </w:pPr>
      <w:r>
        <w:rPr>
          <w:rFonts w:ascii="Times New Roman" w:hAnsi="Times New Roman"/>
          <w:color w:val="000000"/>
          <w:sz w:val="18"/>
        </w:rPr>
        <w:t>The research and development for certain of our programs was performed during the initial research term under the DESRES Agreement. Under the DESRES Agreement, D. E. Shaw Research controls the rights to its technology (including its supercomputer and software, each of which are important aspects of our Dynamo® platform), we control the rights to certain compounds, and we jointly own with D. E. Shaw Research any other work product created by D. E. Shaw Research and us. Subject to certain limits, we have the right to have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following work product assigned to us: the composition of matter, method of use, and method of manufacture of certain compounds directed to a Category 1 Target, as set forth in the DESRES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After any work product is assigned to us, we will have the right to prepare, file, prosecute and maintain patents that cover such assigned work product. We also have the implicit right to defend patents that cover work product owned by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some of the work product created under our agreement with D. E. Shaw Research has been created by D. E. Shaw Research and us, together, and is thus initially co-owned. We have subsequently obtained sole ownership of certain intellectual property relating specifically to some of our clinical candidates. By virtue of inventorship, we initially jointly owned intellectual property rights pertaining to zovegalisib, but have subsequently obtained sole ownership of intellectual property rights relating to it and certain other PIK3CA inhibitors. Patent applications claiming a genus of PIK3CA inhibitor compounds remain jointly owned with D. E. Shaw Research. We have the first right to prepare, file, prosecute, maintain and defend patents that cover work product jointly created by D. E. Shaw Research and us. If we choose not to exercise those rights with respect to patents and patent applications that cover joint work product, D. E. Shaw Research will have the right to take over such activities, unless such rights are waived. The party that is preparing, filing, prosecuting and maintaining a patent that covers joint work product also has the right to enforce such patent against infringers. If we or D. E. Shaw Research fail to adequately protect any co-owned intellectual property, our ability to commercialize products could suffer.</w:t>
      </w:r>
    </w:p>
    <w:p>
      <w:pPr>
        <w:pStyle w:val="TextBody"/>
        <w:bidi w:val="0"/>
        <w:spacing w:before="240" w:after="283"/>
        <w:jc w:val="left"/>
        <w:rPr>
          <w:rFonts w:ascii="Times New Roman" w:hAnsi="Times New Roman"/>
          <w:sz w:val="20"/>
        </w:rPr>
      </w:pPr>
      <w:r>
        <w:rPr>
          <w:rFonts w:ascii="Times New Roman" w:hAnsi="Times New Roman"/>
          <w:b/>
          <w:i/>
          <w:color w:val="000000"/>
          <w:sz w:val="18"/>
        </w:rPr>
        <w:t>The patent position of biotechnology and pharmaceutical companies generally is highly uncertain, involves complex legal and factual questions and has in recent years been the subject of much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patent protection we require to successfully commercialize our product candidates may be unavailable or severely limited in some cases and may not adequately protect our rights or permit us to gain or keep any competitive advantage. We cannot provide any assurances that any of our pending patent applications will issue, or that any of our pending patent applications that mature into issued patents will include claims with a scope sufficient to protect our product candidates under clinical development or our other product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 As a result, our owned patent portfolio and any patent portfolio we may license in the future may not provide us with adequate and continuing patent protection sufficient to exclude others from commercializing products similar or identical to our product candidates, including generic versions of such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licensed patent rights, and in the future may license additional patent rights, to or from third parties, such as the license of our FGFR2 program, including lirafugratinib, to Elevar. These licensed patent rights may be valuable to our business, and we may not have the right to control the preparation, filing and prosecution of patent applications, or to maintain the patents, covering technology or medicines underlying such licenses. We cannot be certain that these patents and applications will be prosecuted and enforced in a manner consistent with the best interests of our business. If any such licensors or licensees fail to maintain such patents, or lose rights to those patents, the rights we have licensed may be reduced or eliminated and our right to develop and commercialize any of our products that are the subject of such licensed rights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pending patent applications, or that we were the first to file for patent protection of such inventions. As a result, the issuance, scope, validity, enforceability and commercial value of our patent rights cannot be predicted with any certainty.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product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to or from third parties. Therefore, these patents and applications may not be prosecuted and enforced in a manner consistent with the best interests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derivation, reexamination, inter parties review, post-grant review or interference proceedings challenging our patent rights or the patent rights of others from whom we have obtained licenses to such rights.</w:t>
      </w:r>
    </w:p>
    <w:p>
      <w:pPr>
        <w:pStyle w:val="TextBody"/>
        <w:bidi w:val="0"/>
        <w:spacing w:before="240" w:after="283"/>
        <w:jc w:val="left"/>
        <w:rPr>
          <w:rFonts w:ascii="Times New Roman" w:hAnsi="Times New Roman"/>
          <w:sz w:val="20"/>
        </w:rPr>
      </w:pPr>
      <w:r>
        <w:rPr>
          <w:rFonts w:ascii="Times New Roman" w:hAnsi="Times New Roman"/>
          <w:color w:val="000000"/>
          <w:sz w:val="18"/>
        </w:rPr>
        <w:t>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we may in the future be subject to claims by our former employees, collaborators, vendors, partners,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With respect to intellectual property arising in the course of our collaboration with D. E. Shaw Research, disagreements between us and D. E. Shaw Research may impact our exclusive control of intellectual property important for protecting our product candidates and proprietary position. A loss of exclusivity, in whole or in part, could allow others to compete with us and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products, without payment to us, or could limit the duration of the patent protection covering our technology and product candidates. Such challenges may also result in our inability to manufacture or commercialize our product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Even if they are unchallenged, our owned patent portfolio and any patent portfolio we may license in the future may not provide us with any meaningful protection or prevent competitors from designing around our patent claims to circumvent our owned or licensed patents by developing similar or alternative technologies or products in a non-infringing manner. For example, a third party may develop a competitive product that provides benefits similar to one or more of our product candidates but that has a different composition that falls outside the scope of our patent protection.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product candidates, which would have a material adverse effect on our business.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failure to secure trademark registrations could adversely affect our business and our ability to market our products and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trademark applications in the United States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USPTO and in corresponding foreign agencies,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business and our ability to market our products and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protect the confidentiality of our trade secrets, our business and competitive position may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trade secrets could otherwise become known or be independently discovered by our competitors. Competitors could purchase our product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products, our competitive position could be adversely affected, as could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Third parties may initiate legal proceedings alleging that we are infringing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commercial success depends upon our ability and the ability of our licensee or collaborators to develop, manufacture, market and sell our product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product candidates and technology, including interference proceedings before the USPTO. Our competitors or other third parties may assert infringement claims against us, alleging that our products or technologies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PI3K inhibitors and FGFR2 inhibitors. Some of these patent applications have already been allowed or issued, and others may issue in the future. Since these areas are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the practice of our technology. If a patent holder believes our product or product candidate infringes on its patent, the patent holder may sue us even if we have received patent protection for our technology. Moreover, we may face patent infringement claims from non-practicing entities that have no relevant product revenue and against whom our owned patent portfolio and any patent portfolio we may license in the future may thus have no deterrent effect.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are found to infringe a third party’s intellectual property rights, we could be required to obtain a license from such third party to continue developing and marketing our product candidates and technology. We may choose to obtain a license, even in the absence of an action or finding of infringement. In either case,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product candidates. In addition, we could be found liable for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If we lose a foreign patent lawsuit, alleging our infringement of a competitor’s patents, we could be prevented from marketing our products in one or more foreign countries, which would have a materially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 subject to damages resulting from claims that we or our employees have wrongfully used or disclosed alleged trade secrets of our competitors or are in breach of non-competition or non-solicitation agreements with our competitors.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product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product candidates, which would have an adverse effect on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any patents that may issue invalid. Moreover, it is also possible that prior art may exist that we are aware of but do not believe is relevant to our future patents, should they issue, but that could nevertheless be determined to render our patents invalid.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An adverse result in any litigation proceeding could put one or more of our patents at risk of being invalidated or interpreted narrowly. If a defendant were to prevail on a legal assertion of invalidity or unenforceability of our patents covering one of our product candidates, we would lose at least part, and perhaps all, of the patent protection covering such product candidate. Competing products may also be sold in other countries in which our patent coverage might not exist or be as strong.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litigation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Enforcement of Our Intellectual Property Rights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not be able to effectively enforce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 candidates, and our patents or other intellectual property rights may not be effective or sufficient to prevent them from competing.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product candidates, we cannot ensure that we will be able to initiate or maintain similar efforts in all jurisdictions in which we may wish to market our product candidates. Accordingly, our efforts to protect our intellectual property rights in such countries may be inadequate.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term of any such extension is less than we request, our competitors may obtain approval of competing products following our patent expiration, and our business, financial condition, results of operations and prospects could be materially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Third Party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need to license certain intellectual property from third parties, and such licenses may not be available or may not be available on commercially reasonable terms.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 third party may hold intellectual property, including patent rights, that are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or our business could be harmed, possibly materially. Although we believe that licenses to these patents are available from these third parties on commercially reasonable terms, if we were not able to obtain a license, or were not able to obtain a license on commercially reasonable terms, our business could be harmed, possibly materially.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our obligations in the agreements under which we collaborate with or license intellectual property rights from third parties, or otherwise experience disruptions to our business relationships with our collaborators or licensors, we could lose rights that are important to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expect our future license agreements will impose various development, diligence, commercialization, and other obligations on us in order to maintain the licenses. In spite of our efforts,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in-licenses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Any of the foregoing could have a material adverse effect on our competitive position,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Moreover, disputes may arise regarding intellectual property subject to a licensing agreement,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of rights granted under the license agreement and other interpretation-related issues;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extent to which our technology and processes infringe on intellectual property of the licensor that is not subject to the licensing agreement;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sublicensing of patent and other rights under our collaborative development relationships;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diligence obligations under the license agreement and what activities satisfy those diligence obligations;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inventorship and ownership of inventions and know-how resulting from the joint creation or use of intellectual property by our licensors and us and our partners;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priority of invention of patented technology. </w:t>
      </w:r>
    </w:p>
    <w:p>
      <w:pPr>
        <w:pStyle w:val="TextBody"/>
        <w:bidi w:val="0"/>
        <w:spacing w:before="240" w:after="283"/>
        <w:jc w:val="left"/>
        <w:rPr>
          <w:rFonts w:ascii="Times New Roman" w:hAnsi="Times New Roman"/>
          <w:sz w:val="20"/>
        </w:rPr>
      </w:pPr>
      <w:r>
        <w:rPr>
          <w:rFonts w:ascii="Times New Roman" w:hAnsi="Times New Roman"/>
          <w:color w:val="000000"/>
          <w:sz w:val="18"/>
        </w:rPr>
        <w:t>The agreements under which we may license intellectual property or technology from third parties may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and similar issues may arise with respect to our collaboration agreements, such as our DESRES Agreement, as amended. While the initial research term has ended under the DESRES Agreement, there can be no assurance that a dispute between the parties will not arise. These disputes may involve ownership or control of intellectual property rights, exclusivity obligations, diligence and payment obligations, for example.</w:t>
      </w:r>
    </w:p>
    <w:p>
      <w:pPr>
        <w:pStyle w:val="TextBody"/>
        <w:bidi w:val="0"/>
        <w:spacing w:before="240" w:after="283"/>
        <w:jc w:val="left"/>
        <w:rPr>
          <w:rFonts w:ascii="Times New Roman" w:hAnsi="Times New Roman"/>
          <w:sz w:val="20"/>
        </w:rPr>
      </w:pPr>
      <w:r>
        <w:rPr>
          <w:rFonts w:ascii="Times New Roman" w:hAnsi="Times New Roman"/>
          <w:color w:val="000000"/>
          <w:sz w:val="18"/>
        </w:rPr>
        <w:t>Under the DESRES Agreement, D. E. Shaw Research controls the rights to its technology, we control the rights to certain compounds, and we jointly own with D. E. Shaw Research any other work product created by D. E. Shaw Research and us. Any work product we jointly own with D. E. Shaw Research and any other information that we or D. E. Shaw Research share is subject to a non-exclusive cross-license between us and D. E. Shaw Research, subject to certain exceptions. In some instances, D. E. Shaw Research is required to assign to us some of the work product created by D. E. Shaw Research. Disputes may arise between us and D. E. Shaw Research, as well as any licensees or future potential collaborators, regarding intellectual property subject to the DESRES Agreement. If disputes over intellectual property that we co-own or we own individually prevent or impair our ability to maintain our current licensing or collaboration arrangements on acceptable terms, or undermine our ability to successfully control the intellectual property necessary to protect our product candidates, we may be unable to successfully develop and commercialize the affected product candidates. Uncertainties or disagreements around our rights under any such intellectual property may undermine our ability to partner our programs with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the DESRES Agreement is complex and certain provisions may be susceptible to multiple interpretations. The resolution of any contract interpretation disagreement that may arise could be adverse to us, for example by narrowing what we believe to be the scope of our rights to certain intellectual property, or increasing what we believe to be our financial or other obligations under the DESRES Agreement, and any such outcome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Intellectual Property 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Changes to the patent law in the United States and other jurisdictions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rights in our proprietary technology. Depending on future actions by the U.S. Congress, the U.S. courts, the USPTO and the relevant law-making bodies in other countries, the laws and regulations governing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patents could change in unpredictable ways that would weaken our ability to obtain new patents or to enforce any patents that we may obtain in the future.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rights do not necessarily address all potential threats.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degree of future protection afforded by our intellectual property rights is uncertain because intellectual property rights have limitations and may not adequately protect our business or permit us to maintain our competitive advantage. For example: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make the inventions covered by the issued patent or pending patent application that we license or own now or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or our licensors or collaborators, might not have been the first to file patent applications covering certain of our or their inventions;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others may independently develop similar or alternative technologies or duplicate any of our technologies without infringing our owned or licensed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it is possible that our present or future pending patent applications (whether owned or licensed) will not lead to issued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issued patents that we hold rights to may be held invalid or unenforceable, including as a result of legal challenges by our competitors or other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we may not develop additional proprietary technologies that are patentable;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patents of others may harm our business;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choose not to file a patent in order to maintain certain trade secrets or know-how, and a third party may subsequently file a patent covering such intellectual property.</w:t>
      </w:r>
    </w:p>
    <w:p>
      <w:pPr>
        <w:pStyle w:val="TextBody"/>
        <w:bidi w:val="0"/>
        <w:spacing w:before="240" w:after="283"/>
        <w:jc w:val="left"/>
        <w:rPr>
          <w:rFonts w:ascii="Times New Roman" w:hAnsi="Times New Roman"/>
          <w:sz w:val="20"/>
        </w:rPr>
      </w:pPr>
      <w:r>
        <w:rPr>
          <w:rFonts w:ascii="Times New Roman" w:hAnsi="Times New Roman"/>
          <w:color w:val="000000"/>
          <w:sz w:val="18"/>
        </w:rPr>
        <w:t>Should any of these events occur, they could have a material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Even if we receive regulatory approval for any of our product candidates, we will be subject to ongoing regulatory obligations and continued regulatory review, and our product candidates, if approved, could be subject to post-market study requirements, marketing and labeling restrictions, and even recall or market withdrawal if unanticipated safety issues are discovered following approval, which may result in significant additional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or a similar foreign regulatory authority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applicable product tracking and tracing requirements. Additionally, under FDORA, sponsors of approved drugs must provide six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restrictions on the marketing or manufacturing of the product, withdrawal of the product from the market, or voluntary or mandatory product recalls;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clinical trial holds;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fines, warning letters or other regulatory enforcement action;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refusal by the FDA to approve pending applications or supplements to approved applications filed by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product seizure or detention, or refusal to permit the import or export of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injunctions or the imposition of civil or criminal penalties. </w:t>
      </w:r>
    </w:p>
    <w:p>
      <w:pPr>
        <w:pStyle w:val="TextBody"/>
        <w:bidi w:val="0"/>
        <w:spacing w:before="240" w:after="283"/>
        <w:jc w:val="left"/>
        <w:rPr>
          <w:rFonts w:ascii="Times New Roman" w:hAnsi="Times New Roman"/>
          <w:sz w:val="20"/>
        </w:rPr>
      </w:pPr>
      <w:r>
        <w:rPr>
          <w:rFonts w:ascii="Times New Roman" w:hAnsi="Times New Roman"/>
          <w:color w:val="000000"/>
          <w:sz w:val="18"/>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approved prescription drug products. In particular, while the FDA permits the dissemination of truthful and non-misleading information about an approved product, a manufacturer may not promote a product for uses that are not approved by the FDA. If we are found to have promoted such off-label uses, we may become subject to significant liability. The federal government has levied large civil and criminal fines against companies for alleged improper promotion of regulated products for off-label uses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Data collection is governed by restrictive regulations governing the processing and cross-border transfer of personal information and we may be subject to various federal, state-specific and international privacy laws. Failure to comply with such requirements in jurisdictions or states where we may conduct ongoing or future clinical trials could have a material adverse effect on our business,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we conduct ongoing or future clinical trials, we may be subject to additional data collection and processing restrictions. 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For example, the collection, use, storage, disclosure, transfer, or other processing of personal data of individuals in the EEA, including personal health data, is subject to the GDPR. The GDPR is wide-ranging in scope and imposes numerous requirements on companies that process personal data, including requirements relating to having a legal basis for processing personal data, stricter requirements relating to the processing of sensitive data (such as health data), where required by GDPR, obtaining consent of the individuals to whom personal data relates, providing notice to the individuals to whom the personal data relates regarding data processing activities, implementing safeguards to protect the privacy and security of personal data, implementing processes to handle requests from individuals to exercise their data protection rights, maintaining records of our processing activities and to document data protection impact assessments where there is high risk processing, providing notification of data breaches in certain circumstances, and taking certain measures when engaging third-party processors or sub-processors. The GDPR focuses on accountability of controllers (such as us) and requires us to put in place all technical and organizational measures (privacy by design and by default) to ensure that we meet our obligations. Penalties under the GDPR include fines of up to €10,000,000 or 2% of our total worldwide annual revenue for certain comparatively minor offenses, or up to €20,000,000 or 4% of our total worldwide annual revenue for more serious offenses. EEA Member States have adopted implementing national laws to implement the GDPR which may partially deviate from the GDPR, and the competent authorities in the EEA Member States may interpret GDPR obligations slightly differently from country to country, so we do not expect to operate in a uniform legal landscape in the EU.</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Further to the UK’s exit from the EU on January 31, 2020, the UK incorporated the GDPR (as it existed on December 31, 2020 but subject to certain UK specific amendments) into UK law, referred to as the UK GDPR. The UK GDPR and the UK Data Protection Act 2018, or collectively, UK GDPR,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UK is recognized as providing adequate protection under the EU GDPR and, therefore, transfers of personal data originating in the EU to the UK remain unrestricted, or the UK Adequacy Decision. Likewise, the UK government has confirmed that personal data transfers from the UK to the EEA remain free flowing. The UK Government introduced a Data Protection and Digital Information Bill, or Data Protection Bill, into the UK legislative process. The aim of the Data Protection Bill was to reform the UK’s data protection regime following Brexit. The Data Protection Bill failed in the UK legislative process. A new Data (Use and Access) Bill, or the UK Bill, has been introduced into parliament. If passed, the final version of the UK Bill may have the effect of further altering the similarities between the UK and EEA data protection regime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threaten the UK Adequacy Decision from the European Commission, or EC. This may lead to additional compliance costs and could increase our overall risk. The respective provisions and enforcement of the EU GDPR and UK GDPR may further diverge in the future and create additional regulatory challenges and uncertainties.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GDPR imposes strict rules on the transfer of personal data out of the EEA and UK to the U.S. or other regions that have not been deemed to offer "adequate" privacy protections. On June 4, 2021, the EC issued new forms of standard contractual clauses, or SCCs, for data transfers from controllers or processors in the EEA (or otherwise subject to the EU GDPR) to controllers or processors established outside the EEA (and not subject to the EU GDPR). The new SCCs replace the SCCs that were adopted previously under the Data Protection Directive. The UK is not subject to the EC’s new SCCs but has published its own standard clauses, the International Data Transfer Agreement, which enables transfers from the UK. We will be required to continue implementing these safeguards in the event we use these safeguards as our basis for conducting restricted data transfers under the EU GDPR and UK GDPR and doing so may require significant effort and cost. If relying on the SCCs or UK IDTA for data transfers, we may also be required to carry out transfer impact assessments to assess whether the recipient is subject to local laws which allow public authority access to personal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July 2023, the European Commission adopted its adequacy decision for the EU-U.S. Data Privacy Framework, or the Framework, the successor of the EU-U.S. Privacy Shield framework. On the basis of the new adequacy decision, personal data can flow safely from the EU to U.S. companies participating in the Framework, without having to put in place additional data protection safeguards. There has been an extension to the Framework to cover UK and Swiss transfers to the U.S. The Framework could be challenged like its predecessor frameworks. This complexity and the additional contractual burden could increase our overall risk exposure. There may be further divergence in the future, including with regard to administrative burdens. However, the long term validity of the Framework, which has already been challenged in court, remains uncertain.</w:t>
      </w:r>
    </w:p>
    <w:p>
      <w:pPr>
        <w:pStyle w:val="TextBody"/>
        <w:bidi w:val="0"/>
        <w:spacing w:before="240" w:after="283"/>
        <w:jc w:val="left"/>
        <w:rPr>
          <w:rFonts w:ascii="Times New Roman" w:hAnsi="Times New Roman"/>
          <w:sz w:val="20"/>
        </w:rPr>
      </w:pPr>
      <w:r>
        <w:rPr>
          <w:rFonts w:ascii="Times New Roman" w:hAnsi="Times New Roman"/>
          <w:color w:val="000000"/>
          <w:sz w:val="18"/>
        </w:rPr>
        <w:t>In connection with any clinical trials in Europe, we are subject to the supervision of local data protection authorities in those jurisdictions where we are monitoring the behavior of individuals in the EEA or UK (i.e., undertaking clinical trials). If we are investigated by an EEA or UK data protection authority, we may face fines and other penalties. Any such investigation or charges by EU or UK data protection authorities could have a negative effect on our business and on our ability to commercialize our products in the future, including with EU, UK-based or multi-national pharmaceutical partners.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Further, regulators and legislators in the U.S. are increasingly scrutinizing and restricting certain personal data transfers and transactions involving foreign countries. For example, Executive Order 14117, Preventing Access to Americans’ Bulk Sensitive Personal Data and United States Government-Related Data by Countries of Concern, as implemented by Department of Justice regulations issued in December 2024,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cross-border data protection requirements, we may be subject to various privacy laws in the United States at the state and federal level. In the United States, at the state level, for example, California Consumer Privacy Act, or CCPA, imposed a comprehensive privacy framework for covered businesses, which included an expanded definition of personal information, data privacy rights for consumers in the State of California, special rules on the collection of consumer data from minors, an</w:t>
      </w:r>
      <w:r>
        <w:rPr>
          <w:rFonts w:ascii="Times New Roman" w:hAnsi="Times New Roman"/>
          <w:color w:val="000000"/>
          <w:sz w:val="20"/>
        </w:rPr>
        <w:t xml:space="preserve">d </w:t>
      </w:r>
      <w:r>
        <w:rPr>
          <w:rFonts w:ascii="Times New Roman" w:hAnsi="Times New Roman"/>
          <w:color w:val="000000"/>
          <w:sz w:val="18"/>
        </w:rPr>
        <w:t>provided substantial fines for non-compliance and, in some cases, a private right of action to consumers who are victims of data breaches involving their unredacted or unencrypted personal information. In addition, the California Privacy Rights Act, or CPRA, came into effect on January 1, 2023 and has expanded the privacy protections of the CCPA to also apply to personal information collected in a business to business capacity and from employment applicants, employees and former employees. The CPRA significantly modified the CCPA, including by expanding consumers’ rights with respect to certain sensitive personal information. The effects of the CCPA are potentially significant and may require us to modify our data collection or processing practices and policies and to incur substantial costs and expenses in an effort to comply and increase our potential exposure to regulatory enforcement and/or litigation. Furthermore, a number of other states have either proposed or enacted comprehensive consumer privacy laws similar to the CCPA, many of which vary in complexity and may be interpreted and enforced differently, thus potentially complicating our compliance efforts. In Washington, for example, the My Health My Data Act, or MHMDA, entered into force on March 31, 2024, and includes a broad private right of action. Seventeen other states passed privacy legislation, which will come into force over the next several years. While these laws generally have exceptions for protected health information that is subject to HIPAA and for information collected in the context of clinical trials, they may nevertheless impact our business activities.</w:t>
      </w:r>
    </w:p>
    <w:p>
      <w:pPr>
        <w:pStyle w:val="TextBody"/>
        <w:bidi w:val="0"/>
        <w:spacing w:before="240" w:after="283"/>
        <w:jc w:val="left"/>
        <w:rPr>
          <w:rFonts w:ascii="Times New Roman" w:hAnsi="Times New Roman"/>
          <w:sz w:val="20"/>
        </w:rPr>
      </w:pPr>
      <w:r>
        <w:rPr>
          <w:rFonts w:ascii="Times New Roman" w:hAnsi="Times New Roman"/>
          <w:color w:val="000000"/>
          <w:sz w:val="18"/>
        </w:rPr>
        <w:t>There are also states that are specifically regulating health information or other specific types of information. For example, Connecticut and Nevada have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These various privacy and security laws may impact our business activities, including our identification of research subjects, relationships with business partners and ultimately the marketing and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distribution of our product candidates, if approved.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these evolving compliance and operational requirements may impose significant costs, such as costs related to organizational changes, implementing additional data protection measures and technologies, training employees, and engaging consultants and legal advisors, which costs may be likely to increase over time. In addition, such requirements may require us to modify our data processing practices and policies, utilize management’s time, and/or divert resources from other initiatives and projects. The increasing number and complexity of regional, country, and U.S. state data protection laws, and other changes in laws or regulations across the globe, especially those associated with the enhanced protection of certain types of sensitive data, such as healthcare data or other personal information from our clinical trials, could lead to litigation or government investigations or enforcement actions and significant penalties against us and could have a material adverse effect on our business, financial condition, or results of operations.</w:t>
      </w:r>
    </w:p>
    <w:p>
      <w:pPr>
        <w:pStyle w:val="TextBody"/>
        <w:bidi w:val="0"/>
        <w:spacing w:before="240" w:after="283"/>
        <w:jc w:val="both"/>
        <w:rPr>
          <w:rFonts w:ascii="Times New Roman" w:hAnsi="Times New Roman"/>
          <w:b/>
          <w:i/>
          <w:color w:val="000000"/>
          <w:sz w:val="18"/>
        </w:rPr>
      </w:pPr>
      <w:r>
        <w:rPr>
          <w:rFonts w:ascii="Times New Roman" w:hAnsi="Times New Roman"/>
          <w:b/>
          <w:i/>
          <w:color w:val="000000"/>
          <w:sz w:val="18"/>
        </w:rPr>
        <w:t>The use of new and evolving technologies, such as artificial intelligence, in our business may result in spending material resources and presents risks and challenges that can impact our business, including by posing security and other risks to our confidential and/or proprietary information, including personal information, and, as a result, we may be exposed to reputational harm and liability.</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EU AI Act, — the world’s first comprehensive artificial intelligence law — entered into force in June 2024 and, with some exceptions, becomes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U.S., the regulatory environment is complex and uncertain. President Trump's Executive Order "Ensuring a National Policy Framework for Artificial Intelligence," effective December 11, 2025, tasks the U.S. Department of Justice with reviewing state laws regulating artificial intelligence, and instructs the Department of Commerce to develop a national artificial intelligence strategy. At the same time, several states, including Colorado and California, passed laws that regulate various facets of artificial intelligence, some of which have taken effect and will continue to take effect through 2026 and beyond. These laws address a wide range of artificial intelligence-related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artificial intelligence, and legal norms and market standards regarding artificial intelligence continue to evolve. For example, various federal and state regulators have issued guidance and focused enforcement efforts on the use of AI in regulated sectors. The FDA, for example, issued guidance on the use of artificial intelligence in medical devices, requiring detailed risk management and review processes to obtain approvals. In the future, if we develop or use artificial intelligence systems that are governed by the EU AI Act or any other artificial intelligence legislation in effect, it may necessitate ensuring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18"/>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similar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product candidate must be approved for reimbursement before it can be approved for sale in that jurisdiction. In some cases, the price that we may intend to charge for our products will also be subject to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In connection with the clinical development of our product candidates for certain indications, we have previously engaged and may in the future engage third parties to develop or obtain access to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diagnostic tests to identify patient subsets within a disease category who may derive selective and meaningful benefit from our product candidates. The FDA has indicated that if we continue zovegalisib in a specific biomarker-defined population, a companion diagnostic device will be required to ensure its safe and effective use. Such companion diagnostics would be used during our clinical trials as well as in connection with the commercialization of our product candidates. To be successful, we or our collaborators will need to address a number of scientific, technical, regulatory and logistical challenges. The FDA and similar foreign regulatory authorities regulate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as medical devices and, under that regulatory framework, will likely require the conduct of clinical trials to demonstrate the safety and effectiveness of any diagnostics we may develop, which we expect will require separate regulatory clearance or approval prior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intend to rely on third parties for the design, development and manufacture of companion diagnostic tests for our therapeutic product candidates that may require such tests. In connection with such collaborative agreements, we will be dependent on the sustained cooperation and effort of our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collaborators may encounter difficulties in developing, obtaining regulatory approval for, manufacturing and commercializing companion diagnostics similar to those we face with respect to our therapeutic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of these therapeutic product candidates may be adversely affected, these therapeutic product candidates may not obtain marketing approval, and we may not realize the full commercial potential of any of these therapeutics that obtain marketing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Existing regulatory policies may change, and additional government regulations may be enacted that could prevent, limit or delay regulatory approval of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2024, the U.S. Supreme Court overruled the Chevron doctrine, which gives deference to regulatory agencies’ statutory interpretations in litigation against federal government agencies, such as the FDA, where the law is ambiguous. This decision may result in more lawsuits against the FDA to challenge longstanding decisions and policies of the FDA,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Anti-bribery, Anti-corruption and Other Government Regulations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Laws and regulations governing any international operations we may have in the future may preclude us from developing, manufacturing and selling certain products outside of the United States and require us to develop and implement costly compliance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are subject to certain U.S. and foreign anti-corruption, anti-money laundering, export control, sanctions, and other trade laws and regulations. We can face serious consequences for violations.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engaged and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Although we do not currently have any products on the market, if we begin commercializing our product candidates, we will be subject to additional healthcare statutory and regulatory requirements and enforcement by the federal government and the states and governments of foreign jurisdictions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See </w:t>
      </w:r>
      <w:r>
        <w:rPr>
          <w:rFonts w:ascii="Times New Roman" w:hAnsi="Times New Roman"/>
          <w:i/>
          <w:color w:val="000000"/>
          <w:sz w:val="18"/>
        </w:rPr>
        <w:t>"Business – Government Regulation – Other Healthcare Laws."</w:t>
      </w:r>
    </w:p>
    <w:p>
      <w:pPr>
        <w:pStyle w:val="TextBody"/>
        <w:bidi w:val="0"/>
        <w:spacing w:before="240" w:after="283"/>
        <w:jc w:val="left"/>
        <w:rPr>
          <w:rFonts w:ascii="Times New Roman" w:hAnsi="Times New Roman"/>
          <w:sz w:val="20"/>
        </w:rPr>
      </w:pPr>
      <w:r>
        <w:rPr>
          <w:rFonts w:ascii="Times New Roman" w:hAnsi="Times New Roman"/>
          <w:color w:val="000000"/>
          <w:sz w:val="18"/>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individual imprisonment, reputational harm, exclusion from government funded healthcare programs, such as Medicare and Medicaid,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may be subject to criminal, civil or administrative sanctions, including exclusions from government funded healthcare programs and imprisonment. If any of the above occur, our ability to operate our business and our results of operations could be adversely affected.</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Regulatory Review of Certain Drug Development Designations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priority review designation for one or more of our product candidates, but we might not receive such designation, and even if we do, such designation may not lead to a faster regulatory review or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orphan drug designation for certain of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Similarly, in the EU, the European Commission, upon the recommendation of the EMA’s Committee for Orphan Medicinal Products, grants orphan designation in respect of a product if it can be shown that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the necessary investment in its development; and (3) there exists no satisfactory method of diagnosis, prevention or treatment of such condition authorized for marketing in the EU, or if such a method exists, the product will be of significant benefit to those affected by the condition. In the EU, orphan designation entitles a party to financial incentives such as reduction of fees or fee waivers.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Generally, if a drug with an orphan drug designation subsequently receives the first marketing approval for the indication for which it has such designation, the drug is entitled to a period of marketing exclusivity, which precludes the FDA or the EMA from approving another marketing application for the same drug and approved use or indication for that time period, except in limited circumstances. The applicable period is seven years in the United States and ten years in the EU. The EU exclusivity period can be reduced to six years if, at the end of the fifth year, it is established that a product no longer meets the criteria for orphan designation, including if the product is sufficiently profitable so that market exclusivity is no longer justified. The European Commission introduced a legislative proposal in April 2023 that, if implemented, could reduce the current ten-year marketing exclusivity period in the EU for certain orphan medicines.</w:t>
      </w:r>
    </w:p>
    <w:p>
      <w:pPr>
        <w:pStyle w:val="TextBody"/>
        <w:bidi w:val="0"/>
        <w:spacing w:before="240" w:after="283"/>
        <w:jc w:val="left"/>
        <w:rPr>
          <w:rFonts w:ascii="Times New Roman" w:hAnsi="Times New Roman"/>
          <w:sz w:val="20"/>
        </w:rPr>
      </w:pPr>
      <w:r>
        <w:rPr>
          <w:rFonts w:ascii="Times New Roman" w:hAnsi="Times New Roman"/>
          <w:color w:val="000000"/>
          <w:sz w:val="18"/>
        </w:rPr>
        <w:t>Even if we obtain orphan drug exclusivity for a drug, that exclusivity may not effectively protect the drug from competition because different drugs can be approved for the same approved use or indication. Even after an orphan drug is approved, the FDA can subsequently approve a later drug for the same approved use or indication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 if another drug with the same active moiety is determined to be safer, more effective, or represents a major contribution to patient care. Orphan drug designation neither shortens the development time or regulatory review time of a drug nor gives the drug any advantage in the regulatory review or approval process. While we may seek orphan drug designation for certain of our product candidates, we may never receive such designations. Even if we do receive such designations, there is no guarantee that we will enjoy the benefits of those designations. In addition, the FDA may further reevaluate the Orphan Drug Act and its regulations and policies. We do not know if, when, or how the FDA may change the orphan drug regulations and policies in the future, and it is uncertain how 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changes might affect our business. Depending on what changes the FDA may make to its orphan drug regulations and policies, our business could be adversely impacted.</w:t>
      </w:r>
    </w:p>
    <w:p>
      <w:pPr>
        <w:pStyle w:val="TextBody"/>
        <w:bidi w:val="0"/>
        <w:spacing w:before="240" w:after="283"/>
        <w:jc w:val="left"/>
        <w:rPr>
          <w:rFonts w:ascii="Times New Roman" w:hAnsi="Times New Roman"/>
          <w:sz w:val="20"/>
        </w:rPr>
      </w:pPr>
      <w:r>
        <w:rPr>
          <w:rFonts w:ascii="Times New Roman" w:hAnsi="Times New Roman"/>
          <w:b/>
          <w:i/>
          <w:color w:val="000000"/>
          <w:sz w:val="18"/>
        </w:rPr>
        <w:t>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 We may also seek a breakthrough therapy designation for some of our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fast track designation for some of our product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may seek approval of our product candidates, where applicable, under the FDA's accelerated approval pathway. This pathway, even if granted for any of our current or future product candidates, may not lead to a faster development or regulatory review or approval process and it does not increase the likelihood that our product candidates will receive marketing approval in the United States.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seek accelerated approval of our current and/or future product candidates.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If granted, accelerated approval is usually contingent on the sponsor’s agreement to conduct, in a diligent manner, additional post-approval confirmatory studies to verify and describe the drug’s clinical benefit.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do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We may seek approval of one or more of our product candidates into real-time oncology review, or RTOR. This program may not lead to a faster regulatory review or approval process and does not increase the likelihood that our product candidate(s) will receive marketing approval.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Participation in RTOR is voluntary. Our acceptance into RTOR does not guarantee or influence approval of our application, which is subject to the same statutory and regulatory requirements for approval as applications that are not included in RTOR. Although early approvals have occurred with applications selected for RTOR, this may not be the case for our application even if it is selected for RTOR. If at any time the FDA determines our participation in RTOR, if selected, is no longer appropriate, the FDA may rescind our acceptance and instruct us to follow routine submission procedures for marketing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Healthcare Legislative Reform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FDA, the EMA and other regulatory authorities may implement additional regulations or restrictions on the development and commercialization of our product candidates, and such changes can be difficult to predict.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Healthcare legislative reform measures may have a material adverse effect on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United States and many foreign jurisdictions have enacted or proposed legislative and regulatory changes affecting the healthcare system that could prevent or delay marketing approval of our current or future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w:t>
      </w:r>
      <w:r>
        <w:rPr>
          <w:rFonts w:ascii="Times New Roman" w:hAnsi="Times New Roman"/>
          <w:i/>
          <w:color w:val="000000"/>
          <w:sz w:val="18"/>
        </w:rPr>
        <w:t>Business – Governmental Regulation – Current and future healthcare reform legislation.</w:t>
      </w:r>
      <w:r>
        <w:rPr>
          <w:rFonts w:ascii="Times New Roman" w:hAnsi="Times New Roman"/>
          <w:color w:val="000000"/>
          <w:sz w:val="18"/>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 in light of the higher proportion of SCD patients that utilize Medicare and Medicaid programs to pay for treatments. 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2022, the Inflation Reduction Act of 2022, or the IRA, was signed into law. The IRA includes several provisions that may impact our business, depending on how various aspects of the IRA are implemented. Provisions that may impact our business include a $2,000 out-of-pocket cap for Medicare Part D beneficiaries, the imposition of new manufacturer financial liability on most drugs in Medicare Part D, permitting the U.S. government to negotiate Medicare Part B and Part D pricing for certain high-cost drugs and biologics without generic or biosimilar competition, requiring companies to pay rebates to Medicare for drug prices that increase faster than inflation, and delaying until January 1, 2032 the implementation of the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One Big Beautiful Bill Act of 2025, this restriction was eliminated; and effective for the 2028 initial price applicability year, all orphan drugs, regardless of the number of orphan drug designations or indications, are exempt from the Medicare drug price negotiation program. The implementation of the IRA is currently subject to ongoing litigation challenging the constitutionality of the IRA’s Medicare drug price negotiation program. Although the effects of the IRA on our business and the healthcare industry in general are not yet known, we are taking into consideration the potential impact of the IRA on our development and commercialization activities.</w:t>
      </w:r>
    </w:p>
    <w:p>
      <w:pPr>
        <w:pStyle w:val="TextBody"/>
        <w:bidi w:val="0"/>
        <w:spacing w:before="240" w:after="283"/>
        <w:jc w:val="left"/>
        <w:rPr>
          <w:rFonts w:ascii="Times New Roman" w:hAnsi="Times New Roman"/>
          <w:sz w:val="20"/>
        </w:rPr>
      </w:pPr>
      <w:r>
        <w:rPr>
          <w:rFonts w:ascii="Times New Roman" w:hAnsi="Times New Roman"/>
          <w:color w:val="000000"/>
          <w:sz w:val="18"/>
        </w:rPr>
        <w:t>On April 15, 2025, the Trump administration published Executive Order 14273, “Lowering Drug Prices by Once Again Putting Americans First,” which generally directs the federal government to take measures to reduce drug prices, including eliminating the so-called “pill penalty” under the IRA that creates a distinction between small molecule and large molecule products for purposes of determining when a drug may be eligible for drug price negotiation. On May 12, 2025, the Trump administration published Executive Order 14297, “Delivering Most-Favored-Nation Prescription Drug Pricing to American Patients” which generally, among other things, directs the federal government to establish and communicate most-favored-nation price targets to pharmaceutical manufacturers to bring prices for American patients in line with comparably developed nations. Further, the Executive Order directs the federal government to support regulatory paths to allow direct-to-patient sales for companies that meet these targets. It also states that the Trump administration will take additional aggressive action (for example, examining whether marketing approvals should be modified or rescinded or opening the door for individual drug importation waivers) should manufacturers fail to offer American consumers the most-favored-nation lowest price. It also directs the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Secretary of Commerce and the U.S. Trade Representative to “take all necessary and appropriate action to ensure foreign countries are not engaged in any act, policy, or practice that may be unreasonable or discriminatory or that may impair United States national security . . . including by suppressing the price of pharmaceutical products below fair market value in foreign countries.” Notably, a similar Most Favored Nation, or MFN, pricing rule enacted under the first Trump administration was subject to an injunction resulting from judicial challenges to the rule, which was formally rescinded by the former Biden administration in August 2021.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December 19, 2025, CMS released two proposed rules that would incorporate MFN pricing principles into federal reimbursement for prescription drugs. The first proposal, the Global Benchmark for Efficient Drug Pricing Model, or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or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or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demand for our current or future product candidates, if we obtain regulatory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set a price that we believe is fair for our products;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obtain coverage and reimbursement approval for a product;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generate revenue and achieve or maintain profitability;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level of taxes that we are required to pay;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availability of capital.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sz w:val="20"/>
        </w:rPr>
      </w:pPr>
      <w:r>
        <w:rPr>
          <w:rFonts w:ascii="Times New Roman" w:hAnsi="Times New Roman"/>
          <w:b/>
          <w:i/>
          <w:color w:val="000000"/>
          <w:sz w:val="18"/>
        </w:rPr>
        <w:t>Recent federal legislation and actions by federal, state and local governments may permit reimportation of drugs from foreign countries into the United States, including foreign countries where the drugs are sold at lower prices than in the United States, which could materially adversely affect our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may face competition in the United States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On January 5, 2024, the FDA issued to Florida the first approval for a state importation plan. Several states now have pending applications with the FDA, including Colorado, Maine, New Hampshire, and New Mexico. If successfully implemented, importation of drugs from Canada may materially and adversely affect the price we receive for any of our product candidates. Legislation or regulations allowing the reimportation of drugs, if enacted, could decrease the price we receive for any products that we may develop and adversely affect our future revenues and prospects for profitability.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the Regulatory Agency Review Process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Disruptions at the FDA, the SEC and other government agencies caused by funding shortages or global health concerns, in addition to substantial uncertainty regarding the Trump administration’s initiatives and staffing cuts and how these might impact the FDA, its implementation of laws, regulations, policies and guidance, and its personnel,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global health concerns,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240" w:after="283"/>
        <w:jc w:val="left"/>
        <w:rPr>
          <w:rFonts w:ascii="Times New Roman" w:hAnsi="Times New Roman"/>
          <w:sz w:val="20"/>
        </w:rPr>
      </w:pPr>
      <w:r>
        <w:rPr>
          <w:rFonts w:ascii="Times New Roman" w:hAnsi="Times New Roman"/>
          <w:color w:val="000000"/>
          <w:sz w:val="18"/>
        </w:rPr>
        <w:t>Disruptions at the FDA and other agencies, including leadership departures, personnel cuts, and policy changes, may also slow the time necessary for new drugs to be reviewed and/or approved by necessary government agencies, which would adversely affect our business. Changes and cuts in FDA staffing have been reported within the pharmaceutical industry as creating instances of delays in the FDA’s responsiveness or in its ability to review investigational new drug, or IND, submissions or applications, issue regulations or guidance, or implement or enforce regulatory requirements in a timely fashion or at all. For example, over the last several years the U.S. government has shut down several times such as in October 2025 and certain regulatory agencies, such as the FDA and the SEC, have had to furlough critical government employees and stop critical activities. A prolonged government shutdown, significant leadership, personnel, and/or policy changes, or substantial modification in agency activities (including due to global health concerns or geopolitical factors) could significantly impact the ability of the FDA or other regulatory authorities to conduct their regular inspections, reviews, or other regulatory activities. A prolonged shutdown could significantly impact the ability of the FDA to timely review and process our regulatory submissions, which could have a material adverse effect on our business, including INDs placed on clinical holds or delayed new drug approvals. Further, in our operations as a public company, future government shutdowns could impact our ability to access the public markets and obtain necessary capital in order to properly capitalize and continue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With the changes being implemented by the Trump administration beginning in 2025, there is substantial uncertainty as to the extent and how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Some of these efforts have manifested to date in the form of personnel cuts and measures that could impact the FDA’s ability to hire and retain key personnel, which could result in delays or limitations on our ability to obtain guidance from the FDA on our product candidates in development and obtain the requisite regulatory approvals in the future. There remains general uncertainty regarding future activities. The Trump administration could issue or promulgate executive orders, regulations, policies or guidance that adversely affect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become negatively impacted by future governmental orders, regulations, policies or guidance as a result of the Trump administration, there could be a material adverse effect on us and our business.</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Employee Matters and Managing Growth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Employee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future success depends on our ability to retain key executives and experienced scientific and clinical personnel to attract, retain and motivate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highly dependent on the research and development, clinical and business development expertise of the principal members of our management, scientific and clinical team. Although we have entered into employment letter agreements with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business strategy will be limited.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employees, principal investigators, CROs and consultants may engage in misconduct or other improper activities, including non-compliance with regulatory standards and requirements and insider trading.</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or other nonclinical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The increasing use of social media platforms presents risks and challenges.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and our employees utilize social media tools as a means of communication externally. Despite our efforts to monitor evolving social media communication guidelines and comply with applicable rules, there is risk that the use of social media by us or our employees to communicate about our product candidates, operations, or business may cause us to be found in violation of applicable legal or contractual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collaboration partners, and others, and which could have an adverse effect on our business, financial conditions, and results of operations. Furthermore, negative posts or comments about us or our product candidates in social media could seriously damage our reputation, brand image, and goodwill.</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our product candidates under an expanded access policy, our reputation may be negatively affected and our business may be harmed.</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Environmental, social, and governance matters may impact our business and reputation.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to the changing rules and regulations related to environmental, social and governance, or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may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or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Growth and Acquisitions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expect to expand our development and regulatory capabilities in the future and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had 192 full-time employees. In the future, we expect to experience significant growth in the number of our employees and the scope of our operations, particularly in the areas of pharmaceutical and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Our acquisitions expose us to risks that could adversely affect our business, and we may not achieve the anticipated benefits of acquisitions of businesses or technologies.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a part of our business strategy, we may make selected acquisitions of complementary products and/or businesses. Any acquisition involves numerous risks and operational, financial, and managerial challenges, including the following, any of which could adversely affect our business, financial condition, or results of operations: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difficulties in integrating new operations, technologies, products, and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challenges maintaining uniform procedures, controls and policies with respect to our financial accounting systems;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lack of synergies or the inability to realize expected synergies and cost-savings;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underperformance of any acquired technology, product, or business relative to our expectations and the price we paid;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negative near-term impacts on financial results after an acquisition, including acquisition-related earnings charges;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potential loss of key employees, customers, and strategic partners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claims by terminated employees and shareholders of acquired companies or other third parties related to the transaction;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assumption or incurrence of additional debt obligations or expenses, or use of substantial portions of our cash;</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that dilute the ownership of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issuance of equity securities to finance or as consideration for any acquisitions may not be an option if the price of our common stock is low or volatile which could preclude us from completing any such acquisitions;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collaboration, strategic alliance and licensing arrangement may require us to relinquish valuable rights to our technologies or product candidates, or grant licenses on terms that are not favorable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diversion of management’s attention and company resources from existing operations of the business;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inconsistencies in standards, controls, procedures, and policies;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impairment of intangible assets as a result of technological advancements, or worse-than-expected performance of acquired companies;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assumption of, or exposure to, historical liabilities of the acquired business, including unknown contingent or similar liabilities that are difficult to identify or accurately quantify;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risks associated with acquiring intellectual property, including potential disputes regarding acquired companies’ intellectual property.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addition, the successful integration of acquired businesses requires significant efforts and expense across all operational areas. There can be no assurance that any of the acquisitions we may make will be successful or will be, or will remain, profitable. Our failure to successfully address the foregoing risks may prevent us from achieving the anticipated benefits from any acquisition in a reasonable time frame, or at all.</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Business Disruptions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internal information technology systems, or those of our third-party collaborators and/or partners, may fail or suffer cybersecurity breaches,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integrity, and availability of such information. We also have outsourced elements of our operations to third parties, and as a result we collaborate with a number of third-party CROs, vendors, and other contractors and consultants who have access to our confidential information.</w:t>
      </w:r>
    </w:p>
    <w:p>
      <w:pPr>
        <w:pStyle w:val="TextBody"/>
        <w:bidi w:val="0"/>
        <w:spacing w:before="240" w:after="283"/>
        <w:jc w:val="left"/>
        <w:rPr>
          <w:rFonts w:ascii="Times New Roman" w:hAnsi="Times New Roman"/>
          <w:sz w:val="20"/>
        </w:rPr>
      </w:pPr>
      <w:r>
        <w:rPr>
          <w:rFonts w:ascii="Times New Roman" w:hAnsi="Times New Roman"/>
          <w:color w:val="000000"/>
          <w:sz w:val="18"/>
        </w:rPr>
        <w:t>We have implemented and maintain a cybersecurity risk management program that includes processes for the identification, assessment and mitigation of cybersecurity risks. Due to the size and complexity and the increasing amounts of confidential information that are maintained, our internal information technology systems and infrastructure and those of our third-party CROs, vendors and other contractors and consultants are potentially vulnerable to breakdown or other damage, service interruptions, system malfunction, natural disasters, terrorism and telecommunication and electrical failures, as well as cyber-attacks or security compromises, cybersecurity incidents, or data breaches from inadvertent or intentional actions by our employees, third-party CROs, vendors, contractors, consultants and/or third parties with whom we do business, or from cyber-attacks or security compromises, incidents, or data breaches by malicious third parties (including the deployment of harmful malware, ransomware, digital extortion, denial-of-service attacks, supply chain attacks, social engineering (including phishing attacks) and business email compromises, and other means to affect service reliability and threaten the confidentiality, integrity, availability, and security of systems, infrastructure or information), which may compromise our systems and infrastructure or those of our partners, third-party CROs, vendors, contractors, consultants and/or third parties with whom we do business, or lead to data leakage or compromise. If such an event were to occur, it could result in legal claims or proceedings, liability or financial loss under laws that protect the privacy of personal information, damage to our reputation, and interruptions in our operations, which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similar events relating to the information technology systems of our third-party collaborators who we rely on for the manufacture of our product candidates and to conduct clinical trials could also have a material adverse effect on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risk of a cybersecurity incident, breach or disruption, particularly through cyber-attacks or cyber intrusion, including by computer hackers, insider threats, foreign governments, and cyber threat actors, has generally increased as the frequency, persistence, intensity and sophistication of attempted attacks and intrusions from around the world have increased.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insider threats and outside groups such as external service providers, organized crime affiliates, terrorist organizations or hostile foreign governments or agencies, or generated using artificial intelligence. In addition, changes in how our employees work and access our systems, which began during the COVID-19 pandemic and continue today, when part of our workforce is working remotely, could also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lead to opportunities for bad actors to launch cyber-attacks or for employees to cause inadvertent or intentional security risks or incidents. The prevalent use of mobile devices also increases the risk of data security incidents.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also subject to legal obligations concerning cyber security. For example, as a company handling employee information of individuals who reside in Massachusetts, we are required to comply with the Massachusetts Data Security Regulations (201 CMR 17.00), which require the development and implementation of a Comprehensive Written Information Security Program and the maintenance of specific information security protections.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While we have not directly experienced any material system failure, accident or cybersecurity incident or breach to date, like others in our industry we and our vendors have experienced, and may in the future continue to experience, threats and cybersecurity incidents and other attempts to disrupt or gain unauthorized access to our and our third-party vendors’ information systems. We cannot guarantee that our data protection efforts and our investment in information technology will prevent significant breakdowns, data leakages, or cybersecurity incidents or breaches in or compromises of our systems or those of third-party CROs, vendors, contractors, consultants and/or third parties with whom we do business. Our contracts may not contain limitations of liability, and even where they do, there can be no assurance that limitations of liability in our contracts are sufficient to protect us from liabilities, damages, or claims related to our privacy and data security obligations. Further, although we maintain liability insurance at levels that we believe are appropriate for our business, we cannot assure our investors that it will be sufficient in type or amount to cover us against all claims related to security compromises or breaches, cyberattacks and other related breaches. To the extent that any disruption or security compromises, cybersecurity incident, or data breach were to result in a loss of, or damage to, our systems, infrastructure, data or applications, or inappropriate disclosure of confidential or proprietary information, we could incur liability, our competitive position could be harmed, the further development and commercialization of our product candidates or any future product candidates could be hindered or delayed, we could be required to expend significant amounts of money and other resources to repair, remediate, or replace our information systems or networks, the market perception of the effectiveness of our security measures could be harmed and our reputation and credibility could be damaged. Furthermore, any failure or perceived failure by us or any third-party collaborators, service providers, contractors or consultants to comply with our privacy, confidentiality, data security or similar obligations to third parties, or any cybersecurity incidents or data breaches that result in the unauthorized access, use, acquisition, disclosure, release or transfer of confidential or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cybersecurity incidents and data breaches can be difficult to detect, and any delay in identifying or remediating them may lead to increased harm. While we have implemented data security measures intended to protect our information technology systems and infrastructure, there can be no assurance that such measures will successfully prevent service interruptions, or cybersecurity incidents, or data breaches.</w:t>
      </w:r>
    </w:p>
    <w:p>
      <w:pPr>
        <w:pStyle w:val="TextBody"/>
        <w:bidi w:val="0"/>
        <w:spacing w:before="240" w:after="283"/>
        <w:jc w:val="left"/>
        <w:rPr>
          <w:rFonts w:ascii="Times New Roman" w:hAnsi="Times New Roman"/>
          <w:sz w:val="20"/>
        </w:rPr>
      </w:pPr>
      <w:r>
        <w:rPr>
          <w:rFonts w:ascii="Times New Roman" w:hAnsi="Times New Roman"/>
          <w:b/>
          <w:i/>
          <w:color w:val="000000"/>
          <w:sz w:val="18"/>
        </w:rPr>
        <w:t>If we fail to comply with applicable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Compliance with applicable environmental, health and safety laws and regulations is expensive, and current or future environmental regulations may impair our business, prospects,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current operations are located in Massachusetts; however, we rely on third parties, including those that are located outside the United States, and we or the third parties upon whom we depend may be adversely affected by natural disasters or other unplanned events and our business continuity and disaster recovery plans may not adequately protect us from a serious disaster.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current operations are located in Massachusetts. Any unplanned event, such as flood, fire, explosion, earthquake, extreme weather condition, medical epidemics, geopolitical conflicts, power shortage, telecommunication failure or other natural or man-made accidents or incidents that result in us being unable to fully utilize our facilities, or the facilities of our third-party contract manufacturers or CROs,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Natural disasters or pandemics similar to the COVID-19 pandemic could disrupt our operations and have a material and adverse effect on our business, financial condition, results of operations and prospects. If a natural disaster, power outage or other event occurred that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prevented us from using all or a significant portion of our headquarters, that damaged critical infrastructure, such as our research facilities or the facilities of our third-party contract manufacturers or CROs,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our investors that the amounts of insurance will be sufficient to satisfy any damages and losses. If our facilities or the facilities of our third-party contract manufacturers or CROs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Risks Related to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Trading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The trading price of our common stock historically has been volatile, which may affect the price at which you could sell any shares of our common stock. Securities class action or other litigation involving our company or members of our management team could also substantially harm our business, 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market price for our common stock historically has been volatile and could continue to be subject to wide fluctuations in response to various factors. Since shares of our common stock were sold in our initial public offering, or IPO, in July 2020 at a price of $20.00 per share, our stock price has fluctuated significantly, ranging from an intraday low of $1.78 to an intraday high of $64.37 through February 20, 2026. This volatility may affect the price at which you could resell the common stock. Our stock price is likely to continue to be volatile and subject to significant price and volume fluctuations in response to market and other factors, including the factors described below. The stock market in general and Nasdaq and the market for biopharmaceutical companies in particular, have experienced extreme volatility that has often been unrelated or disproportionate to the operating performance of these companies.</w:t>
      </w:r>
    </w:p>
    <w:p>
      <w:pPr>
        <w:pStyle w:val="TextBody"/>
        <w:bidi w:val="0"/>
        <w:spacing w:before="240" w:after="283"/>
        <w:jc w:val="left"/>
        <w:rPr>
          <w:rFonts w:ascii="Times New Roman" w:hAnsi="Times New Roman"/>
          <w:sz w:val="20"/>
        </w:rPr>
      </w:pPr>
      <w:r>
        <w:rPr>
          <w:rFonts w:ascii="Times New Roman" w:hAnsi="Times New Roman"/>
          <w:color w:val="000000"/>
          <w:sz w:val="18"/>
        </w:rPr>
        <w:t>The market price for our common stock may be influenced by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competitive products or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results of clinical trials of our product candidates or those of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developments or disputes concerning patent applications, issued patents or other proprietary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recruitment or departure of key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level of expenses related to any of our product candidates or clinical development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results of our efforts to discover, develop, acquire or in-license additional product candidates or products;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actual or anticipated changes in estimates as to financial results, development timelines or recommendations by securities analysts;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sales of a substantial number of shares of our common stock in the public market, or the perception in the market that the holders of a large number of shares intend to sell shares;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variations in our financial results or those of companies that are perceived to be similar to us;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changes in the structure of healthcare payment systems;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other factors described in this "Risk Factors" section.</w:t>
      </w:r>
    </w:p>
    <w:p>
      <w:pPr>
        <w:pStyle w:val="TextBody"/>
        <w:bidi w:val="0"/>
        <w:spacing w:before="240" w:after="283"/>
        <w:jc w:val="left"/>
        <w:rPr>
          <w:rFonts w:ascii="Times New Roman" w:hAnsi="Times New Roman"/>
          <w:sz w:val="20"/>
        </w:rPr>
      </w:pPr>
      <w:r>
        <w:rPr>
          <w:rFonts w:ascii="Times New Roman" w:hAnsi="Times New Roman"/>
          <w:color w:val="000000"/>
          <w:sz w:val="18"/>
        </w:rPr>
        <w:t>In the past, companies that have experienced volatility in the market price of their stock have been subject to securities class action litigation. We have been the target of and may in the future be the target of litigation brought by our stockholders. The outcome of such</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pending and potential litigation is uncertain. If any of our stockholders were to bring a lawsuit against us, even if the lawsuit is without merit, we could incur substantial costs defending the lawsuit. Although the results of lawsuits and claims cannot be predicted with certainty, defending against such claims could be costly and divert our management’s attention from other business concerns, which could seriously harm our business. Any litigation to which we become a party may result in an onerous or unfavorable judgment, or may be resolved with a monetary payment.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An active trading market for our common stock may not be sustained.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 and may impair our ability to acquire other companies or technologies by using our shares as consideration.</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Dividends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Because we do not anticipate paying any cash dividends on our capital stock in the foreseeable future, capital appreciation, if any, will be your sole source of gain.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General Risk Factors</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Insider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executive officers, directors, principal stockholders and their affiliates exercise significant control over our company, which will limit your ability to influence corporate matters and could delay or prevent a change in corporate control.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holdings of our executive officers, directors, principal stockholders and their affiliates, represented beneficial ownership, in the aggregate, of approximately 55.4% of our outstanding common stock. As a result, these stockholders, if they act together, will be able to influence our management and affairs and control the outcome of matters submitted to our stockholders for approval, including the election of directors and any sale, merger, consolidation, or sale of all or substantially all of our assets. These stockholders may have interests, with respect to their common stock, that are different from those of our public market investors and the concentration of voting power among these stockholders may have an adverse effect on the price of our common stock. In addition, this concentration of ownership might adversely affect the market price of our common stock by:</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delaying, deferring or preventing a change of control of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impeding a merger, consolidation, takeover or other business combination involving us;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discouraging a potential acquirer from making a tender offer or otherwise attempting to obtain control of us.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Tax</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Section 382 of the Internal Revenue Code of 1986, as amended, or the IRC,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experience ownership changes in the future as a result of subsequent shifts in our stock ownership. As of December 31, 2025, we had federal net operating loss carryforwards of approximately $923.9 million, and our ability to utilize those net operating loss carryforwards could be limited by an "ownership change" as described above.</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Tax reform legislation could adversely affect our business and financial condition.</w:t>
      </w:r>
    </w:p>
    <w:p>
      <w:pPr>
        <w:pStyle w:val="TextBody"/>
        <w:bidi w:val="0"/>
        <w:spacing w:before="240" w:after="283"/>
        <w:jc w:val="left"/>
        <w:rPr>
          <w:rFonts w:ascii="Times New Roman" w:hAnsi="Times New Roman"/>
          <w:sz w:val="20"/>
        </w:rPr>
      </w:pPr>
      <w:r>
        <w:rPr>
          <w:rFonts w:ascii="Times New Roman" w:hAnsi="Times New Roman"/>
          <w:color w:val="000000"/>
          <w:sz w:val="18"/>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Future changes in tax laws could have a material adverse effect on our business, cash flow, financial condition or results of operations.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 You are urged to consult your tax advisor regarding the implications of potential changes in tax laws on an investment in our common stock.</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Operating as a Public Company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We have incurred and will continue to incur significant costs as a result of operating as a public company, and our management has devoted and will continue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a public company, we have incurred and expect to incur significant legal, accounting and other expenses.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may continue to increase our legal and financial compliance costs and will make some activities more time-consuming and costly.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Section 404 of the Sarbanes-Oxley Act of 2002, or Section 404, we are required to furnish a report by our management on our internal control over financial reporting. We are required to include with our annual reports an attestation report on internal control over financial reporting issued by our independent registered public accounting firm.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This could result in an adverse reaction in the financial markets due to a loss of confidence in the reliability of our financial statements. In addition, if we are not able to continue to meet these requirements, we may not be able to remain listed on Nasdaq.</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Our Charter and Bylaws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fourth amended and restated certificate of incorporation, as amended, the Certificate of Incorporation, and our amended and restated bylaws, as amended, the Bylaws, contain provisions that could delay or prevent a change of control of our company or changes in our board of directors that our stockholders might consider favorable. Some of these provisions include: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board of directors divided into three classes serving staggered three-year terms, such that not all members of the board will be elected at one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prohibition on stockholder action through written consent, which requires that all stockholder actions be taken at a meeting of our stockholders;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advance notice requirements for stockholder proposals and nominations for election to our board of directors;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that no member of our board of directors may be removed from office by our stockholders except for cause and, in addition to any other vote required by law, upon the approval of not less than two-thirds (2/3) of all outstanding shares of our voting stock then entitled to vote in the election of directors;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authority of the board of directors to issue preferred stock on terms determined by the board of directors without stockholder approval, which preferred stock may include rights superior to the rights of the holders of common stock. </w:t>
      </w:r>
    </w:p>
    <w:p>
      <w:pPr>
        <w:pStyle w:val="TextBody"/>
        <w:bidi w:val="0"/>
        <w:spacing w:before="240" w:after="283"/>
        <w:jc w:val="left"/>
        <w:rPr>
          <w:rFonts w:ascii="Times New Roman" w:hAnsi="Times New Roman"/>
          <w:sz w:val="20"/>
        </w:rPr>
      </w:pPr>
      <w:r>
        <w:rPr>
          <w:rFonts w:ascii="Times New Roman" w:hAnsi="Times New Roman"/>
          <w:color w:val="000000"/>
          <w:sz w:val="18"/>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Our Bylaws designate specific courts as the exclusive forum for certain litigation that may be initiated by our stockholders,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Pursuant to our Bylaws, unless we consent in writing to the selection of an alternative forum, the Court of Chancery of the State of Delaware is the sole and exclusive forum for any state law claims for (1) any derivative action or proceeding brought on our behalf; (2) any action asserting a claim of or based on a breach of a fiduciary duty owed by any director, officer or other employee of ours to us or our stockholders; (3) any action asserting a claim pursuant to any provision of the Delaware General Corporation Law, our Certificate of Incorporation or our Bylaws; or (4) any action asserting a claim governed by the internal affairs doctrine, or the Delaware Forum Provision. The Delaware Forum Provision will not apply to any causes of action arising under the Securities Act or the Exchange Act. Our Bylaws further provide that unless we consent in writing to the selection of an alternative forum, the United States District Court for the District of Massachusetts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recognize that the Delaware Forum Provision and the Federal Forum Provision in our Bylaws may impose additional litigation costs on stockholders in pursuing any such claims, particularly if the stockholders do not reside in or near the State of Delaware or the Commonwealth of Massachusetts. Additionally, the forum selection clauses in our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u w:val="single"/>
        </w:rPr>
        <w:t>Risks Related to Securities Analysts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trading market for our common stock will rely in part on the research and reports that industry or securities analysts publish about us or our business. If one or more of the analysts covering our stock downgrade their evaluations of our stock or publishes inaccurate or unfavorable research about our business, the trading price of our stock may decline. If one or more of these analysts cease to cover our stock, we could lose visibility in the market for our stock, which in turn could cause our stock price to decline.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b_unresolved_staff_comments"/>
      <w:bookmarkEnd w:id="4"/>
      <w:r>
        <w:rPr>
          <w:rFonts w:ascii="Times New Roman" w:hAnsi="Times New Roman"/>
          <w:b/>
          <w:color w:val="000000"/>
          <w:sz w:val="18"/>
        </w:rPr>
        <w:t>Item 1B. Unresolved Staff Comments.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5" w:name="item_1c_cybersecurity"/>
      <w:bookmarkEnd w:id="5"/>
      <w:r>
        <w:rPr>
          <w:rFonts w:ascii="Times New Roman" w:hAnsi="Times New Roman"/>
          <w:b/>
          <w:color w:val="000000"/>
          <w:sz w:val="18"/>
        </w:rPr>
        <w:t>Item 1C. Cybersecurity.</w:t>
      </w:r>
    </w:p>
    <w:p>
      <w:pPr>
        <w:pStyle w:val="TextBody"/>
        <w:bidi w:val="0"/>
        <w:spacing w:before="240" w:after="283"/>
        <w:jc w:val="left"/>
        <w:rPr>
          <w:rFonts w:ascii="Times New Roman" w:hAnsi="Times New Roman"/>
          <w:sz w:val="20"/>
        </w:rPr>
      </w:pPr>
      <w:r>
        <w:rPr>
          <w:rFonts w:ascii="Times New Roman" w:hAnsi="Times New Roman"/>
          <w:b/>
          <w:color w:val="000000"/>
          <w:sz w:val="18"/>
        </w:rPr>
        <w:t>Cyber Risk Management and Strategy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implemented and maintain a cybersecurity risk management program that is aligned with the National Institute of Standards and Technology Cybersecurity Framework and includes processes for the identification, assessment, and mitigation of cybersecurity risks.</w:t>
      </w:r>
      <w:r>
        <w:rPr>
          <w:rFonts w:ascii="Times New Roman" w:hAnsi="Times New Roman"/>
          <w:color w:val="000000"/>
          <w:sz w:val="20"/>
        </w:rPr>
        <w:t xml:space="preserve"> </w:t>
      </w:r>
      <w:r>
        <w:rPr>
          <w:rFonts w:ascii="Times New Roman" w:hAnsi="Times New Roman"/>
          <w:color w:val="000000"/>
          <w:sz w:val="18"/>
        </w:rPr>
        <w:t>This process is overseen by the Director of Development Operations, or the IT Director. It includes periodic security assessments, audits, and testing conducted internally and supported by targeted engagement with third parties. Our strategy incorporates Zero Trust principles and utilizes defense-in-depth technologies to monitor, identify, and mitigate risks. We supplement our internal capabilities by partnering with a Managed Detection and Response provider to ensure continuous monitoring of our environment.</w:t>
      </w:r>
      <w:r>
        <w:rPr>
          <w:rFonts w:ascii="Times New Roman" w:hAnsi="Times New Roman"/>
          <w:color w:val="000000"/>
          <w:sz w:val="20"/>
        </w:rPr>
        <w:t xml:space="preserve"> </w:t>
      </w:r>
      <w:r>
        <w:rPr>
          <w:rFonts w:ascii="Times New Roman" w:hAnsi="Times New Roman"/>
          <w:color w:val="000000"/>
          <w:sz w:val="18"/>
        </w:rPr>
        <w:t>We maintain internal information security policies, including an incident response plan, which are reviewed by or at the direction of the IT Director and are updated periodically to reflect material changes and improvement in our information security practices. We have a process to assess and review the cybersecurity practices of third-party vendors and service providers prior to onboarding and periodically throughout the engagement, including through vendor questionnaires and contractual requirements, as appropriate.</w:t>
      </w:r>
    </w:p>
    <w:p>
      <w:pPr>
        <w:pStyle w:val="TextBody"/>
        <w:bidi w:val="0"/>
        <w:jc w:val="left"/>
        <w:rPr/>
      </w:pPr>
      <w:r>
        <w:rPr/>
        <w:t> </w:t>
      </w:r>
    </w:p>
    <w:p>
      <w:pPr>
        <w:pStyle w:val="TextBody"/>
        <w:bidi w:val="0"/>
        <w:jc w:val="left"/>
        <w:rPr>
          <w:rFonts w:ascii="Times New Roman" w:hAnsi="Times New Roman"/>
          <w:b/>
          <w:color w:val="000000"/>
          <w:sz w:val="18"/>
        </w:rPr>
      </w:pPr>
      <w:r>
        <w:rPr>
          <w:rFonts w:ascii="Times New Roman" w:hAnsi="Times New Roman"/>
          <w:b/>
          <w:color w:val="000000"/>
          <w:sz w:val="18"/>
        </w:rPr>
        <w:t>Governance Related to Cybersecurity Risks</w:t>
      </w:r>
    </w:p>
    <w:p>
      <w:pPr>
        <w:pStyle w:val="TextBody"/>
        <w:bidi w:val="0"/>
        <w:spacing w:before="240" w:after="283"/>
        <w:jc w:val="left"/>
        <w:rPr>
          <w:rFonts w:ascii="Times New Roman" w:hAnsi="Times New Roman"/>
          <w:sz w:val="20"/>
        </w:rPr>
      </w:pPr>
      <w:r>
        <w:rPr>
          <w:rFonts w:ascii="Times New Roman" w:hAnsi="Times New Roman"/>
          <w:color w:val="000000"/>
          <w:sz w:val="18"/>
        </w:rPr>
        <w:t>The IT Director oversees the administration of our cybersecurity risk management program and reports to the Senior Director, Head of IT or Senior Director of IT. The IT Director and Senior Director of IT roles are both held by individuals who each have over twenty years of professional information technology, or IT, management experience.</w:t>
      </w:r>
      <w:r>
        <w:rPr>
          <w:rFonts w:ascii="Times New Roman" w:hAnsi="Times New Roman"/>
          <w:color w:val="000000"/>
          <w:sz w:val="20"/>
        </w:rPr>
        <w:t xml:space="preserve"> </w:t>
      </w:r>
      <w:r>
        <w:rPr>
          <w:rFonts w:ascii="Times New Roman" w:hAnsi="Times New Roman"/>
          <w:color w:val="000000"/>
          <w:sz w:val="18"/>
        </w:rPr>
        <w:t>The Senior Director of IT meets regularly with the Audit Committee to report on and discuss information security and technology risks to our business, including our cyber risk management programs, controls, and procedures. The Senior Director of IT and the Audit Committee also conduct a high-level review of the threat landscape facing our business, discuss risk mitigation strategies, and the prioritization of our remediation efforts.</w:t>
      </w:r>
    </w:p>
    <w:p>
      <w:pPr>
        <w:pStyle w:val="TextBody"/>
        <w:bidi w:val="0"/>
        <w:spacing w:before="240" w:after="283"/>
        <w:jc w:val="left"/>
        <w:rPr>
          <w:rFonts w:ascii="Times New Roman" w:hAnsi="Times New Roman"/>
          <w:sz w:val="20"/>
        </w:rPr>
      </w:pPr>
      <w:r>
        <w:rPr>
          <w:rFonts w:ascii="Times New Roman" w:hAnsi="Times New Roman"/>
          <w:color w:val="000000"/>
          <w:sz w:val="18"/>
        </w:rPr>
        <w:t>The IT Director meets periodically with members of the Relay Information Security Council, or RISC, which is comprised of the Senior Director of IT and senior leaders from various functions, including finance, legal, human resources, corporate development, and research and development.</w:t>
      </w:r>
      <w:r>
        <w:rPr>
          <w:rFonts w:ascii="Times New Roman" w:hAnsi="Times New Roman"/>
          <w:color w:val="000000"/>
          <w:sz w:val="20"/>
        </w:rPr>
        <w:t xml:space="preserve"> </w:t>
      </w:r>
      <w:r>
        <w:rPr>
          <w:rFonts w:ascii="Times New Roman" w:hAnsi="Times New Roman"/>
          <w:color w:val="000000"/>
          <w:sz w:val="18"/>
        </w:rPr>
        <w:t>The RISC provides input to the IT Director in connection with proposed cyber strategies as it relates to potential business impacts from new or proposed technologies and security solutions across the organization, including implementation strategies designed to address potential risks and disruptions to the business. In the event we or one of our business partners experiences a cybersecurity incident, the RISC is responsible for assisting in evaluating the incident, including whether any disclosure of the incident is required. The Senior Director of IT reports to the Audit Committee on cyber initiatives and implementation resulting from RISC discussions.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Through the Audit Committee, the Board of Directors is informed of: (i) security initiatives, (ii) existing and emerging cybersecurity risks, including cybersecurity incidents; and (iii) any disclosure obligations arising from any cybersecurity incidents. The Board of Directors oversees our general risk management strategy and the most significant risks facing our business, and is responsible for ensuring that appropriate risk mitigation strategies are implemented. To date, we have not experienced any cybersecurity threats or incidents that have materially affected or are reasonably likely to materially affect the company and its business strategy, results of operations, and/or financial condition.</w:t>
      </w:r>
    </w:p>
    <w:p>
      <w:pPr>
        <w:pStyle w:val="TextBody"/>
        <w:bidi w:val="0"/>
        <w:spacing w:before="240" w:after="283"/>
        <w:jc w:val="left"/>
        <w:rPr>
          <w:rFonts w:ascii="Times New Roman" w:hAnsi="Times New Roman"/>
          <w:sz w:val="20"/>
        </w:rPr>
      </w:pPr>
      <w:bookmarkStart w:id="6" w:name="item_2_properties"/>
      <w:bookmarkEnd w:id="6"/>
      <w:r>
        <w:rPr>
          <w:rFonts w:ascii="Times New Roman" w:hAnsi="Times New Roman"/>
          <w:b/>
          <w:color w:val="000000"/>
          <w:sz w:val="18"/>
        </w:rPr>
        <w:t>Item 2. Properties.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corporate headquarters are located in Cambridge,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occupy approximately (a) 41,474 square feet of office and laboratory space at 60 Hampshire Street, Cambridge, Massachusetts 02139, the lease term for which expires on June 30, 2032, and (b) 12,190 square feet of office space in Building 300 at One Kendall Square, Cambridge, Massachusetts 02139, the lease term for which expires on February 28, 2030.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pStyle w:val="TextBody"/>
        <w:bidi w:val="0"/>
        <w:spacing w:before="240" w:after="283"/>
        <w:jc w:val="left"/>
        <w:rPr>
          <w:rFonts w:ascii="Times New Roman" w:hAnsi="Times New Roman"/>
          <w:sz w:val="20"/>
        </w:rPr>
      </w:pPr>
      <w:bookmarkStart w:id="7" w:name="item_3_legal_proceedings"/>
      <w:bookmarkEnd w:id="7"/>
      <w:r>
        <w:rPr>
          <w:rFonts w:ascii="Times New Roman" w:hAnsi="Times New Roman"/>
          <w:b/>
          <w:color w:val="000000"/>
          <w:sz w:val="18"/>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On December 18, 2024, David Hayes, or the Plaintiff, an alleged Relay Therapeutics stockholder, derivatively and on behalf of us as a nominal defendant, filed a complaint in the Court of Chancery of the State of Delaware, or the Court, captioned </w:t>
      </w:r>
      <w:r>
        <w:rPr>
          <w:rFonts w:ascii="Times New Roman" w:hAnsi="Times New Roman"/>
          <w:i/>
          <w:color w:val="000000"/>
          <w:sz w:val="18"/>
        </w:rPr>
        <w:t>Hayes v. Borisy, et al.</w:t>
      </w:r>
      <w:r>
        <w:rPr>
          <w:rFonts w:ascii="Times New Roman" w:hAnsi="Times New Roman"/>
          <w:color w:val="000000"/>
          <w:sz w:val="20"/>
        </w:rPr>
        <w:t xml:space="preserve"> </w:t>
      </w:r>
      <w:r>
        <w:rPr>
          <w:rFonts w:ascii="Times New Roman" w:hAnsi="Times New Roman"/>
          <w:color w:val="000000"/>
          <w:sz w:val="18"/>
        </w:rPr>
        <w:t>(C.A. No. 2024-1309-PAF), or the Derivative Complaint, against certain of our directors and officers, or the Defendants. The Derivative Complaint alleges that, in 2021, 2022, and 2023, the Defendants awarded the members of our Board of Directors excessive compensation.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Derivative Complaint asserts claims for breach of fiduciary duty, unjust enrichment, waste of corporate assets, and breach of fiduciary duty of disclosure. The Derivative Complaint seeks a judgment against the Defendants declaring that Plaintiff may maintain the action on behalf of us and that he is an adequate representative of us; awarding to us the damages sustained as a result of the breaches of fiduciary duty and unjust enrichment alleged against the Defendants; directing us to take all necessary actions to reform and improve an effective system of corporate governance and internal procedures; awarding us restitution from the Defendants; ordering the Defendants to disgorge and pay to us or cancel all profits, benefits, and other compensation obtained; awarding Plaintiff costs and disbursements of the action, including reasonable attorneys’, accountants’, and experts’ fees, costs, and expenses; and granting such other relief that the Court deems just and proper. On January 24, 2025, we, as nominal defendants, and the Defendants separately answered the complaint. The case is now in discovery. We are unable to predict the outcome, or the reasonably possible loss or range of loss, if any, related to this matter.</w:t>
      </w:r>
    </w:p>
    <w:p>
      <w:pPr>
        <w:pStyle w:val="TextBody"/>
        <w:bidi w:val="0"/>
        <w:spacing w:before="240" w:after="283"/>
        <w:jc w:val="left"/>
        <w:rPr>
          <w:rFonts w:ascii="Times New Roman" w:hAnsi="Times New Roman"/>
          <w:b/>
          <w:color w:val="000000"/>
          <w:sz w:val="18"/>
        </w:rPr>
      </w:pPr>
      <w:bookmarkStart w:id="8" w:name="item_4_mine_safety"/>
      <w:bookmarkEnd w:id="8"/>
      <w:r>
        <w:rPr>
          <w:rFonts w:ascii="Times New Roman" w:hAnsi="Times New Roman"/>
          <w:b/>
          <w:color w:val="000000"/>
          <w:sz w:val="18"/>
        </w:rPr>
        <w:t>Item 4. Mine Safety Disclosures.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9" w:name="part_ii"/>
      <w:bookmarkEnd w:id="9"/>
      <w:r>
        <w:rPr>
          <w:rFonts w:ascii="Times New Roman" w:hAnsi="Times New Roman"/>
          <w:b/>
          <w:color w:val="000000"/>
          <w:sz w:val="18"/>
        </w:rPr>
        <w:t>PA</w:t>
      </w:r>
      <w:bookmarkStart w:id="10" w:name="part_ii_"/>
      <w:bookmarkEnd w:id="10"/>
      <w:r>
        <w:rPr>
          <w:rFonts w:ascii="Times New Roman" w:hAnsi="Times New Roman"/>
          <w:b/>
          <w:color w:val="000000"/>
          <w:sz w:val="18"/>
        </w:rPr>
        <w:t>RT II</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18"/>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Certain Information Regarding the Trading of Our Common Stock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common stock trades under the symbol "RLAY" on the Nasdaq Global Market and has been publicly traded since July 16, 2020. Prior to this time, there was no public market for our common stock.</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Holders of Our Common Stock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February 2, 2026, there were approximately 30 holders of record of shares of our common stock. This number does not include stockholders for whom shares are held in "nominee" or "street" name.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Dividends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never declared or paid any cash dividends on our capital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Stock Performance Graph</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July 2020, we issued 23,000,000 shares of our common stock in our IPO at a price of $20.00 per share. The following performance graph compares the performance of our common stock to the Nasdaq Composite Index and to the Nasdaq Biotechnology Index from July 16, 2020, the closing market price on the first trading day of our common stock, through December 31, 2025. The comparison assumes $100 was invested in our common stock and in each of the foregoing indices after the market closed on July 16, 2020 and it assumes reinvestment of dividends, if any. The stock price performance included in this graph is not necessarily indicative of, nor is it intended to forecast, future stock price performance.</w:t>
      </w:r>
    </w:p>
    <w:p>
      <w:pPr>
        <w:pStyle w:val="TextBody"/>
        <w:bidi w:val="0"/>
        <w:spacing w:before="240" w:after="283"/>
        <w:jc w:val="center"/>
        <w:rPr/>
      </w:pPr>
      <w:r>
        <w:rPr/>
        <w:drawing>
          <wp:inline distT="0" distB="0" distL="0" distR="0">
            <wp:extent cx="4914900" cy="29622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14900" cy="2962275"/>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Securities Authorized for Issuance Under Equity Compensation Plans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Information about our equity compensation plans will be included in our definitive proxy statement to be filed with the SEC with respect to our 2026 Annual Meeting of Stockholders and is incorporated herein by reference.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Unregistered Sales of Equity Securities and Use of Proceeds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Recent Sales of Unregistered Equity Securities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Purchases of Equity Securities by the Issuer and Affiliated Purchasers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did not purchase any of our registered equity securities during the period covered by this Annual Report on Form 10-K.</w:t>
      </w:r>
    </w:p>
    <w:p>
      <w:pPr>
        <w:pStyle w:val="TextBody"/>
        <w:bidi w:val="0"/>
        <w:spacing w:before="240" w:after="283"/>
        <w:jc w:val="left"/>
        <w:rPr>
          <w:rFonts w:ascii="Times New Roman" w:hAnsi="Times New Roman"/>
          <w:b/>
          <w:color w:val="000000"/>
          <w:sz w:val="18"/>
        </w:rPr>
      </w:pPr>
      <w:bookmarkStart w:id="12" w:name="item_6_reserved"/>
      <w:bookmarkEnd w:id="12"/>
      <w:r>
        <w:rPr>
          <w:rFonts w:ascii="Times New Roman" w:hAnsi="Times New Roman"/>
          <w:b/>
          <w:color w:val="000000"/>
          <w:sz w:val="18"/>
        </w:rPr>
        <w:t>Item 6. [Reserved]</w:t>
      </w:r>
    </w:p>
    <w:p>
      <w:pPr>
        <w:pStyle w:val="TextBody"/>
        <w:bidi w:val="0"/>
        <w:spacing w:before="240"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3" w:name="managements_discussion_and_analysis"/>
      <w:bookmarkEnd w:id="13"/>
      <w:r>
        <w:rPr>
          <w:rFonts w:ascii="Times New Roman" w:hAnsi="Times New Roman"/>
          <w:b/>
          <w:color w:val="000000"/>
          <w:sz w:val="18"/>
        </w:rPr>
        <w:t>Item 7. Management’s Discussion and Analysis</w:t>
      </w:r>
      <w:r>
        <w:rPr>
          <w:rFonts w:ascii="Times New Roman" w:hAnsi="Times New Roman"/>
          <w:color w:val="000000"/>
          <w:sz w:val="20"/>
        </w:rPr>
        <w:t xml:space="preserve"> </w:t>
      </w:r>
      <w:r>
        <w:rPr>
          <w:rFonts w:ascii="Times New Roman" w:hAnsi="Times New Roman"/>
          <w:b/>
          <w:color w:val="000000"/>
          <w:sz w:val="18"/>
        </w:rPr>
        <w:t>of</w:t>
      </w:r>
      <w:bookmarkStart w:id="14" w:name="item_7_managements_discussion_analysis_f"/>
      <w:bookmarkEnd w:id="14"/>
      <w:r>
        <w:rPr>
          <w:rFonts w:ascii="Times New Roman" w:hAnsi="Times New Roman"/>
          <w:color w:val="000000"/>
          <w:sz w:val="20"/>
        </w:rPr>
        <w:t xml:space="preserve"> </w:t>
      </w:r>
      <w:r>
        <w:rPr>
          <w:rFonts w:ascii="Times New Roman" w:hAnsi="Times New Roman"/>
          <w:b/>
          <w:color w:val="000000"/>
          <w:sz w:val="18"/>
        </w:rPr>
        <w:t>Financial Condition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You should read the following discussion and analysis of our financial condition and results of operations together with our consolidated financial statements and the related notes included elsewhere in this Annual Report on Form 10-K. This discussion and other parts of this Annual Report on Form 10-K contain forward-looking statements that involve risks and uncertainties, such as statements of our plans, objectives, expectations, and intentions.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18"/>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We are a clinical-stage, small molecule precision medicine company developing potentially life-changing therapies for patients living with cancer and genetic disease. Our Dynamo® platform integrates an array of leading-edge computational and experimental approaches designed to drug protein targets that have previously been intractable or inadequately addressed.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have deployed our technology platform to build a pipeline of product candidates to address targets in precision medicine where there is clear evidence linking target proteins to disease and where molecular diagnostics can unambiguously identify relevant patients for treatment. We believe this approach will increase the likelihood of successfully translating a specific pharmacological mechanism into clinical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are advancing a pipeline of medicine candidates to address targets in precision oncology and genetic disease, including zovegalisib (RLY-2608), our lead product candidate discussed below.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18"/>
        </w:rPr>
        <w:t>Zovegalisib (RLY-2608).</w:t>
      </w:r>
      <w:r>
        <w:rPr>
          <w:rFonts w:ascii="Times New Roman" w:hAnsi="Times New Roman"/>
          <w:color w:val="000000"/>
          <w:sz w:val="20"/>
        </w:rPr>
        <w:t xml:space="preserve"> </w:t>
      </w:r>
      <w:r>
        <w:rPr>
          <w:rFonts w:ascii="Times New Roman" w:hAnsi="Times New Roman"/>
          <w:color w:val="000000"/>
          <w:sz w:val="18"/>
        </w:rPr>
        <w:t>Zovegalisib is the first known allosteric, pan-mutant and isoform-selective phosphoinostide 3 kinase alpha, or PI3Kα, inhibitor in clinical development. It is the lead program in our efforts to discover and develop mutant selective inhibitors of PI3Kα.</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Breast Cancer and Solid Tumors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Times New Roman" w:hAnsi="Times New Roman"/>
          <w:color w:val="000000"/>
          <w:sz w:val="18"/>
          <w:u w:val="single"/>
        </w:rPr>
        <w:t>ReDiscover Trial</w:t>
      </w:r>
      <w:r>
        <w:rPr>
          <w:rFonts w:ascii="Times New Roman" w:hAnsi="Times New Roman"/>
          <w:color w:val="000000"/>
          <w:sz w:val="18"/>
        </w:rPr>
        <w:t>. In December 2021, we dosed the first patient in a first-in-human clinical trial for zovegalisib, or the ReDiscover Trial. Since then, we have predominantly focused on evaluating zovegalisib in combination with fulvestrant for patients with HR+, HER2–, PI3Kα-mutated, locally advanced or metastatic breast cancer. We are also advancing triplet combination arms with zovegalisib, fulvestrant and cyclin dependent kinase 4/6, or CDK 4/6, inhibitors, or atirmociclib, the investigative selective-CDK4 inhibitor from Pfizer Inc., or Pfizer. In the second quarter of 2025, we initiated a global Phase 3 registrational study, or the ReDiscover-2 Trial, which is designed to evaluate the safety and efficacy of zovegalisib plus fulvestrant in PI3Kα-mutated, HR+/HER2- advanced breast cancer patients previously treated with a CDK4/6 inhibitor. The comparator arm in the ReDiscover-2 Trial is capivasertib plus fulvestrant. In February 2026, we announced that the FDA granted Breakthrough Therapy designation to zovegalisib in combination with fulvestrant for the treatment of adults with PIK3CA mutant HR+/HER2- locally advanced or metastatic breast cancer following recurrence or progression on or after treatment with a CDK4/6 inhibitor.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Clinical Data</w:t>
      </w:r>
      <w:r>
        <w:rPr>
          <w:rFonts w:ascii="Times New Roman" w:hAnsi="Times New Roman"/>
          <w:color w:val="000000"/>
          <w:sz w:val="18"/>
        </w:rPr>
        <w:t>. In June 2025, we announced updated interim clinical data for the zovegalisib plus fulvestrant arm of the ReDiscover Trial with a data cut-off date of March 26, 2025, and in December 2025, we announced an efficacy subset analysis of interim clinical data for zovegalisib at the San Antonio Breast Cancer Symposium 2025 with a data cut-off date of October 15, 2025. We believe that while the clinical data from the ReDiscover Trial disclosed to date are preliminary, the data suggest differentiated interim efficacy signals in the specified patient population and support selective target engagement across doses and mutation types with an encouraging interim safety and tolerability profile.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Vascular Anomalies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240" w:after="283"/>
        <w:jc w:val="left"/>
        <w:rPr/>
      </w:pPr>
      <w:r>
        <w:rPr>
          <w:rFonts w:ascii="Times New Roman" w:hAnsi="Times New Roman"/>
          <w:color w:val="000000"/>
          <w:sz w:val="18"/>
          <w:u w:val="single"/>
        </w:rPr>
        <w:t>ReInspire Trial</w:t>
      </w:r>
      <w:r>
        <w:rPr>
          <w:rFonts w:ascii="Times New Roman" w:hAnsi="Times New Roman"/>
          <w:color w:val="000000"/>
          <w:sz w:val="18"/>
        </w:rPr>
        <w:t>. In the first quarter of 2025, we initiated the global Phase 1/2 clinical trial for zovegalisib in patients with PIK3CA-related overgrowth spectrum, or PROS, and vascular anomalies driven by PIK3CA mutations, or the ReInspire Trial. Enrollment is continuing in this clinical trial.</w:t>
      </w:r>
    </w:p>
    <w:p>
      <w:pPr>
        <w:pStyle w:val="TextBody"/>
        <w:bidi w:val="0"/>
        <w:spacing w:before="240" w:after="283"/>
        <w:jc w:val="left"/>
        <w:rPr>
          <w:rFonts w:ascii="Times New Roman" w:hAnsi="Times New Roman"/>
          <w:sz w:val="20"/>
        </w:rPr>
      </w:pPr>
      <w:r>
        <w:rPr>
          <w:rFonts w:ascii="Times New Roman" w:hAnsi="Times New Roman"/>
          <w:color w:val="000000"/>
          <w:sz w:val="18"/>
        </w:rPr>
        <w:t>In addition to the programs mentioned above, we are progressing our NRAS-selective inhibitor, RLY-8161, to address NRAS-mutated solid tumors as well as our non-inhibitory chaperone for Fabry disease. We are also advancing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We were incorporated in May 2015. We have devoted substantially all of our resources to developing our product candidates, developing our innovative computational and experimental approaches on protein motion, building our intellectual property portfolio, business planning, raising capital, and providing general and administrative support for these operations.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and Elevar Therapeutics, Inc., or Elevar, entered into an exclusive global licensing agreement, or the Elevar Agreement, pursuant to which Elevar was granted global development and commercialization rights for lirafugratinib. Under the terms of the Elevar Agreement, we received $5.0 million upon execution, $3.4 million upon transfer of active pharmaceutical ingredient and other materials, and $7.0 million in milestone payments as of December 31, 2025. We are eligible to receive up to $488.0 million in regulatory and commercial milestone payments, as well as tiered royalties.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a public offering, or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2024, we entered into a sales agreement, or the 2024 Sales Agreement, with TD Securities (USA) LLC, or TD Securities, pursuant to which we may offer and sell shares of our common stock having aggregate gross proceeds of up to $250.0 million from time to time in “at-the-market” offerings through TD Securities, as our sales agent. As of December 31, 2025, we have not sold any shares under the 2024 Sales Agreement.</w:t>
      </w:r>
    </w:p>
    <w:p>
      <w:pPr>
        <w:pStyle w:val="TextBody"/>
        <w:bidi w:val="0"/>
        <w:spacing w:before="240" w:after="283"/>
        <w:jc w:val="left"/>
        <w:rPr>
          <w:rFonts w:ascii="Times New Roman" w:hAnsi="Times New Roman"/>
          <w:sz w:val="20"/>
        </w:rPr>
      </w:pPr>
      <w:r>
        <w:rPr>
          <w:rFonts w:ascii="Times New Roman" w:hAnsi="Times New Roman"/>
          <w:color w:val="000000"/>
          <w:sz w:val="18"/>
        </w:rPr>
        <w:t>In January 2024, we entered into a securities purchase agreement with Nextech Crossover I SCP for the private placement of 2,500,000 shares of common stock at $12.00 per share, or the Private Placement. We received $29.8 million in proceeds from the Private Placement, which were net of $0.2 million in offering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2020, we entered into a global collaboration and license agreement with Genentech, Inc., a member of the Roche Group, or Genentech, for the development and commercialization of RLY-1971 (now referred to as migoprotafib, or GDC-1971), or the Genentech Agreement. Under the terms of the Genentech Agreement, we received $75.0 million in an upfront payment in 2021, as well as $45.0 million in milestone payments. Genentech elected to terminate the Genentech Agreement without cause, effective as of January 7, 2025, or the Termination Date. As of the Termination Date, we are no longer entitled to receive any further milestones or other payments due after the Termination Date. The parties also ceased to have any development or commercialization obligations as of the Termination Date and the licenses that we granted to Genentech pursuant to the Genentech Agreement ceased to be in effect as of the Termination Date. We will not continue development of migoprotafib.</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Inflation generally affects us by increasing our employee-related costs and clinical trial expenses, as well as other operating expenses. Our financial condition and results of operations may also be impacted by other factors we may not be able to control, such as public health crises, global supply chain disruptions, uncertain global economic conditions, global trade disputes or political instability as further discussed in the section "Risk Factors" in this Annual Report on Form 10-K. We do not believe that such factors had a material adverse impact on our results of operations during the years ended December 31, 2025, 2024, and 2023.</w:t>
      </w:r>
    </w:p>
    <w:p>
      <w:pPr>
        <w:pStyle w:val="TextBody"/>
        <w:bidi w:val="0"/>
        <w:jc w:val="left"/>
        <w:rPr>
          <w:rFonts w:ascii="Times New Roman" w:hAnsi="Times New Roman"/>
          <w:sz w:val="20"/>
        </w:rPr>
      </w:pPr>
      <w:r>
        <w:rPr>
          <w:rFonts w:ascii="Times New Roman" w:hAnsi="Times New Roman"/>
          <w:color w:val="000000"/>
          <w:sz w:val="18"/>
        </w:rPr>
        <w:t>Since our inception, we have incurred significant operating losses on an aggregate basis. Our ability to generate product revenue sufficient to achieve profitability will depend on the successful development and eventual commercialization of one or more of our current or future product candidates. Our net losses were $276.5 million, $337.7 million, and $342.0 million for the years ended December 31, 2025, 2024, and 2023, respectively. As of December 31, 2025, we had an accumulated deficit of $2.0 billion. These losses have resulted primarily from costs incurred in connection with research and development activities, licensing and patent investment, and general and administrative costs associated with our operations. We expect to continue to incur significant expenses</w:t>
      </w:r>
      <w:r>
        <w:rPr>
          <w:rFonts w:ascii="Times New Roman" w:hAnsi="Times New Roman"/>
          <w:color w:val="231F20"/>
          <w:sz w:val="18"/>
        </w:rPr>
        <w:t>, including the costs of operating as a public company,</w:t>
      </w:r>
      <w:r>
        <w:rPr>
          <w:rFonts w:ascii="Times New Roman" w:hAnsi="Times New Roman"/>
          <w:color w:val="000000"/>
          <w:sz w:val="20"/>
        </w:rPr>
        <w:t xml:space="preserve"> </w:t>
      </w:r>
      <w:r>
        <w:rPr>
          <w:rFonts w:ascii="Times New Roman" w:hAnsi="Times New Roman"/>
          <w:color w:val="000000"/>
          <w:sz w:val="18"/>
        </w:rPr>
        <w:t xml:space="preserve">and </w:t>
      </w:r>
      <w:r>
        <w:rPr>
          <w:rFonts w:ascii="Times New Roman" w:hAnsi="Times New Roman"/>
          <w:color w:val="231F20"/>
          <w:sz w:val="18"/>
        </w:rPr>
        <w:t xml:space="preserve">generate significant </w:t>
      </w:r>
      <w:r>
        <w:rPr>
          <w:rFonts w:ascii="Times New Roman" w:hAnsi="Times New Roman"/>
          <w:color w:val="000000"/>
          <w:sz w:val="18"/>
        </w:rPr>
        <w:t>operating losses for at least the next several years.</w:t>
      </w:r>
    </w:p>
    <w:p>
      <w:pPr>
        <w:pStyle w:val="TextBody"/>
        <w:bidi w:val="0"/>
        <w:spacing w:before="240" w:after="283"/>
        <w:jc w:val="left"/>
        <w:rPr>
          <w:rFonts w:ascii="Times New Roman" w:hAnsi="Times New Roman"/>
          <w:sz w:val="20"/>
        </w:rPr>
      </w:pPr>
      <w:r>
        <w:rPr>
          <w:rFonts w:ascii="Times New Roman" w:hAnsi="Times New Roman"/>
          <w:color w:val="000000"/>
          <w:sz w:val="18"/>
        </w:rPr>
        <w:t>We anticipate that our expenses will increase substantially if and as we:</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our current and future clinical trials of our lead product candidate;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conduct additional preclinical research and development of our early-stage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initiate and continue research and preclinical and clinical development of our other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seek to identify additional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pursue marketing approvals for any of our product candidates that successfully complete clinical trials,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establish a sales, marketing, and distribution infrastructure to commercialize any products for which we may obtain marketing approval;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require the manufacture of larger quantities of our product candidates for clinical development and potentially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obtain, 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acquire or in-license other drugs and technologies;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hire and retain additional clinical, regulatory, quality, and scientific personnel;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build out new facilities or expand existing facilities to support our ongoing development activity;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add operational, financial, and management information systems and personnel, including personnel to support our drug development, any future commercialization efforts, and our operations as a public company.</w:t>
      </w:r>
    </w:p>
    <w:p>
      <w:pPr>
        <w:pStyle w:val="TextBody"/>
        <w:bidi w:val="0"/>
        <w:spacing w:before="240" w:after="283"/>
        <w:jc w:val="left"/>
        <w:rPr>
          <w:rFonts w:ascii="Times New Roman" w:hAnsi="Times New Roman"/>
          <w:sz w:val="20"/>
        </w:rPr>
      </w:pPr>
      <w:r>
        <w:rPr>
          <w:rFonts w:ascii="Times New Roman" w:hAnsi="Times New Roman"/>
          <w:color w:val="000000"/>
          <w:sz w:val="18"/>
        </w:rPr>
        <w:t>In addition, if we obtain marketing approval for any of our product candidates, we expect to incur significant commercialization expenses related to product manufacturing, marketing, sales and distribution.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color w:val="000000"/>
          <w:sz w:val="18"/>
        </w:rPr>
        <w:t>As a result,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or commercialization of one or more of our product candidates.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may be forced to reduce or terminate our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8"/>
        </w:rPr>
        <w:t>We believe our cash, cash equivalents, and investments of $554.5 million as of December 31, 2025 will enable us to fund our operating expenses and capital expenditure requirements into 2029. We have based this estimate on assumptions that may prove to be wrong, and we could exhaust our available capital resources sooner than we expect. We will need to raise additional capital in the future to continue developing the drugs in our pipeline and to commercialize any approved drug. We may seek to obtain additional financing in the future through the issuance of our common stock, through other equity or debt financings, or through collaborations or partnerships with other companies. We may not be able to raise additional capital on terms acceptable to us, or at all, and any failure to raise capital as and when needed could compromise our ability to execute on our business plan.</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Components of our Results of Operations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To date, our revenue primarily consists of amounts related to the Genentech Agreement and Elevar Agreement.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Operating Expenses</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salaries, benefits, and other employee costs, including stock compensation expense, for personnel engaged in research and development functions;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outside consultants, including their fees, stock compensation, and related travel expenses;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expenses incurred under agreements with contract research organizations, or CROs, contract manufacturing organizations, or CMOs, and other vendors that conduct our clinical trials and preclinical activities;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of acquiring, developing, and manufacturing clinical trial materials, and lab supplies;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costs related to compliance with regulatory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impairment of any intangible assets capitalized upon the acquisition of in-process research and development assets;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facility costs, depreciation, and other expenses, which include direct and allocated expenses for rent and maintenance of facilities, insurance, and other supplies.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do not allocate certain internal costs, facilities, or overhead costs to specific development programs.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expense research and development costs as the services are performed or the goods are received. We recognize costs for certain development activities, such as clinical trials, based on an evaluation of the progress to completion of specific tasks using data, such as patient enrollment, clinical site activations, or other information provided to us by our vendors and our clinical investigative sites. Payments for these activities are based on the terms of the individual agreements, which may differ from the pattern of costs incurred, and are reflected in our financial statements as prepaid expenses or accrued research and development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lead product candidate is in clinical development. We also have earlier stage programs across both precision oncology and genetic diseases. Costs incurred for these programs include costs incurred to support our discovery research and translational science efforts up to the initiation of first-in-human clinical development. Platform research and other research and development activities include costs that are not specifically allocated to active product candidates, including facilities costs, depreciation expense, and other costs. Employee expenses include salary, wages, stock compensation, and other costs related to our personnel, which are not allocated to specific programs or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cannot determine with certainty the duration and costs of future clinical trials and future development costs, if, when, or to what extent we will generate revenue from the commercialization and sale of any of our product candidates for which we obtain marketing approval or our other research and development costs. We may never succeed in obtaining marketing approval for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duration, costs, and timing of clinical trials and development of our product candidates will depend on a variety of factors, including: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rate of progress, expense, and results of our preclinical development activities, any future clinical trials of our lead product candidate, or other product candidates and other research and development activities that we may conduct;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uncertainties in clinical trial design and patient enrollment or drop out or discontinuation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an appropriate safety and efficacy profile with IND-enabling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initiation and completion of future clinical trial results;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timing, receipt, and terms of any approvals from applicable regulatory authorities including the FDA and non-U.S. regulators;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significant and changing government regulation and regulatory guidance;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potential additional studies requested by regulatory agencies;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establishing clinical and commercial manufacturing capabilities or making arrangements with third-party manufacturers in order to ensure that we or our third-party manufacturers are able to make product successfully;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any public health crisis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expense of filing, prosecuting, defending, and enforcing any patent claims and other intellectual property rights;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maintaining a continued acceptable safety profile of our product candidates following approval, if any, of our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to continue to incur significant research and development expenses for the foreseeable future as we continue to conduct clinical trials of our lead product candidate, initiate clinical trials for our other product candidates, as well as identify and develop additional product candidates.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trial delays due to patient enrollment or other reasons, we would be required to expend significant additional financial resources and time on the completion of clinical development.</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Change in Fair Value of Contingent Consideration Liability</w:t>
      </w:r>
    </w:p>
    <w:p>
      <w:pPr>
        <w:pStyle w:val="TextBody"/>
        <w:bidi w:val="0"/>
        <w:spacing w:before="240" w:after="283"/>
        <w:jc w:val="left"/>
        <w:rPr>
          <w:rFonts w:ascii="Times New Roman" w:hAnsi="Times New Roman"/>
          <w:sz w:val="20"/>
        </w:rPr>
      </w:pPr>
      <w:r>
        <w:rPr>
          <w:rFonts w:ascii="Times New Roman" w:hAnsi="Times New Roman"/>
          <w:color w:val="000000"/>
          <w:sz w:val="18"/>
        </w:rPr>
        <w:t>Change in Fair Value of Contingent Consideration Liability consists of fluctuations in the estimated fair value of Contingent Milestone Payments, as well as changes in the recorded amounts of Contingent Earnout Payments, under the Merger Agreement with ZebiAI.</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General and Administrative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primarily consist of salaries and other employee costs, including stock compensation, for personnel in our executive, finance, corporate, and business development and administrative functions. General and Administrative Expenses also include legal fees relating to patent and corporate matters; professional fees for accounting, auditing, tax, and consulting services; other expenses associated with operating as a public company, including compliance with exchange listing and Securities and Exchange Commission, or SEC, requirements, director and officer insurance costs, and investor and public relations costs; travel expenses; and facility-related expenses, which include depreciation costs and allocated expenses for rent and maintenance of facilities.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general and administrative expenses in the future and as we continue our research and development activities, as well as other activities related to the potential commercialization of our product candidates.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sz w:val="20"/>
        </w:rPr>
      </w:pPr>
      <w:r>
        <w:rPr>
          <w:rFonts w:ascii="Times New Roman" w:hAnsi="Times New Roman"/>
          <w:color w:val="000000"/>
          <w:sz w:val="18"/>
        </w:rPr>
        <w:t>Other Income, Net primarily consists of interest income related to interest earned on our cash, cash equivalents, and 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in 2015, we have not recorded any U.S. federal or state income tax benefits for the net losses we have incurred in any year or for our earned research and development tax credits, due to our uncertainty of realizing a benefit from such items.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had federal net operating loss carryforwards of $923.9 million, of which $43.1 million begin to expire in 2035 and $880.8 million do not expire.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we had state net operating loss carryforwards of $625.6 million, which begin to expire in 2035.</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federal research and development tax credit carryforwards of $55.9 million, which begin to expire in 2035.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state research and development tax credit carryforwards of $29.9 million, which begin to expire in 2030.</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federal orphan drug tax credit carryforwards of $17.0 million, which begin to expire in 2042.</w:t>
      </w:r>
    </w:p>
    <w:p>
      <w:pPr>
        <w:pStyle w:val="TextBody"/>
        <w:bidi w:val="0"/>
        <w:spacing w:before="240" w:after="283"/>
        <w:jc w:val="left"/>
        <w:rPr>
          <w:rFonts w:ascii="Times New Roman" w:hAnsi="Times New Roman"/>
          <w:sz w:val="20"/>
        </w:rPr>
      </w:pPr>
      <w:r>
        <w:rPr>
          <w:rFonts w:ascii="Times New Roman" w:hAnsi="Times New Roman"/>
          <w:b/>
          <w:color w:val="000000"/>
          <w:sz w:val="18"/>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Comparison of years ended December 31, 2025 and 2024</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our results of operations for the years ended December 31, 2025 and 2024.</w:t>
      </w:r>
      <w:r>
        <w:rPr>
          <w:rFonts w:ascii="Times New Roman" w:hAnsi="Times New Roman"/>
          <w:color w:val="000000"/>
          <w:sz w:val="20"/>
        </w:rPr>
        <w:t xml:space="preserve"> </w:t>
      </w:r>
    </w:p>
    <w:tbl>
      <w:tblPr>
        <w:tblW w:w="8413" w:type="dxa"/>
        <w:jc w:val="left"/>
        <w:tblInd w:w="0" w:type="dxa"/>
        <w:tblLayout w:type="fixed"/>
        <w:tblCellMar>
          <w:top w:w="28" w:type="dxa"/>
          <w:left w:w="28" w:type="dxa"/>
          <w:bottom w:w="28" w:type="dxa"/>
          <w:right w:w="28" w:type="dxa"/>
        </w:tblCellMar>
      </w:tblPr>
      <w:tblGrid>
        <w:gridCol w:w="4281"/>
        <w:gridCol w:w="146"/>
        <w:gridCol w:w="196"/>
        <w:gridCol w:w="751"/>
        <w:gridCol w:w="166"/>
        <w:gridCol w:w="146"/>
        <w:gridCol w:w="196"/>
        <w:gridCol w:w="751"/>
        <w:gridCol w:w="166"/>
        <w:gridCol w:w="146"/>
        <w:gridCol w:w="196"/>
        <w:gridCol w:w="661"/>
        <w:gridCol w:w="61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(19,882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(64,382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61,229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License and Other Revenue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2025, we recognized $15.4 million of license and other revenue from the Elevar Agreement, specifically in connection with the completion of each of our performance obligations thereunder in 2025, as well as receipt of certain milestone payments.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2024, we recognized $10.0 million of license and other revenue from the Genentech Agreement, specifically in connection with a milestone achieved thereunder in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years ended December 31, 2025 and 2024:</w:t>
      </w:r>
    </w:p>
    <w:tbl>
      <w:tblPr>
        <w:tblW w:w="8298" w:type="dxa"/>
        <w:jc w:val="left"/>
        <w:tblInd w:w="0" w:type="dxa"/>
        <w:tblLayout w:type="fixed"/>
        <w:tblCellMar>
          <w:top w:w="28" w:type="dxa"/>
          <w:left w:w="28" w:type="dxa"/>
          <w:bottom w:w="28" w:type="dxa"/>
          <w:right w:w="28" w:type="dxa"/>
        </w:tblCellMar>
      </w:tblPr>
      <w:tblGrid>
        <w:gridCol w:w="4726"/>
        <w:gridCol w:w="146"/>
        <w:gridCol w:w="196"/>
        <w:gridCol w:w="691"/>
        <w:gridCol w:w="146"/>
        <w:gridCol w:w="146"/>
        <w:gridCol w:w="196"/>
        <w:gridCol w:w="691"/>
        <w:gridCol w:w="146"/>
        <w:gridCol w:w="146"/>
        <w:gridCol w:w="196"/>
        <w:gridCol w:w="66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$261.4 million for the year ended December 31, 2025 compared to $319.1 million for the year ended December 31, 2024. The decrease of $57.7 million was primarily due to the series of strategic choices to streamline the research organization throughout 2024 and 2025, as well as decreases in costs incurred on continued development of lirafugratinib after execution of the Elevar Agreement in December 2024, offset by increases in costs related to the ReDiscover-2 Trial and ReInspire Trial.</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 in Fair Value of Contingent Consideration Liability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Change in fair value of our contingent consideration liability under the Merger Agreement with ZebiAI was $0 for the year ended December 31, 2025 compared to a decrease of $13.2 million for the year ended December 31, 2024. During the year ended December 31, 2024, the Contingent Milestone Payments and Contingent Earnout Payments were both reduced to $0. During the year ended December 31, 2025, there were no further changes to such amounts.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General and Administrative Expenses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General and administrative expenses were $56.7 million for the year ended December 31, 2025 compared to $76.6 million for the year ended December 31, 2024. The decrease of $19.9 million was primarily due to a decrease in stock compensation expense, as well as other employee costs, partially offset by costs to obtain the Elevar Agreement, which were expensed commensurate with the timing of revenue recognized during the year ended December 31, 2025.</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Other Income, Net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$26.3 million for the year ended December 31, 2025 compared to $34.8 million for the year ended December 31, 2024. The decrease of $8.5 million was primarily a result of changes in the amounts invested between periods, as well as fluctuations in interest rates.</w:t>
      </w:r>
    </w:p>
    <w:p>
      <w:pPr>
        <w:pStyle w:val="TextBody"/>
        <w:bidi w:val="0"/>
        <w:spacing w:before="240" w:after="283"/>
        <w:jc w:val="left"/>
        <w:rPr>
          <w:rFonts w:ascii="Times New Roman" w:hAnsi="Times New Roman"/>
          <w:sz w:val="20"/>
        </w:rPr>
      </w:pPr>
      <w:r>
        <w:rPr>
          <w:rFonts w:ascii="Times New Roman" w:hAnsi="Times New Roman"/>
          <w:b/>
          <w:i/>
          <w:color w:val="000000"/>
          <w:sz w:val="18"/>
        </w:rPr>
        <w:t>Comparison of years ended December 31, 2024 and 2023</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our results of operations for the years ended December 31, 2024 and 2023:</w:t>
      </w:r>
    </w:p>
    <w:tbl>
      <w:tblPr>
        <w:tblW w:w="8393" w:type="dxa"/>
        <w:jc w:val="left"/>
        <w:tblInd w:w="0" w:type="dxa"/>
        <w:tblLayout w:type="fixed"/>
        <w:tblCellMar>
          <w:top w:w="28" w:type="dxa"/>
          <w:left w:w="28" w:type="dxa"/>
          <w:bottom w:w="28" w:type="dxa"/>
          <w:right w:w="28" w:type="dxa"/>
        </w:tblCellMar>
      </w:tblPr>
      <w:tblGrid>
        <w:gridCol w:w="4281"/>
        <w:gridCol w:w="146"/>
        <w:gridCol w:w="196"/>
        <w:gridCol w:w="751"/>
        <w:gridCol w:w="166"/>
        <w:gridCol w:w="146"/>
        <w:gridCol w:w="196"/>
        <w:gridCol w:w="751"/>
        <w:gridCol w:w="166"/>
        <w:gridCol w:w="146"/>
        <w:gridCol w:w="196"/>
        <w:gridCol w:w="661"/>
        <w:gridCol w:w="591"/>
      </w:tblGrid>
      <w:tr>
        <w:trPr/>
        <w:tc>
          <w:tcPr>
            <w:tcW w:w="4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18"/>
        </w:rPr>
        <w:t>License and Other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2024, we recognized $10.0 million of license and other revenue from the Genentech Agreement, specifically in connection with a milestone achieved thereunder in 2024.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we recognized $25.5 million of license and other revenue from the Genentech Agreement, specifically in connection with milestones achieved thereunder in prior years. Although the milestones were achieved in prior years, the variable consideration was previously constrained until 2023.</w:t>
      </w:r>
    </w:p>
    <w:p>
      <w:pPr>
        <w:pStyle w:val="TextBody"/>
        <w:bidi w:val="0"/>
        <w:spacing w:before="240" w:after="240"/>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following summarizes our research and development expenses for the years ended December 31, 2024 and 2023:</w:t>
      </w:r>
    </w:p>
    <w:tbl>
      <w:tblPr>
        <w:tblW w:w="8298" w:type="dxa"/>
        <w:jc w:val="left"/>
        <w:tblInd w:w="0" w:type="dxa"/>
        <w:tblLayout w:type="fixed"/>
        <w:tblCellMar>
          <w:top w:w="28" w:type="dxa"/>
          <w:left w:w="28" w:type="dxa"/>
          <w:bottom w:w="28" w:type="dxa"/>
          <w:right w:w="28" w:type="dxa"/>
        </w:tblCellMar>
      </w:tblPr>
      <w:tblGrid>
        <w:gridCol w:w="4726"/>
        <w:gridCol w:w="146"/>
        <w:gridCol w:w="196"/>
        <w:gridCol w:w="691"/>
        <w:gridCol w:w="146"/>
        <w:gridCol w:w="146"/>
        <w:gridCol w:w="196"/>
        <w:gridCol w:w="691"/>
        <w:gridCol w:w="146"/>
        <w:gridCol w:w="146"/>
        <w:gridCol w:w="196"/>
        <w:gridCol w:w="661"/>
        <w:gridCol w:w="211"/>
      </w:tblGrid>
      <w:tr>
        <w:trPr/>
        <w:tc>
          <w:tcPr>
            <w:tcW w:w="4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Employee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Research and development expenses were $319.1 million for the year ended December 31, 2024 compared to $330.0 million for the year ended December 31, 2023. The decrease of $10.9 million was primarily due to the impact of prioritization of certain programs in our pipeline, as previously disclosed in 2023 and 2024.</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 in Fair Value of Contingent Consideration Liability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change in fair value of our contingent consideration liability for Contingent Milestone Payments under the Merger Agreement with ZebiAI was a decrease of $13.2 million for the year ended December 31, 2024 compared to a decrease of $6.4 million for the year ended December 31, 2023. During the year ended December 31, 2024, the Contingent Milestone Payments and Contingent Earnout Payments were both reduced to $0.</w:t>
      </w:r>
    </w:p>
    <w:p>
      <w:pPr>
        <w:pStyle w:val="TextBody"/>
        <w:bidi w:val="0"/>
        <w:spacing w:before="240" w:after="283"/>
        <w:jc w:val="left"/>
        <w:rPr>
          <w:rFonts w:ascii="Times New Roman" w:hAnsi="Times New Roman"/>
          <w:sz w:val="20"/>
        </w:rPr>
      </w:pPr>
      <w:r>
        <w:rPr>
          <w:rFonts w:ascii="Times New Roman" w:hAnsi="Times New Roman"/>
          <w:b/>
          <w:i/>
          <w:color w:val="000000"/>
          <w:sz w:val="18"/>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General and administrative expenses were $76.6 million for the year ended December 31, 2024 compared to $75.0 million for the year ended December 31, 2023. The increase of $1.6 million was primarily due to an increase in stock compensation expense, partially offset by decreases in other employee compensation costs and certain other general and administrative expenses.</w:t>
      </w:r>
    </w:p>
    <w:p>
      <w:pPr>
        <w:pStyle w:val="TextBody"/>
        <w:bidi w:val="0"/>
        <w:spacing w:before="240" w:after="283"/>
        <w:jc w:val="left"/>
        <w:rPr>
          <w:rFonts w:ascii="Times New Roman" w:hAnsi="Times New Roman"/>
          <w:sz w:val="20"/>
        </w:rPr>
      </w:pPr>
      <w:r>
        <w:rPr>
          <w:rFonts w:ascii="Times New Roman" w:hAnsi="Times New Roman"/>
          <w:b/>
          <w:i/>
          <w:color w:val="000000"/>
          <w:sz w:val="18"/>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Other income, net, was $34.8 million for the year ended December 31, 2024 compared to $31.0 million for the year ended December 31, 2023. The increase of $3.7 million was primarily a result of changes in interest rates.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cash, cash equivalents, and investments of $554.5 million.</w:t>
      </w:r>
    </w:p>
    <w:p>
      <w:pPr>
        <w:pStyle w:val="TextBody"/>
        <w:bidi w:val="0"/>
        <w:spacing w:before="240" w:after="283"/>
        <w:jc w:val="left"/>
        <w:rPr>
          <w:rFonts w:ascii="Times New Roman" w:hAnsi="Times New Roman"/>
          <w:sz w:val="20"/>
        </w:rPr>
      </w:pPr>
      <w:r>
        <w:rPr>
          <w:rFonts w:ascii="Times New Roman" w:hAnsi="Times New Roman"/>
          <w:color w:val="000000"/>
          <w:sz w:val="18"/>
        </w:rPr>
        <w:t>Since our inception, we have not generated any revenue from product sales and have incurred significant operating losses. We have not yet commercialized any products and we do not expect to generate revenue from sales of any product candidates for several years, if ever. To date, we have principally financed our operations through private placements of preferred stock and common stock, convertible debt, and proceeds from public offerings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we entered into the Elevar Agreement, pursuant to which Elevar was granted global development and commercialization rights for lirafugratinib. As of December 31, 2025, we had received $5.0 million in upfront consideration, $3.4 million in conjunction with transfer of active pharmaceutical ingredient and other materials, and $7.0 million in milestone payments pursuant to the Elevar Agreement.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September 2024, we completed the September 2024 Offering of 32,857,143 shares of common stock, including the exercise in full of the underwriters’ option to purchase an additional 4,285,714 shares, at an offering price of $7.00 per share. We received proceeds of $218.2 million, which was net of $11.8 million in underwriting discounts and other offering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2024, we filed a universal shelf registration statement on Form S-3ASR with the SEC, or the 2024 Shelf, to register for sale an amount of our common stock, preferred stock, debt securities, warrants and/or units in one or more offerings, which became effective upon filing with the SEC (File No. 333-281308). The 2024 Shelf replaced our prior universal shelf registration statement filed with the SEC in August 2021 (File No. 333-258768), which would have expired in August 2024.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2021, we entered into the 2021 Sales Agreement with Cowen, pursuant to which we could offer and sell shares of our common stock having aggregate gross proceeds of up to $300.0 million from time to time in "at-the-market" offerings through Cowen, as our sales agent. In August 2024, the 2021 Sales Agreement was terminated by mutual agreement between us and Cowen. Through termination of the 2021 Sales Agreement, we sold 4,915,669 shares of common stock under the 2021 Sales Agreement, from which we received $48.2 million in proceeds, which were net of $1.2 million in commissions paid to Cowen and other offering expenses.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August 2024, we also entered into the 2024 Sales Agreement with TD Securities, pursuant to which we may offer and sell shares of our common stock having aggregate gross proceeds of up to $250.0 million from time to time in “at-the-market” offerings through TD Securities, as our sales agent. As of December 31, 2025, we have not sold any shares under the 2024 Sales Agreement.</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 January 2024, we entered into a securities purchase agreement with Nextech Crossover I SCP for the Private Placement. We received $29.8 million in proceeds from the Private Placement, which were net of $0.2 million in offering expenses.</w:t>
      </w:r>
    </w:p>
    <w:p>
      <w:pPr>
        <w:pStyle w:val="TextBody"/>
        <w:bidi w:val="0"/>
        <w:jc w:val="left"/>
        <w:rPr>
          <w:rFonts w:ascii="Times New Roman" w:hAnsi="Times New Roman"/>
          <w:color w:val="000000"/>
          <w:sz w:val="18"/>
        </w:rPr>
      </w:pPr>
      <w:r>
        <w:rPr>
          <w:rFonts w:ascii="Times New Roman" w:hAnsi="Times New Roman"/>
          <w:color w:val="000000"/>
          <w:sz w:val="18"/>
        </w:rPr>
        <w:t>Through the Termination Date, we received $120.0 million in upfront and milestone payments from Genentech pursuant to the Genentech Agreement.</w:t>
      </w:r>
    </w:p>
    <w:p>
      <w:pPr>
        <w:pStyle w:val="TextBody"/>
        <w:bidi w:val="0"/>
        <w:spacing w:before="240" w:after="283"/>
        <w:jc w:val="left"/>
        <w:rPr>
          <w:rFonts w:ascii="Times New Roman" w:hAnsi="Times New Roman"/>
          <w:sz w:val="20"/>
        </w:rPr>
      </w:pPr>
      <w:r>
        <w:rPr>
          <w:rFonts w:ascii="Times New Roman" w:hAnsi="Times New Roman"/>
          <w:b/>
          <w:i/>
          <w:color w:val="000000"/>
          <w:sz w:val="18"/>
        </w:rPr>
        <w:t>Cash Flows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our sources and uses of cash for each of the periods presented:</w:t>
      </w:r>
      <w:r>
        <w:rPr>
          <w:rFonts w:ascii="Times New Roman" w:hAnsi="Times New Roman"/>
          <w:color w:val="000000"/>
          <w:sz w:val="20"/>
        </w:rPr>
        <w:t xml:space="preserve"> </w:t>
      </w:r>
    </w:p>
    <w:tbl>
      <w:tblPr>
        <w:tblW w:w="8023" w:type="dxa"/>
        <w:jc w:val="left"/>
        <w:tblInd w:w="0" w:type="dxa"/>
        <w:tblLayout w:type="fixed"/>
        <w:tblCellMar>
          <w:top w:w="28" w:type="dxa"/>
          <w:left w:w="28" w:type="dxa"/>
          <w:bottom w:w="28" w:type="dxa"/>
          <w:right w:w="28" w:type="dxa"/>
        </w:tblCellMar>
      </w:tblPr>
      <w:tblGrid>
        <w:gridCol w:w="4201"/>
        <w:gridCol w:w="146"/>
        <w:gridCol w:w="196"/>
        <w:gridCol w:w="751"/>
        <w:gridCol w:w="166"/>
        <w:gridCol w:w="146"/>
        <w:gridCol w:w="196"/>
        <w:gridCol w:w="751"/>
        <w:gridCol w:w="166"/>
        <w:gridCol w:w="146"/>
        <w:gridCol w:w="196"/>
        <w:gridCol w:w="75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Operating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2025, we used $235.5 million of cash on operating activities, primarily resulting from our net loss of $276.5 million and cash used to fund changes in our operating assets and liabilities of $23.3 million, offset by non-cash charges of $64.3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2024, we used $249.1 million of cash on operating activities, primarily resulting from our net loss of $337.7 million, offset by non-cash charges of $74.0 million and cash provided by changes in our operating assets and liabilities of $14.6 million.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we used $300.3 million of cash on operating activities, primarily resulting from our net loss of $342.0 million and cash used to fund changes in our operating assets and liabilities of $32.5 million, offset by non-cash charges of $74.1 million.</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Investing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2025, net cash provided by investing activities was $192.8 million, consisting of $193.2 million proceeds from net maturities of investments, offset by $0.4 million for the acquisition of property and equipment.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2024, net cash used in investing activities was $41.1 million, consisting of $39.1 million in net purchases of investments and $2.0 million for the acquisition of property and equipment.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net cash provided by investing activities was $257.6 million, consisting of $261.8 million in proceeds from net maturities of investments, offset by $4.1 million for the acquisition of property and equipment.</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Financing Activities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2025, net cash provided by financing activities was $1.6 million, consisting of $1.6 million in proceeds from the exercise of stock options and purchases under our 2020 Employee Stock Purchase Plan, or ESPP.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2024, net cash provided by financing activities was $270.2 million, consisting of $265.9 million in net proceeds from the Private Placement, at-the-market offerings, and the September 2024 Offering, as well as $4.3 million in proceeds from the exercise of stock options and purchases under our ESPP.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During the year ended December 31, 2023, net cash provided by financing activities was $34.8 million, primarily consisting of $30.3 million in net proceeds from at-the-market offerings, as well as $4.5 million in proceeds from stock option exercises and purchases under our ESPP.</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Funding Requirements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expect to continue to incur significant expenses in connection with our ongoing clinical development activities related to our product candidates and the ongoing preclinical development activities of our other programs. In addition, we continue to incur additional costs associated with operating as a public company.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cash, cash equivalents, and investments of $554.5 million. We believe that our existing cash, cash equivalents, and investments will enable us to fund our operating expenses and capital expenditure requirements into 2029. We have based this estimate on assumptions that may prove to be wrong, and we could exhaust our available capital resources sooner than we expect.</w:t>
      </w:r>
    </w:p>
    <w:p>
      <w:pPr>
        <w:pStyle w:val="TextBody"/>
        <w:bidi w:val="0"/>
        <w:spacing w:before="240" w:after="283"/>
        <w:jc w:val="left"/>
        <w:rPr>
          <w:rFonts w:ascii="Times New Roman" w:hAnsi="Times New Roman"/>
          <w:sz w:val="20"/>
        </w:rPr>
      </w:pPr>
      <w:r>
        <w:rPr>
          <w:rFonts w:ascii="Times New Roman" w:hAnsi="Times New Roman"/>
          <w:color w:val="000000"/>
          <w:sz w:val="18"/>
        </w:rPr>
        <w:t>Because of the numerous risks and uncertainties associated with the development of our product candidates, as well as our preclinical programs, and because the extent to which we may enter into collaborations with third parties for the development of our product candidates is unknown, we are unable to estimate the timing and amounts of increased capital outlays and operating expenses associated with completing the research and development of our product candidates. Our future capital requirements will depend on many factors, including:</w:t>
      </w:r>
      <w:r>
        <w:rPr>
          <w:rFonts w:ascii="Times New Roman" w:hAnsi="Times New Roman"/>
          <w:color w:val="000000"/>
          <w:sz w:val="2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impact of any business interruptions to our operations, including the timing and enrollment of patients in our planned clinical trials, or to those of our manufacturers, suppliers, or other vendors, resulting from public health epidemics or outbreaks of infectious disease or ongoing geopolitical conflicts and related global economic sanctions;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scope, progress, results, and costs of our current and future clinical trials of our lead product candidate and additional preclinical research of our other programs;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scope, progress, results, and costs of drug discovery, preclinical research, and clinical trials for our other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number of future product candidates that we pursue and their development requirements;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timing, and outcome of regulatory review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ability to establish and maintain licenses or collaborations on favorable terms, if at all;</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success of any existing or future licenses or collaborations that we may enter into with third parties;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and technologies, including entering into licensing or collaboration arrangements for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achievement of milestones or occurrence of other developments that trigger payments under any existing or future license or collaboration agreements,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extent to which we are obligated to reimburse, or entitled to reimbursement of, clinical trial costs under any existing or future license or collaboration agreements, if 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and timing of future commercialization activities, including drug sales, marketing, manufacturing, and distribution, for any of our product candidates for which we receive marketing approval, to the extent that such sales, marketing, manufacturing, and distribution are not the responsibility of any licensee or collaborator that we may have at such time;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amount of revenue, if any, received from commercial sales of our product candidates, should any of our product candidates receive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preparing, filing, and prosecuting patent applications, maintaining, and enforcing our intellectual property rights and defending intellectual property-related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our headcount growth and associated costs if and as we expand our business operations and our research and development activities;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costs of operating as a public company.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Developing pharmaceutical products, including conducting preclinical studies and clinical trials, is a time-consuming, expensive, and uncertain process that takes years to complete, and we may never generate the necessary data or results required to obtain marketing approval for any product candidates or generate revenue from the sale of any product candidate for which we may obtain marketing approval. In addition, our product candidates, if approved, may not achieve commercial success. Our commercial revenues, if any, will be derived from sales of drugs that we do not expect to be commercially available for many years, if ever. Accordingly, we will need to obtain substantial additional funds to achieve our business objectives.</w:t>
      </w:r>
    </w:p>
    <w:p>
      <w:pPr>
        <w:pStyle w:val="TextBody"/>
        <w:bidi w:val="0"/>
        <w:spacing w:before="240" w:after="283"/>
        <w:jc w:val="left"/>
        <w:rPr>
          <w:rFonts w:ascii="Times New Roman" w:hAnsi="Times New Roman"/>
          <w:sz w:val="20"/>
        </w:rPr>
      </w:pPr>
      <w:r>
        <w:rPr>
          <w:rFonts w:ascii="Times New Roman" w:hAnsi="Times New Roman"/>
          <w:color w:val="000000"/>
          <w:sz w:val="18"/>
        </w:rPr>
        <w:t>Adequate additional funds may not be available to us on acceptable terms, or at all. We do not currently have any committed external source of funds. To the extent that we raise additional capital through the sale of equity or convertible debt securities, your ownership interest may be diluted, and the terms of these securities may include liquidation or other preferences and anti-dilution protections that could adversely affect your rights as a common stockholder. Additional debt or preferred equity financing, if available, may involve agreements that include restrictive covenants that may limit our ability to take specific actions, such as incurring debt, making capital expenditures, or declaring dividends, which could adversely impact our ability to conduct our business, and may require the issuance of warrants, which could potentially dilute your ownership interest.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If we raise additional funds through collaborations, strategic alliances, or licensing arrangements with third parties, we may have to relinquish valuable rights to our technology, future revenue streams, research programs or product candidates, or grant licenses on terms that may not be favorable to us. If we are unable to raise additional funds through equity or debt financings or collaborations, strategic alliances or licensing arrangements with third parties when needed, we may be required to delay, limit, reduce, and/or terminate our product development programs or any future commercialization efforts or grant rights to develop and market product candidates that we would otherwise prefer to develop and market ourselves.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Contractual Obligations and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Intellectual Property License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June 15, 2020, we entered into an Amended and Restated Collaboration and License Agreement, or DESRES Agreement, with D. E. Shaw Research, LLC, or D. E. Shaw Research, extending the term and otherwise modifying the terms of the Collaboration and License Agreement originally entered into on August 17, 2016. Pursuant to the DESRES Agreement, the parties jointly conducted research efforts with the goal of identifying and developing product candidates. The initial research term under the DESRES Agreement ended on August 16, 2025, with the DESRES Agreement continuing thereafter on a target-by-target basis until all payment obligations have expired. We paid an annual collaboration fee of up to $9.9 million to D.E. Shaw Research until the end of the initial research term. Additionally, on a product-by-product basis, we have agreed to pay D. E. Shaw Research milestone payments upon the achievement of certain development and regulatory milestone events for products we develop under the DESRES Agreement that are directed to a Category 1 Target or any target that was a Category 1 Target. Such payments for achievement of development and regulatory milestones total up to $7.3 million in the aggregate for each of the first three products we develop and up to $6.3 million in the aggregate for each product we develop after the first three. In addition, we are obligated to pay D. E. Shaw Research royalty payments, as defined in the DESRES Agreement. We assessed the milestone and royalty events under the DESRES Agreement as of December 31, 2025 and 2024, concluding certain milestone payments were triggered as of December 31, 2025 and subsequently paid in January 2026 and no such payments were due as of December 31, 2024.</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399 Binney Street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2017, we executed an operating lease agreement for 44,336 square feet of office and laboratory space at 399 Binney Street, Cambridge, Massachusetts, which was increased to 44,807 square feet in January 2018. Pursuant to the terms of the operating lease agreement, as amended in November 2019 and September 2020, the operating lease was previously scheduled to expire on April 30, 2029. On June 3, 2025, we executed another amendment to the operating lease, as amended, pursuant to which termination was accelerated to July 3, 2025. We continued to be responsible for rent and other obligations under the operating lease, as amended, through July 3, 2025, at which point such obligations ceased and the operating lease was terminated.</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60 Hampshire Street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May 2021, we executed an operating lease agreement for 41,474 square feet of office and laboratory space at 60 Hampshire Street, Cambridge, Massachusetts 02139. We gained control of the space in July 2022 and the lease expires in June 2032. There are no renewal options. We provided a letter of credit in connection with the agreement in the amount of $1.2 million with a financial institution, which expires commensurate with the lease in June 2032.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Building 300 at One Kendall Square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June 2025, we executed an operating leases agreement for 12,190 square feet of office space in Building 300 at One Kendall Square, Cambridge, Massachusetts 02139. We gained control of the space in July 2025 and the lease expires in February 2030. There are no renewal options. We provided a letter of credit in connection with the agreement in the amount $0.1 million with a financial institution, which expires commensurate with the lease in February 2030.</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Other Significant Arrangements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enter into contracts in the normal course of business with CROs and CMOs for clinical trials, preclinical research studies, and testing, manufacturing, and other services and products for operating purposes.</w:t>
      </w:r>
    </w:p>
    <w:p>
      <w:pPr>
        <w:pStyle w:val="TextBody"/>
        <w:bidi w:val="0"/>
        <w:spacing w:before="240" w:after="283"/>
        <w:jc w:val="left"/>
        <w:rPr>
          <w:rFonts w:ascii="Times New Roman" w:hAnsi="Times New Roman"/>
          <w:sz w:val="20"/>
        </w:rPr>
      </w:pPr>
      <w:r>
        <w:rPr>
          <w:rFonts w:ascii="Times New Roman" w:hAnsi="Times New Roman"/>
          <w:b/>
          <w:color w:val="000000"/>
          <w:sz w:val="18"/>
        </w:rPr>
        <w:t>Critical Accounting Policies and 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Our management’s discussion and analysis of financial condition and results of operations is based on our financial statements, which have been prepared in accordance with generally accepted accounting principles in the United States, or GAAP. The preparation of our consolidated financial statements and related disclosures requires us to make estimates and assumptions that affect the reported amounts of assets, liabilities, costs,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While our significant accounting policies are described in more detail in the notes to our consolidated financial statements included elsewhere in this Annual Report on Form 10-K, we believe that the following accounting policies are those most critical to the judgments and estimates used in the preparation of our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Revenue Recognition</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We account for revenue in accordance with Accounting Standards Codification Topic 606, </w:t>
      </w:r>
      <w:r>
        <w:rPr>
          <w:rFonts w:ascii="Times New Roman" w:hAnsi="Times New Roman"/>
          <w:i/>
          <w:color w:val="000000"/>
          <w:sz w:val="18"/>
        </w:rPr>
        <w:t>Revenue from Contracts with Customers</w:t>
      </w:r>
      <w:r>
        <w:rPr>
          <w:rFonts w:ascii="Times New Roman" w:hAnsi="Times New Roman"/>
          <w:color w:val="000000"/>
          <w:sz w:val="18"/>
        </w:rPr>
        <w:t>, or ASC 606. In connection therewith, we recognize revenue when customers obtain control of promised goods or services in an amount that reflects the consideration we expect to receive in exchange for such goods or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Once a contract is determined to be within the scope of ASC 606, we assess the goods or services promised within the contract and determine those that are performance obligations at contract inception. We then determine the transaction price and allocate it to the performance obligations. As part of the accounting for such arrangements, we must use judgment to determine: (a) the number of performance obligations; (b) the transaction price, including the determination of whether milestones or other variable consideration should be included in the transaction price; and (c) the stand-alone selling price for each performance obligation identified in the contract for the allocation of the transaction price.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utilize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We also use judgment to determine whether milestones or other variable consideration should be included in the transaction price. As part of management's evaluation of the transaction price, we consider numerous factors, including whether the achievement of the milestones is outside of our control, contingent upon the efforts of others, or subject to scientific risks of success. If we conclude it is probable that a significant revenue reversal would not occur, the associated milestone payment is included in the transaction price. Milestone payments that are not within our control, such as regulatory approvals, are generally not considered probable until those milestones are achieved. We re-evaluate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we will include royalties in the transaction price at the later of (i) when the related sales occur or (ii) when the performance obligation to which some or all of the royalty is allocated has been satisfied (or partially satisfied).</w:t>
      </w:r>
    </w:p>
    <w:p>
      <w:pPr>
        <w:pStyle w:val="TextBody"/>
        <w:bidi w:val="0"/>
        <w:spacing w:before="240" w:after="283"/>
        <w:jc w:val="left"/>
        <w:rPr>
          <w:rFonts w:ascii="Times New Roman" w:hAnsi="Times New Roman"/>
          <w:sz w:val="20"/>
        </w:rPr>
      </w:pPr>
      <w:r>
        <w:rPr>
          <w:rFonts w:ascii="Times New Roman" w:hAnsi="Times New Roman"/>
          <w:color w:val="000000"/>
          <w:sz w:val="18"/>
        </w:rPr>
        <w:t>Once the performance obligations are identified, the transaction price is allocated to each performance obligation based on the relative stand-alone selling price. We then recognize revenue for the amount of the transaction price allocated to the respective performance obligation when (or as) it is satisfied, either at a point in time or over time. If the performance obligation is satisfied over time, we recognize revenue based on the use of either an output or input method.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Prepaid and Accrued 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part of the process of preparing our consolidated financial statements, we are required to estimate prepaid and accrued research and development expenses. This process involves reviewing open contracts and purchase orders, communicating with our personnel to identify services performed on our behalf, and estimating the level of service performed and costs incurred for such services in comparison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invoices and payments. The majority of our service providers invoice us in arrears for services performed on a pre-determined schedule or when contractual milestones are met; however, some require advanced payments. We make estimates of our prepaid and accrued expenses as of each balance sheet date in our consolidated financial statements based on facts and circumstances known to us at that time.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Examples of estimated prepaid and accrued research and development expenses include fees paid to:</w:t>
      </w:r>
      <w:r>
        <w:rPr>
          <w:rFonts w:ascii="Times New Roman" w:hAnsi="Times New Roman"/>
          <w:color w:val="000000"/>
          <w:sz w:val="20"/>
        </w:rPr>
        <w:t xml:space="preserve"> </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CROs in connection with performing research activities on our behalf and conducting preclinical studies and clinical trials on our behalf;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 xml:space="preserve">investigative sites or other service providers in connection with clinical trials;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 xml:space="preserve">vendors in connection with preclinical and clinical development activities; and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 xml:space="preserve">vendors related to product manufacturing and development and distribution of preclinical and clinical supplies.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base our expenses related to preclinical studies and clinical trials on our estimates of the services received and efforts expended pursuant to quotes and contracts with multiple CROs that conduct and manage preclinical studies and clinical trials on our behalf. The financial terms of such agreements are subject to negotiation and vary from contract to contract, which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fees, we estimate the time period over which services will be performed, enrollment of patients, number of sites activated, and the level of effort to be expended in each period. If the actual timing of the performance of services or the level of effort varies from our estimate, we adjust the prepaid expense or accrued expense accordingly. Although we do not expect our estimates to be materially different from amounts actually incurred, our understanding of the status and timing of services performed relative to the actual status and timing of services performed may vary and may result in us reporting amounts that are too high or too low in any particular period. To date, we have not made any material adjustments to our prior estimates.</w:t>
      </w:r>
    </w:p>
    <w:p>
      <w:pPr>
        <w:pStyle w:val="TextBody"/>
        <w:bidi w:val="0"/>
        <w:spacing w:before="240" w:after="283"/>
        <w:jc w:val="left"/>
        <w:rPr>
          <w:rFonts w:ascii="Times New Roman" w:hAnsi="Times New Roman"/>
          <w:sz w:val="20"/>
        </w:rPr>
      </w:pPr>
      <w:r>
        <w:rPr>
          <w:rFonts w:ascii="Times New Roman" w:hAnsi="Times New Roman"/>
          <w:b/>
          <w:color w:val="000000"/>
          <w:sz w:val="18"/>
        </w:rPr>
        <w:t>Recently Issued and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 description of recently issued accounting pronouncements that we have adopted is disclosed in Note 2, </w:t>
      </w:r>
      <w:r>
        <w:rPr>
          <w:rFonts w:ascii="Times New Roman" w:hAnsi="Times New Roman"/>
          <w:i/>
          <w:color w:val="000000"/>
          <w:sz w:val="18"/>
        </w:rPr>
        <w:t>Significant Accounting Policies</w:t>
      </w:r>
      <w:r>
        <w:rPr>
          <w:rFonts w:ascii="Times New Roman" w:hAnsi="Times New Roman"/>
          <w:color w:val="000000"/>
          <w:sz w:val="18"/>
        </w:rPr>
        <w:t>, to our consolidated financial statements included elsewhere in this Annual Report on Form 10-K. None of these pronouncements had a material impact on our financial position or results of operations.</w:t>
      </w:r>
    </w:p>
    <w:p>
      <w:pPr>
        <w:pStyle w:val="TextBody"/>
        <w:bidi w:val="0"/>
        <w:spacing w:before="240" w:after="283"/>
        <w:jc w:val="left"/>
        <w:rPr>
          <w:rFonts w:ascii="Times New Roman" w:hAnsi="Times New Roman"/>
          <w:b/>
          <w:color w:val="000000"/>
          <w:sz w:val="18"/>
        </w:rPr>
      </w:pPr>
      <w:bookmarkStart w:id="15" w:name="item_7a_quantitative_qualitative_disclos"/>
      <w:bookmarkEnd w:id="15"/>
      <w:r>
        <w:rPr>
          <w:rFonts w:ascii="Times New Roman" w:hAnsi="Times New Roman"/>
          <w:b/>
          <w:color w:val="000000"/>
          <w:sz w:val="18"/>
        </w:rPr>
        <w:t>Item 7A. Quantitative and Qualitative Disclosures About Market Risk.</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Interest rate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are exposed to market risk related to changes in interest rates of our investment portfolio of cash equivalents and short-term investments. As of December 31, 2025, our cash equivalents consisted of money market funds. As of December 31, 2025, our investments consisted of investments in U.S. treasury bills and United States agency securities that have contractual maturities of less than two years. Our primary exposure to market risk is interest income sensitivity, which is affected by changes in the general level of U.S. interest rates. The fair value of our marketable securities is subject to change as a result of potential changes in market interest rates, including changes in federal interest rates. The potential change in fair value for interest rate sensitive instruments has been assessed on a hypothetical 100 basis point adverse movement across all maturities. As of December 31, 2025, we estimate that such hypothetical 100 basis point adverse movement would not result in a material impact on our condensed consolidated results of operations.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we had no debt outstanding and, therefore, are not exposed to interest rate risk with respect to debt.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Foreign currency exchange risk</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our employees and our operations are currently located in the United States and our expenses are generally denominated in U.S. dollars. However, we have entered into a limited number of contracts with vendors for research and development services that permit us to satisfy our payment obligations in U.S. dollars (at prevailing exchange rates), but have underlying payment obligations denominated in foreign currencies, including the Euro. We are subject to foreign currency transaction gains or losses on our contracts denominated in foreign currencies. To date, foreign currency transaction gains and losses have not been material to our financial statements and we have not had a formal hedging program with respect to foreign currency. We estimate that a 10% increase or decrease in current exchange rates would not have a material effect on our financial results for the years ended December 31, 2025, 2024, and 2023. While we have not engaged in the hedging of our foreign currency transactions to date, we are evaluating the costs and benefits of initiating such a program and may in the future hedge selected significant transactions denominated in currencies other than the U.S. dollar if and/or as we expand our international operations and our risk grows.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16" w:name="item_8_financial_statements"/>
      <w:bookmarkEnd w:id="16"/>
      <w:r>
        <w:rPr>
          <w:rFonts w:ascii="Times New Roman" w:hAnsi="Times New Roman"/>
          <w:b/>
          <w:color w:val="000000"/>
          <w:sz w:val="18"/>
        </w:rPr>
        <w:t>Item 8. Financial Statements and Supplementary Data.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financial statements required to be filed pursuant to this Item 8 are appended to this Annual Report on Form 10-K. An index of those financial statements is found in Index to the Consolidated Financial Statements of this Annual Report on Form 10-K, as incorporated by reference into Item 15, Exhibits and Financial Statement Schedules, of this Annual Report on Form 10-K.</w:t>
      </w:r>
    </w:p>
    <w:p>
      <w:pPr>
        <w:pStyle w:val="TextBody"/>
        <w:bidi w:val="0"/>
        <w:spacing w:before="240" w:after="283"/>
        <w:jc w:val="left"/>
        <w:rPr>
          <w:rFonts w:ascii="Times New Roman" w:hAnsi="Times New Roman"/>
          <w:b/>
          <w:color w:val="000000"/>
          <w:sz w:val="18"/>
        </w:rPr>
      </w:pPr>
      <w:bookmarkStart w:id="17" w:name="item_9_changes"/>
      <w:bookmarkEnd w:id="17"/>
      <w:r>
        <w:rPr>
          <w:rFonts w:ascii="Times New Roman" w:hAnsi="Times New Roman"/>
          <w:b/>
          <w:color w:val="000000"/>
          <w:sz w:val="18"/>
        </w:rPr>
        <w:t>Item 9. Changes in and Disagreements With Accountants on Accounting and Financial Disclosure.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240" w:after="283"/>
        <w:jc w:val="left"/>
        <w:rPr>
          <w:rFonts w:ascii="Times New Roman" w:hAnsi="Times New Roman"/>
          <w:b/>
          <w:color w:val="000000"/>
          <w:sz w:val="18"/>
        </w:rPr>
      </w:pPr>
      <w:bookmarkStart w:id="18" w:name="item_9a_controls"/>
      <w:bookmarkEnd w:id="18"/>
      <w:r>
        <w:rPr>
          <w:rFonts w:ascii="Times New Roman" w:hAnsi="Times New Roman"/>
          <w:b/>
          <w:color w:val="000000"/>
          <w:sz w:val="18"/>
        </w:rPr>
        <w:t>Item 9A.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established disclosure controls and procedures (as defined in Rules 13a-15(e) and 15d-15(e) under the Securities Exchange Act of 1934, as amended, or the Exchange Act) designed to ensure that information required to be disclosed in the reports that we file or submit under the Exchange Act is recorded, processed, summarized, and reported within the time periods specified in the SEC’s rules and forms and is accumulated and communicated to management, including the principal executive officer (our Chief Executive Officer) and principal financial officer (our Chief Financial Officer), to allow timely decisions regarding required disclosure.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Evaluation of Disclosure Controls and Procedures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 has evaluated, with the participation of our Chief Executive Officer and Chief Financial Officer, the effectiveness of our disclosure controls and procedures (as defined in Rules 13a-15(e) and 15d-15(e) under the Exchange Act) as of the end of the period covered by this Annual Report on Form 10-K. Management recognizes that 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disclosure controls and procedures have been designed to provide reasonable assurance of achieving their objectives. Based on that evaluation, our Chief Executive Officer and Chief Financial Officer have concluded that, as of December 31, 2025, our disclosure controls and procedures were effective.</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Internal Control over Financial Reporting</w:t>
      </w:r>
    </w:p>
    <w:p>
      <w:pPr>
        <w:pStyle w:val="TextBody"/>
        <w:bidi w:val="0"/>
        <w:spacing w:before="240" w:after="283"/>
        <w:jc w:val="left"/>
        <w:rPr>
          <w:rFonts w:ascii="Times New Roman" w:hAnsi="Times New Roman"/>
          <w:sz w:val="20"/>
        </w:rPr>
      </w:pPr>
      <w:r>
        <w:rPr>
          <w:rFonts w:ascii="Times New Roman" w:hAnsi="Times New Roman"/>
          <w:b/>
          <w:i/>
          <w:color w:val="000000"/>
          <w:sz w:val="18"/>
        </w:rPr>
        <w:t>Management’s Annual Report on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pertain to the maintenance of records that in reasonable detail accurately and fairly reflect the transactions and dispositions of a company’s assets;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U.S.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independent registered public accounting firm has issued an attestation report of our internal control over financial reporting. This report appears below.</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Changes in Internal Control Over Financial Reporting</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 has been no change in our internal control over financial reporting (as defined in Rules 13a-15(f) and 15d-15(f) under the Exchange Act) that occurred during the fiscal quarter ended December 31,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REPORT OF INDEPENDENT REGISTERED PUBLIC ACCOUNTING FIRM</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To the Stockholders and the Board of Directors of Relay Therapeutics, Inc.</w:t>
      </w:r>
    </w:p>
    <w:p>
      <w:pPr>
        <w:pStyle w:val="TextBody"/>
        <w:bidi w:val="0"/>
        <w:spacing w:before="240" w:after="283"/>
        <w:jc w:val="both"/>
        <w:rPr>
          <w:rFonts w:ascii="Times New Roman" w:hAnsi="Times New Roman"/>
          <w:sz w:val="20"/>
        </w:rPr>
      </w:pPr>
      <w:r>
        <w:rPr>
          <w:rFonts w:ascii="Times New Roman" w:hAnsi="Times New Roman"/>
          <w:b/>
          <w:color w:val="000000"/>
          <w:sz w:val="18"/>
        </w:rPr>
        <w:t>Opinion on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have audited Relay Therapeutics, Inc.’s internal control over financial reporting as of December 31, 2025, based on criteria established in Internal Control—Integrated Framework issued by the Committee of Sponsoring Organizations of the Treadway Commission (2013 framework) (the COSO criteria). In our opinion, Relay Therapeutics, Inc. (the Company) maintained, in all material respects, effective internal control over financial reporting as of December 31, 2025, based on the COSO criteria.</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stockholders’ equity and cash flows for each of the three years in the period ended December 31, 2025, and the related notes and our report dated February 26, 2026 expressed an unqualified opinion thereon.</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both"/>
        <w:rPr>
          <w:rFonts w:ascii="Times New Roman" w:hAnsi="Times New Roman"/>
          <w:sz w:val="20"/>
        </w:rPr>
      </w:pPr>
      <w:r>
        <w:rPr>
          <w:rFonts w:ascii="Times New Roman" w:hAnsi="Times New Roman"/>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240" w:after="283"/>
        <w:jc w:val="both"/>
        <w:rPr>
          <w:rFonts w:ascii="Times New Roman" w:hAnsi="Times New Roman"/>
          <w:sz w:val="20"/>
        </w:rPr>
      </w:pPr>
      <w:r>
        <w:rPr>
          <w:rFonts w:ascii="Times New Roman" w:hAnsi="Times New Roman"/>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18"/>
        </w:rPr>
        <w:t>Definition and Limitations of Internal Control Over Financial Reporting</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both"/>
        <w:rPr>
          <w:rFonts w:ascii="Times New Roman" w:hAnsi="Times New Roman"/>
          <w:color w:val="000000"/>
          <w:sz w:val="18"/>
        </w:rPr>
      </w:pPr>
      <w:r>
        <w:rPr>
          <w:rFonts w:ascii="Times New Roman" w:hAnsi="Times New Roman"/>
          <w:color w:val="000000"/>
          <w:sz w:val="18"/>
        </w:rPr>
        <w:t>Boston,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February 26,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bookmarkStart w:id="19" w:name="item_9b_other"/>
      <w:bookmarkEnd w:id="19"/>
      <w:r>
        <w:rPr>
          <w:rFonts w:ascii="Times New Roman" w:hAnsi="Times New Roman"/>
          <w:b/>
          <w:color w:val="000000"/>
          <w:sz w:val="18"/>
        </w:rPr>
        <w:t>Item 9B. Other Information.</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Rule 10b5-1 Trading Plans</w:t>
      </w:r>
    </w:p>
    <w:p>
      <w:pPr>
        <w:pStyle w:val="TextBody"/>
        <w:bidi w:val="0"/>
        <w:spacing w:before="240" w:after="283"/>
        <w:jc w:val="both"/>
        <w:rPr>
          <w:rFonts w:ascii="Times New Roman" w:hAnsi="Times New Roman"/>
          <w:sz w:val="20"/>
        </w:rPr>
      </w:pPr>
      <w:r>
        <w:rPr>
          <w:rFonts w:ascii="Times New Roman" w:hAnsi="Times New Roman"/>
          <w:color w:val="000000"/>
          <w:sz w:val="18"/>
        </w:rPr>
        <w:t>The following table describes, for the three month period ended December 31, 2025, each trading arrangement for the sale or purchase of our securities adopted, materially modified,</w:t>
      </w:r>
      <w:r>
        <w:rPr>
          <w:rFonts w:ascii="Times New Roman" w:hAnsi="Times New Roman"/>
          <w:color w:val="000000"/>
          <w:sz w:val="20"/>
        </w:rPr>
        <w:t xml:space="preserve"> </w:t>
      </w:r>
      <w:r>
        <w:rPr>
          <w:rFonts w:ascii="Times New Roman" w:hAnsi="Times New Roman"/>
          <w:color w:val="000000"/>
          <w:sz w:val="18"/>
        </w:rPr>
        <w:t>or terminated</w:t>
      </w:r>
      <w:r>
        <w:rPr>
          <w:rFonts w:ascii="Times New Roman" w:hAnsi="Times New Roman"/>
          <w:color w:val="000000"/>
          <w:sz w:val="20"/>
        </w:rPr>
        <w:t xml:space="preserve"> </w:t>
      </w:r>
      <w:r>
        <w:rPr>
          <w:rFonts w:ascii="Times New Roman" w:hAnsi="Times New Roman"/>
          <w:color w:val="000000"/>
          <w:sz w:val="18"/>
        </w:rPr>
        <w:t>by our directors and officers that is a contract, instruction, or written plan intended to satisfy the affirmative defense conditions of Rule 10b5-1(c) under the Exchange Act, or a Rule 10b5-1 trading arrangement. No other officers or directors adopted, materially modified, or terminated a Rule 10b5-1 trading arrangement or any non-Rule 10b5-1 trading arrangement during the three month period ended December 31, 2025.</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979"/>
        <w:gridCol w:w="1028"/>
        <w:gridCol w:w="1807"/>
        <w:gridCol w:w="3941"/>
        <w:gridCol w:w="1450"/>
      </w:tblGrid>
      <w:tr>
        <w:trPr/>
        <w:tc>
          <w:tcPr>
            <w:tcW w:w="197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3941"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r>
      <w:tr>
        <w:trPr/>
        <w:tc>
          <w:tcPr>
            <w:tcW w:w="1979"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Name</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02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Action Taken</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of Action)</w:t>
            </w:r>
          </w:p>
        </w:tc>
        <w:tc>
          <w:tcPr>
            <w:tcW w:w="1807"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 Trading Arrangement</w:t>
            </w:r>
          </w:p>
        </w:tc>
        <w:tc>
          <w:tcPr>
            <w:tcW w:w="394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Date</w:t>
            </w:r>
          </w:p>
        </w:tc>
        <w:tc>
          <w:tcPr>
            <w:tcW w:w="145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jc w:val="center"/>
              <w:rPr>
                <w:rFonts w:ascii="Times New Roman" w:hAnsi="Times New Roman"/>
                <w:sz w:val="16"/>
              </w:rPr>
            </w:pPr>
            <w:r>
              <w:rPr>
                <w:rFonts w:ascii="Times New Roman" w:hAnsi="Times New Roman"/>
                <w:b/>
                <w:color w:val="000000"/>
                <w:sz w:val="16"/>
              </w:rPr>
              <w:t>Aggregate Number</w:t>
            </w:r>
            <w:r>
              <w:rPr>
                <w:rFonts w:ascii="Times New Roman" w:hAnsi="Times New Roman"/>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Securities</w:t>
            </w:r>
          </w:p>
        </w:tc>
      </w:tr>
      <w:tr>
        <w:trPr/>
        <w:tc>
          <w:tcPr>
            <w:tcW w:w="197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 xml:space="preserve">Donald A. Bergstrom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(President, Research and Development)</w:t>
            </w:r>
          </w:p>
        </w:tc>
        <w:tc>
          <w:tcPr>
            <w:tcW w:w="1028"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16"/>
              </w:rPr>
              <w:t>Adoption</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(10/30/2025)</w:t>
            </w:r>
          </w:p>
        </w:tc>
        <w:tc>
          <w:tcPr>
            <w:tcW w:w="18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Rule 10b5-1 Trading Arrangement</w:t>
            </w:r>
          </w:p>
        </w:tc>
        <w:tc>
          <w:tcPr>
            <w:tcW w:w="39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earlier of (i) 11/20/2026 and (ii) the completed sale of the maximum shares subject to the plan.</w:t>
            </w:r>
          </w:p>
        </w:tc>
        <w:tc>
          <w:tcPr>
            <w:tcW w:w="14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Up to 120,915</w:t>
            </w:r>
            <w:r>
              <w:rPr>
                <w:rFonts w:ascii="Times New Roman" w:hAnsi="Times New Roman"/>
                <w:color w:val="000000"/>
                <w:sz w:val="20"/>
              </w:rPr>
              <w:t> </w:t>
            </w:r>
            <w:r>
              <w:rPr>
                <w:rFonts w:ascii="Times New Roman" w:hAnsi="Times New Roman"/>
                <w:color w:val="000000"/>
                <w:sz w:val="16"/>
              </w:rPr>
              <w:t>Shares</w:t>
            </w:r>
          </w:p>
        </w:tc>
      </w:tr>
      <w:tr>
        <w:trPr/>
        <w:tc>
          <w:tcPr>
            <w:tcW w:w="197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Peter Rahmer</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Corporate Development Officer)</w:t>
            </w:r>
          </w:p>
        </w:tc>
        <w:tc>
          <w:tcPr>
            <w:tcW w:w="1028"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16"/>
              </w:rPr>
              <w:t>Adoption</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(10/31/2025)</w:t>
            </w:r>
          </w:p>
        </w:tc>
        <w:tc>
          <w:tcPr>
            <w:tcW w:w="18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Rule 10b5-1 Trading Arrangement</w:t>
            </w:r>
          </w:p>
        </w:tc>
        <w:tc>
          <w:tcPr>
            <w:tcW w:w="39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earlier of (i) 10/15/2026 and (ii) the completed sale of the maximum shares subject to the plan.</w:t>
            </w:r>
          </w:p>
        </w:tc>
        <w:tc>
          <w:tcPr>
            <w:tcW w:w="14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Up to 100,000</w:t>
            </w:r>
            <w:r>
              <w:rPr>
                <w:rFonts w:ascii="Times New Roman" w:hAnsi="Times New Roman"/>
                <w:color w:val="000000"/>
                <w:sz w:val="20"/>
              </w:rPr>
              <w:t> </w:t>
            </w:r>
            <w:r>
              <w:rPr>
                <w:rFonts w:ascii="Times New Roman" w:hAnsi="Times New Roman"/>
                <w:color w:val="000000"/>
                <w:sz w:val="16"/>
              </w:rPr>
              <w:t>Shares</w:t>
            </w:r>
          </w:p>
        </w:tc>
      </w:tr>
      <w:tr>
        <w:trPr/>
        <w:tc>
          <w:tcPr>
            <w:tcW w:w="197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16"/>
              </w:rPr>
              <w:t>Thomas Catinazzo</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c>
          <w:tcPr>
            <w:tcW w:w="1028"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16"/>
              </w:rPr>
              <w:t>Adoption</w:t>
            </w:r>
            <w:r>
              <w:rPr>
                <w:rFonts w:ascii="Times New Roman" w:hAnsi="Times New Roman"/>
                <w:color w:val="000000"/>
                <w:sz w:val="20"/>
              </w:rPr>
              <w:t xml:space="preserve"> </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(10/30/2025)</w:t>
            </w:r>
          </w:p>
        </w:tc>
        <w:tc>
          <w:tcPr>
            <w:tcW w:w="18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Rule 10b5-1 Trading Arrangement</w:t>
            </w:r>
          </w:p>
        </w:tc>
        <w:tc>
          <w:tcPr>
            <w:tcW w:w="39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earlier of (i) 12/17/2026 and (ii) the completed sale of the maximum shares subject to the plan.</w:t>
            </w:r>
          </w:p>
        </w:tc>
        <w:tc>
          <w:tcPr>
            <w:tcW w:w="14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Up to 388,418</w:t>
            </w:r>
            <w:r>
              <w:rPr>
                <w:rFonts w:ascii="Times New Roman" w:hAnsi="Times New Roman"/>
                <w:color w:val="000000"/>
                <w:sz w:val="20"/>
              </w:rPr>
              <w:t> </w:t>
            </w:r>
            <w:r>
              <w:rPr>
                <w:rFonts w:ascii="Times New Roman" w:hAnsi="Times New Roman"/>
                <w:color w:val="000000"/>
                <w:sz w:val="16"/>
              </w:rPr>
              <w:t>Shares</w:t>
            </w:r>
          </w:p>
        </w:tc>
      </w:tr>
      <w:tr>
        <w:trPr/>
        <w:tc>
          <w:tcPr>
            <w:tcW w:w="197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sz w:val="20"/>
              </w:rPr>
            </w:pPr>
            <w:r>
              <w:rPr>
                <w:rFonts w:ascii="Times New Roman" w:hAnsi="Times New Roman"/>
                <w:color w:val="000000"/>
                <w:sz w:val="16"/>
              </w:rPr>
              <w:t>Sanjiv K. Patel</w:t>
            </w:r>
            <w:r>
              <w:rPr>
                <w:rFonts w:ascii="Times New Roman" w:hAnsi="Times New Roman"/>
                <w:color w:val="000000"/>
                <w:sz w:val="20"/>
              </w:rPr>
              <w:t xml:space="preserve"> </w:t>
            </w:r>
          </w:p>
          <w:p>
            <w:pPr>
              <w:pStyle w:val="TableContents"/>
              <w:bidi w:val="0"/>
              <w:spacing w:before="0" w:after="283"/>
              <w:jc w:val="left"/>
              <w:rPr>
                <w:rFonts w:ascii="Times New Roman" w:hAnsi="Times New Roman"/>
                <w:sz w:val="20"/>
              </w:rPr>
            </w:pPr>
            <w:r>
              <w:rPr>
                <w:rFonts w:ascii="Times New Roman" w:hAnsi="Times New Roman"/>
                <w:color w:val="000000"/>
                <w:sz w:val="16"/>
              </w:rPr>
              <w:t>(President and Chief Executive Officer)</w:t>
            </w:r>
            <w:r>
              <w:rPr>
                <w:rFonts w:ascii="Times New Roman" w:hAnsi="Times New Roman"/>
                <w:color w:val="000000"/>
                <w:sz w:val="20"/>
              </w:rPr>
              <w:t xml:space="preserve"> </w:t>
            </w:r>
          </w:p>
        </w:tc>
        <w:tc>
          <w:tcPr>
            <w:tcW w:w="1028"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16"/>
              </w:rPr>
            </w:pPr>
            <w:r>
              <w:rPr>
                <w:rFonts w:ascii="Times New Roman" w:hAnsi="Times New Roman"/>
                <w:color w:val="000000"/>
                <w:sz w:val="16"/>
              </w:rPr>
              <w:t>Adoption</w:t>
            </w:r>
          </w:p>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(10/30/2025)</w:t>
            </w:r>
          </w:p>
        </w:tc>
        <w:tc>
          <w:tcPr>
            <w:tcW w:w="1807"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Rule 10b5-1 Trading Arrangement</w:t>
            </w:r>
          </w:p>
        </w:tc>
        <w:tc>
          <w:tcPr>
            <w:tcW w:w="394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earlier of (i) 11/23/2026 and (ii) the completed sale of the maximum shares subject to the plan.</w:t>
            </w:r>
          </w:p>
        </w:tc>
        <w:tc>
          <w:tcPr>
            <w:tcW w:w="14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Up to 240,998</w:t>
            </w:r>
            <w:r>
              <w:rPr>
                <w:rFonts w:ascii="Times New Roman" w:hAnsi="Times New Roman"/>
                <w:color w:val="000000"/>
                <w:sz w:val="20"/>
              </w:rPr>
              <w:t> </w:t>
            </w:r>
            <w:r>
              <w:rPr>
                <w:rFonts w:ascii="Times New Roman" w:hAnsi="Times New Roman"/>
                <w:color w:val="000000"/>
                <w:sz w:val="16"/>
              </w:rPr>
              <w:t>Shares</w:t>
            </w:r>
          </w:p>
        </w:tc>
      </w:tr>
    </w:tbl>
    <w:p>
      <w:pPr>
        <w:pStyle w:val="TextBody"/>
        <w:bidi w:val="0"/>
        <w:jc w:val="left"/>
        <w:rPr/>
      </w:pPr>
      <w:r>
        <w:rPr/>
        <w:t> </w:t>
      </w:r>
    </w:p>
    <w:p>
      <w:pPr>
        <w:pStyle w:val="TextBody"/>
        <w:bidi w:val="0"/>
        <w:spacing w:before="240" w:after="283"/>
        <w:jc w:val="left"/>
        <w:rPr>
          <w:rFonts w:ascii="Times New Roman" w:hAnsi="Times New Roman"/>
          <w:sz w:val="20"/>
        </w:rPr>
      </w:pPr>
      <w:bookmarkStart w:id="20" w:name="item_9c_disclosure"/>
      <w:bookmarkEnd w:id="20"/>
      <w:r>
        <w:rPr>
          <w:rFonts w:ascii="Times New Roman" w:hAnsi="Times New Roman"/>
          <w:b/>
          <w:color w:val="000000"/>
          <w:sz w:val="18"/>
        </w:rPr>
        <w:t>Item 9C. Disclosure Regarding Foreign Jurisdictions that Prevent Inspections.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18"/>
        </w:rPr>
        <w:t>PART</w:t>
      </w:r>
      <w:bookmarkStart w:id="22" w:name="part_iii_"/>
      <w:bookmarkEnd w:id="22"/>
      <w:r>
        <w:rPr>
          <w:rFonts w:ascii="Times New Roman" w:hAnsi="Times New Roman"/>
          <w:color w:val="000000"/>
          <w:sz w:val="20"/>
        </w:rPr>
        <w:t xml:space="preserve"> </w:t>
      </w:r>
      <w:r>
        <w:rPr>
          <w:rFonts w:ascii="Times New Roman" w:hAnsi="Times New Roman"/>
          <w:b/>
          <w:color w:val="000000"/>
          <w:sz w:val="18"/>
        </w:rPr>
        <w:t>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3" w:name="item_10"/>
      <w:bookmarkEnd w:id="23"/>
      <w:r>
        <w:rPr>
          <w:rFonts w:ascii="Times New Roman" w:hAnsi="Times New Roman"/>
          <w:b/>
          <w:color w:val="000000"/>
          <w:sz w:val="18"/>
        </w:rPr>
        <w:t>Item 10. Directors, Executive Officers and Corporate Governance.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required by this Item 10 will be included in our Definitive Proxy Statement to be filed with the Securities and Exchange Commission, or SEC, with respect to our 2026 Annual Meeting of Stockholders within 120 days of the end of our fiscal year pursuant to General Instruction G(3) of Form 10-K and is incorporated herein by reference.</w:t>
      </w:r>
    </w:p>
    <w:p>
      <w:pPr>
        <w:pStyle w:val="TextBody"/>
        <w:bidi w:val="0"/>
        <w:spacing w:before="240" w:after="283"/>
        <w:jc w:val="left"/>
        <w:rPr>
          <w:rFonts w:ascii="Times New Roman" w:hAnsi="Times New Roman"/>
          <w:sz w:val="20"/>
        </w:rPr>
      </w:pPr>
      <w:bookmarkStart w:id="24" w:name="item_11_executive_compensation"/>
      <w:bookmarkEnd w:id="24"/>
      <w:r>
        <w:rPr>
          <w:rFonts w:ascii="Times New Roman" w:hAnsi="Times New Roman"/>
          <w:b/>
          <w:color w:val="000000"/>
          <w:sz w:val="18"/>
        </w:rPr>
        <w:t>Item 11.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11 will be included in our Definitive Proxy Statement (excluding the information under the subheading "Pay Versus Performance") to be filed with the SEC with respect to our 2026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5" w:name="item_12_security_ownership_of"/>
      <w:bookmarkEnd w:id="25"/>
      <w:r>
        <w:rPr>
          <w:rFonts w:ascii="Times New Roman" w:hAnsi="Times New Roman"/>
          <w:b/>
          <w:color w:val="000000"/>
          <w:sz w:val="18"/>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12 will be included in our Definitive Proxy Statement to be filed with the SEC with respect to our 2026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6" w:name="item_13_certain_relationships"/>
      <w:bookmarkEnd w:id="26"/>
      <w:r>
        <w:rPr>
          <w:rFonts w:ascii="Times New Roman" w:hAnsi="Times New Roman"/>
          <w:b/>
          <w:color w:val="000000"/>
          <w:sz w:val="18"/>
        </w:rPr>
        <w:t>Item 13. Certain Relationships and Related Transactions, and Director Independence.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13 will be included in our Definitive Proxy Statement to be filed with the SEC with respect to our 2026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7" w:name="item_14_principal_accounting"/>
      <w:bookmarkEnd w:id="27"/>
      <w:r>
        <w:rPr>
          <w:rFonts w:ascii="Times New Roman" w:hAnsi="Times New Roman"/>
          <w:b/>
          <w:color w:val="000000"/>
          <w:sz w:val="18"/>
        </w:rPr>
        <w:t>Item 14. Principal Accounting Fees and Services.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Our independent public accounting firm is Ernst &amp; Young LLP, Boston, Massachusetts, United States, PCAOB Auditor ID 42.</w:t>
      </w:r>
    </w:p>
    <w:p>
      <w:pPr>
        <w:pStyle w:val="TextBody"/>
        <w:bidi w:val="0"/>
        <w:spacing w:before="240" w:after="283"/>
        <w:jc w:val="left"/>
        <w:rPr>
          <w:rFonts w:ascii="Times New Roman" w:hAnsi="Times New Roman"/>
          <w:sz w:val="20"/>
        </w:rPr>
      </w:pPr>
      <w:r>
        <w:rPr>
          <w:rFonts w:ascii="Times New Roman" w:hAnsi="Times New Roman"/>
          <w:color w:val="000000"/>
          <w:sz w:val="18"/>
        </w:rPr>
        <w:t>The information required by this Item 14 will be set forth in the section headed " – Ratification of the Appointment of Ernst &amp; Young LLP as Relay Therapeutics’ Independent Registered Public Accounting Firm for the Fiscal Year Ending December 31, 2026" in our Definitive Proxy Statement to be filed with the SEC with respect to our 2026 Annual Meeting of Stockholders within 120 days of the end of our fiscal year pursuant to General Instruction G(3) of Form 10-K and is incorporated herein by reference.</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part_iv"/>
      <w:bookmarkEnd w:id="28"/>
      <w:r>
        <w:rPr>
          <w:rFonts w:ascii="Times New Roman" w:hAnsi="Times New Roman"/>
          <w:b/>
          <w:color w:val="000000"/>
          <w:sz w:val="18"/>
        </w:rPr>
        <w:t xml:space="preserve">PART </w:t>
      </w:r>
      <w:bookmarkStart w:id="29" w:name="part_iv_"/>
      <w:bookmarkEnd w:id="29"/>
      <w:r>
        <w:rPr>
          <w:rFonts w:ascii="Times New Roman" w:hAnsi="Times New Roman"/>
          <w:b/>
          <w:color w:val="000000"/>
          <w:sz w:val="18"/>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0" w:name="item_15_exhibits_financial_statement_sch"/>
      <w:bookmarkEnd w:id="30"/>
      <w:r>
        <w:rPr>
          <w:rFonts w:ascii="Times New Roman" w:hAnsi="Times New Roman"/>
          <w:b/>
          <w:color w:val="000000"/>
          <w:sz w:val="18"/>
        </w:rPr>
        <w:t>Item 15. Exhibits and Financial Statement Schedules.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For a list of the financial statements included herein, see Index to the Consolidated Financial Statements of this Annual Report on Form 10-K, incorporated into this Item by reference.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Financial statement schedules have been omitted because they are either not required or not applicable or the information is included in the consolidated financial statements or the notes thereto.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exhibits filed as part of this Annual Report on Form 10-K are set forth on the Exhibit Index immediately preceding the signature page of this Annual Report on Form 10-K. The Exhibit Index is incorporated herein by reference.</w:t>
      </w:r>
    </w:p>
    <w:p>
      <w:pPr>
        <w:pStyle w:val="TextBody"/>
        <w:bidi w:val="0"/>
        <w:spacing w:before="240" w:after="283"/>
        <w:jc w:val="left"/>
        <w:rPr>
          <w:rFonts w:ascii="Times New Roman" w:hAnsi="Times New Roman"/>
          <w:b/>
          <w:color w:val="000000"/>
          <w:sz w:val="18"/>
        </w:rPr>
      </w:pPr>
      <w:bookmarkStart w:id="31" w:name="item_16_form_10_k_summary"/>
      <w:bookmarkEnd w:id="31"/>
      <w:r>
        <w:rPr>
          <w:rFonts w:ascii="Times New Roman" w:hAnsi="Times New Roman"/>
          <w:b/>
          <w:color w:val="000000"/>
          <w:sz w:val="18"/>
        </w:rPr>
        <w:t>Item 16. Form 10-K Summary</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Index to Consolidated Financial Statements</w:t>
      </w:r>
    </w:p>
    <w:p>
      <w:pPr>
        <w:pStyle w:val="TextBody"/>
        <w:bidi w:val="0"/>
        <w:jc w:val="left"/>
        <w:rPr/>
      </w:pPr>
      <w:r>
        <w:rPr/>
        <w:t> </w:t>
      </w:r>
    </w:p>
    <w:tbl>
      <w:tblPr>
        <w:tblW w:w="5758" w:type="dxa"/>
        <w:jc w:val="left"/>
        <w:tblInd w:w="0" w:type="dxa"/>
        <w:tblLayout w:type="fixed"/>
        <w:tblCellMar>
          <w:top w:w="28" w:type="dxa"/>
          <w:left w:w="28" w:type="dxa"/>
          <w:bottom w:w="28" w:type="dxa"/>
          <w:right w:w="28" w:type="dxa"/>
        </w:tblCellMar>
      </w:tblPr>
      <w:tblGrid>
        <w:gridCol w:w="4966"/>
        <w:gridCol w:w="146"/>
        <w:gridCol w:w="646"/>
      </w:tblGrid>
      <w:tr>
        <w:trPr/>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report_of_independent">
              <w:r>
                <w:rPr>
                  <w:rStyle w:val="InternetLink"/>
                  <w:rFonts w:ascii="Times New Roman" w:hAnsi="Times New Roman"/>
                  <w:color w:val="0000FF"/>
                  <w:sz w:val="18"/>
                  <w:u w:val="single"/>
                </w:rPr>
                <w:t>Report of Independent Registered Public Accounting Firm</w:t>
              </w:r>
            </w:hyperlink>
            <w:hyperlink w:anchor="report_of_independent">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F-2</w:t>
            </w:r>
          </w:p>
        </w:tc>
      </w:tr>
      <w:tr>
        <w:trPr/>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18"/>
              </w:rPr>
            </w:pPr>
            <w:r>
              <w:rPr>
                <w:rFonts w:ascii="Times New Roman" w:hAnsi="Times New Roman"/>
                <w:color w:val="000000"/>
                <w:sz w:val="18"/>
              </w:rPr>
              <w:t>Consolidated Financial Statements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18"/>
                  <w:u w:val="single"/>
                </w:rPr>
                <w:t>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F-4</w:t>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f">
              <w:r>
                <w:rPr>
                  <w:rStyle w:val="InternetLink"/>
                  <w:rFonts w:ascii="Times New Roman" w:hAnsi="Times New Roman"/>
                  <w:color w:val="0000FF"/>
                  <w:sz w:val="18"/>
                  <w:u w:val="single"/>
                </w:rPr>
                <w:t>Consolidated 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F-5</w:t>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
              <w:r>
                <w:rPr>
                  <w:rStyle w:val="InternetLink"/>
                  <w:rFonts w:ascii="Times New Roman" w:hAnsi="Times New Roman"/>
                  <w:color w:val="0000FF"/>
                  <w:sz w:val="18"/>
                  <w:u w:val="single"/>
                </w:rPr>
                <w:t>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F-6</w:t>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
              <w:r>
                <w:rPr>
                  <w:rStyle w:val="InternetLink"/>
                  <w:rFonts w:ascii="Times New Roman" w:hAnsi="Times New Roman"/>
                  <w:color w:val="0000FF"/>
                  <w:sz w:val="18"/>
                  <w:u w:val="single"/>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18"/>
              </w:rPr>
            </w:pPr>
            <w:r>
              <w:rPr>
                <w:rFonts w:ascii="Times New Roman" w:hAnsi="Times New Roman"/>
                <w:color w:val="000000"/>
                <w:sz w:val="18"/>
              </w:rPr>
              <w:t>F-7</w:t>
            </w:r>
          </w:p>
        </w:tc>
      </w:tr>
      <w:tr>
        <w:trPr/>
        <w:tc>
          <w:tcPr>
            <w:tcW w:w="496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
              <w:r>
                <w:rPr>
                  <w:rStyle w:val="InternetLink"/>
                  <w:rFonts w:ascii="Times New Roman" w:hAnsi="Times New Roman"/>
                  <w:color w:val="0000FF"/>
                  <w:sz w:val="18"/>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646"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18"/>
              </w:rPr>
            </w:pPr>
            <w:r>
              <w:rPr>
                <w:rFonts w:ascii="Times New Roman" w:hAnsi="Times New Roman"/>
                <w:color w:val="000000"/>
                <w:sz w:val="18"/>
              </w:rPr>
              <w:t>F-8</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2" w:name="report_of_independent"/>
      <w:bookmarkEnd w:id="32"/>
      <w:r>
        <w:rPr>
          <w:rFonts w:ascii="Times New Roman" w:hAnsi="Times New Roman"/>
          <w:b/>
          <w:color w:val="000000"/>
          <w:sz w:val="18"/>
        </w:rPr>
        <w:t>REPORT OF INDEPENDENT</w:t>
      </w:r>
      <w:r>
        <w:rPr>
          <w:rFonts w:ascii="Times New Roman" w:hAnsi="Times New Roman"/>
          <w:color w:val="000000"/>
          <w:sz w:val="20"/>
        </w:rPr>
        <w:t xml:space="preserve"> </w:t>
      </w:r>
      <w:r>
        <w:rPr>
          <w:rFonts w:ascii="Times New Roman" w:hAnsi="Times New Roman"/>
          <w:b/>
          <w:color w:val="000000"/>
          <w:sz w:val="18"/>
        </w:rPr>
        <w:t>REG</w:t>
      </w:r>
      <w:bookmarkStart w:id="33" w:name="opinion"/>
      <w:bookmarkEnd w:id="33"/>
      <w:r>
        <w:rPr>
          <w:rFonts w:ascii="Times New Roman" w:hAnsi="Times New Roman"/>
          <w:b/>
          <w:color w:val="000000"/>
          <w:sz w:val="18"/>
        </w:rPr>
        <w:t>ISTERED PUBLIC ACCOUNTING FIRM</w:t>
      </w:r>
    </w:p>
    <w:p>
      <w:pPr>
        <w:pStyle w:val="TextBody"/>
        <w:bidi w:val="0"/>
        <w:spacing w:before="240" w:after="283"/>
        <w:jc w:val="left"/>
        <w:rPr>
          <w:rFonts w:ascii="Times New Roman" w:hAnsi="Times New Roman"/>
          <w:sz w:val="20"/>
        </w:rPr>
      </w:pPr>
      <w:r>
        <w:rPr>
          <w:rFonts w:ascii="Times New Roman" w:hAnsi="Times New Roman"/>
          <w:color w:val="000000"/>
          <w:sz w:val="18"/>
        </w:rPr>
        <w:t>To the Stockholders and the Board of Directors of Relay Therapeutics, Inc.</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240" w:after="283"/>
        <w:jc w:val="left"/>
        <w:rPr>
          <w:rFonts w:ascii="Times New Roman" w:hAnsi="Times New Roman"/>
          <w:sz w:val="20"/>
        </w:rPr>
      </w:pPr>
      <w:r>
        <w:rPr>
          <w:rFonts w:ascii="Times New Roman" w:hAnsi="Times New Roman"/>
          <w:color w:val="000000"/>
          <w:sz w:val="18"/>
        </w:rPr>
        <w:t>We have audited the accompanying consolidated balance sheets of Relay Therapeutics, Inc. (the Company) as of December 31, 2025 and 2024, the related consolidated statements of operations and comprehensive loss, stockholders’ equity and cash flows for each of the three years in the period ended December 31, 2025, and the related notes (collectively referred to as the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26, 2026 expressed an unqualified opinion thereon.</w:t>
      </w:r>
    </w:p>
    <w:p>
      <w:pPr>
        <w:pStyle w:val="TextBody"/>
        <w:bidi w:val="0"/>
        <w:spacing w:before="240" w:after="283"/>
        <w:jc w:val="both"/>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240" w:after="283"/>
        <w:jc w:val="left"/>
        <w:rPr>
          <w:rFonts w:ascii="Times New Roman" w:hAnsi="Times New Roman"/>
          <w:sz w:val="20"/>
        </w:rPr>
      </w:pPr>
      <w:r>
        <w:rPr>
          <w:rFonts w:ascii="Times New Roman" w:hAnsi="Times New Roman"/>
          <w:b/>
          <w:color w:val="000000"/>
          <w:sz w:val="18"/>
        </w:rPr>
        <w:t>Critical Audit Matter</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tbl>
      <w:tblPr>
        <w:tblW w:w="10205" w:type="dxa"/>
        <w:jc w:val="left"/>
        <w:tblInd w:w="0" w:type="dxa"/>
        <w:tblLayout w:type="fixed"/>
        <w:tblCellMar>
          <w:top w:w="28" w:type="dxa"/>
          <w:left w:w="28" w:type="dxa"/>
          <w:bottom w:w="28" w:type="dxa"/>
          <w:right w:w="28" w:type="dxa"/>
        </w:tblCellMar>
      </w:tblPr>
      <w:tblGrid>
        <w:gridCol w:w="1090"/>
        <w:gridCol w:w="109"/>
        <w:gridCol w:w="9006"/>
      </w:tblGrid>
      <w:tr>
        <w:trPr/>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6" w:type="dxa"/>
            <w:tcBorders/>
            <w:vAlign w:val="center"/>
          </w:tcPr>
          <w:p>
            <w:pPr>
              <w:pStyle w:val="TableContents"/>
              <w:bidi w:val="0"/>
              <w:spacing w:before="0" w:after="283"/>
              <w:jc w:val="left"/>
              <w:rPr>
                <w:sz w:val="4"/>
                <w:szCs w:val="4"/>
              </w:rPr>
            </w:pPr>
            <w:r>
              <w:rPr>
                <w:sz w:val="4"/>
                <w:szCs w:val="4"/>
              </w:rPr>
            </w:r>
          </w:p>
        </w:tc>
      </w:tr>
      <w:tr>
        <w:trPr/>
        <w:tc>
          <w:tcPr>
            <w:tcW w:w="10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b/>
                <w:i/>
                <w:color w:val="000000"/>
                <w:sz w:val="18"/>
              </w:rPr>
            </w:pPr>
            <w:r>
              <w:rPr>
                <w:rFonts w:ascii="Times New Roman" w:hAnsi="Times New Roman"/>
                <w:b/>
                <w:i/>
                <w:color w:val="000000"/>
                <w:sz w:val="18"/>
              </w:rPr>
              <w:t>Prepaid and Accrued Research and Development Expenses</w:t>
            </w:r>
          </w:p>
        </w:tc>
      </w:tr>
      <w:tr>
        <w:trPr/>
        <w:tc>
          <w:tcPr>
            <w:tcW w:w="1090"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i/>
                <w:color w:val="000000"/>
                <w:sz w:val="18"/>
              </w:rPr>
            </w:pPr>
            <w:r>
              <w:rPr>
                <w:rFonts w:ascii="Times New Roman" w:hAnsi="Times New Roman"/>
                <w:i/>
                <w:color w:val="000000"/>
                <w:sz w:val="18"/>
              </w:rPr>
              <w:t>Description of the Matter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tcBorders/>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18"/>
              </w:rPr>
            </w:pPr>
            <w:r>
              <w:rPr>
                <w:rFonts w:ascii="Times New Roman" w:hAnsi="Times New Roman"/>
                <w:color w:val="000000"/>
                <w:sz w:val="18"/>
              </w:rPr>
              <w:t>As of December 31, 2025, the Company has recognized prepaid expenses of $17.8 million, which includes prepaid research and development expenses, and accrued external research and development costs of $12.6 million. As discussed in Note 2 to the consolidated financial statements, the Company makes estimates of prepaid and accrued research and development expenses at each balance sheet date by analyzing the progress of the services, including the phase or completion of events, invoices received and contracted costs from external third parties.</w:t>
            </w:r>
          </w:p>
          <w:p>
            <w:pPr>
              <w:pStyle w:val="TableContents"/>
              <w:bidi w:val="0"/>
              <w:spacing w:before="240" w:after="283"/>
              <w:jc w:val="left"/>
              <w:rPr>
                <w:rFonts w:ascii="Times New Roman" w:hAnsi="Times New Roman"/>
                <w:color w:val="000000"/>
                <w:sz w:val="18"/>
              </w:rPr>
            </w:pPr>
            <w:r>
              <w:rPr>
                <w:rFonts w:ascii="Times New Roman" w:hAnsi="Times New Roman"/>
                <w:color w:val="000000"/>
                <w:sz w:val="18"/>
              </w:rPr>
              <w:t>Auditing the Company’s estimates of prepaid and accrued external research and development expenses related to contract research organizations in connection with clinical trials, which are included within the prepaid and accrued research and development expenses, is challenging and judgmental, as the amounts are based on various estimates from third-party vendors, as well as other inputs estimated by members of management, such as, the time period over which services will be performed, enrollment of patients, number of sites activated, and the level of effort expended during the reporting period. Additionally, due to the duration of the Company’s research and development activities and the timing of invoicing received from third parties, the actual amounts incurred are not typically known by the date the financial statements are issued.</w:t>
            </w:r>
          </w:p>
        </w:tc>
      </w:tr>
    </w:tbl>
    <w:p>
      <w:pPr>
        <w:pStyle w:val="TextBody"/>
        <w:bidi w:val="0"/>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88"/>
        <w:gridCol w:w="109"/>
        <w:gridCol w:w="9008"/>
      </w:tblGrid>
      <w:tr>
        <w:trPr/>
        <w:tc>
          <w:tcPr>
            <w:tcW w:w="1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08" w:type="dxa"/>
            <w:tcBorders/>
            <w:vAlign w:val="center"/>
          </w:tcPr>
          <w:p>
            <w:pPr>
              <w:pStyle w:val="TableContents"/>
              <w:bidi w:val="0"/>
              <w:spacing w:before="0" w:after="283"/>
              <w:jc w:val="left"/>
              <w:rPr>
                <w:sz w:val="4"/>
                <w:szCs w:val="4"/>
              </w:rPr>
            </w:pPr>
            <w:r>
              <w:rPr>
                <w:sz w:val="4"/>
                <w:szCs w:val="4"/>
              </w:rPr>
            </w:r>
          </w:p>
        </w:tc>
      </w:tr>
      <w:tr>
        <w:trPr/>
        <w:tc>
          <w:tcPr>
            <w:tcW w:w="1088"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i/>
                <w:color w:val="000000"/>
                <w:sz w:val="18"/>
              </w:rPr>
            </w:pPr>
            <w:r>
              <w:rPr>
                <w:rFonts w:ascii="Times New Roman" w:hAnsi="Times New Roman"/>
                <w:i/>
                <w:color w:val="000000"/>
                <w:sz w:val="18"/>
              </w:rPr>
              <w:t>How We Addressed the Matter in Our Audit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8" w:type="dxa"/>
            <w:tcBorders/>
            <w:tcMar>
              <w:top w:w="0" w:type="dxa"/>
              <w:left w:w="0" w:type="dxa"/>
              <w:bottom w:w="0" w:type="dxa"/>
              <w:right w:w="0" w:type="dxa"/>
            </w:tcMar>
            <w:vAlign w:val="center"/>
          </w:tcPr>
          <w:p>
            <w:pPr>
              <w:pStyle w:val="TableContents"/>
              <w:bidi w:val="0"/>
              <w:spacing w:before="240" w:after="283"/>
              <w:jc w:val="both"/>
              <w:rPr>
                <w:rFonts w:ascii="Times New Roman" w:hAnsi="Times New Roman"/>
                <w:color w:val="000000"/>
                <w:sz w:val="18"/>
              </w:rPr>
            </w:pPr>
            <w:r>
              <w:rPr>
                <w:rFonts w:ascii="Times New Roman" w:hAnsi="Times New Roman"/>
                <w:color w:val="000000"/>
                <w:sz w:val="18"/>
              </w:rPr>
              <w:t>We obtained an understanding, evaluated the design and tested the operating effectiveness of internal controls related to the Company’s process for recording prepaid and accrued research and development expenses, including controls over management’s review of the assumptions described below.</w:t>
            </w:r>
          </w:p>
          <w:p>
            <w:pPr>
              <w:pStyle w:val="TableContents"/>
              <w:bidi w:val="0"/>
              <w:spacing w:before="240" w:after="283"/>
              <w:jc w:val="left"/>
              <w:rPr>
                <w:rFonts w:ascii="Times New Roman" w:hAnsi="Times New Roman"/>
                <w:color w:val="000000"/>
                <w:sz w:val="18"/>
              </w:rPr>
            </w:pPr>
            <w:r>
              <w:rPr>
                <w:rFonts w:ascii="Times New Roman" w:hAnsi="Times New Roman"/>
                <w:color w:val="000000"/>
                <w:sz w:val="18"/>
              </w:rPr>
              <w:t>To test prepaid and accrued research and development expenses related to contract research organizations, our audit procedures included, among others, testing the completeness and accuracy of the underlying data used in the Company’s calculations and evaluating the significant assumptions used, as described above, by management to estimate the recorded prepaid and accrued research and development expenses. To assess the reasonableness of the significant assumptions, we corroborated the progress of clinical trials by inquiring of the Company’s clinical team responsible for overseeing its clinical trial activities, obtained and verified information directly from third parties related to patient enrollment, number of active sites, billings, and costs of services, and performed a sensitivity analysis to assess the impact of reasonable changes in assumptions. In addition, we compared the costs for a sample of transactions against the related invoices and contracts and examined a sample of subsequent payments, invoices, and confirmations from the contract research organization to evaluate the accuracy of research and development expense and compared the results to the prepaid and accrued balances at December 31, 2025.</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We have served as the Company’s auditor since 2017.</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Boston, Massachusetts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February 26, 2026</w:t>
      </w:r>
    </w:p>
    <w:p>
      <w:pPr>
        <w:pStyle w:val="TextBody"/>
        <w:bidi w:val="0"/>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consolidated_balance_sheets"/>
      <w:bookmarkEnd w:id="34"/>
      <w:r>
        <w:rPr>
          <w:rFonts w:ascii="Times New Roman" w:hAnsi="Times New Roman"/>
          <w:color w:val="000000"/>
          <w:sz w:val="18"/>
        </w:rPr>
        <w:t>Consolidated Balance Sheets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amounts)</w:t>
      </w:r>
      <w:r>
        <w:rPr>
          <w:rFonts w:ascii="Times New Roman" w:hAnsi="Times New Roman"/>
          <w:color w:val="000000"/>
          <w:sz w:val="20"/>
        </w:rPr>
        <w:t xml:space="preserve"> </w:t>
      </w:r>
    </w:p>
    <w:tbl>
      <w:tblPr>
        <w:tblW w:w="9545" w:type="dxa"/>
        <w:jc w:val="left"/>
        <w:tblInd w:w="0" w:type="dxa"/>
        <w:tblLayout w:type="fixed"/>
        <w:tblCellMar>
          <w:top w:w="28" w:type="dxa"/>
          <w:left w:w="28" w:type="dxa"/>
          <w:bottom w:w="28" w:type="dxa"/>
          <w:right w:w="28" w:type="dxa"/>
        </w:tblCellMar>
      </w:tblPr>
      <w:tblGrid>
        <w:gridCol w:w="6246"/>
        <w:gridCol w:w="146"/>
        <w:gridCol w:w="220"/>
        <w:gridCol w:w="995"/>
        <w:gridCol w:w="166"/>
        <w:gridCol w:w="146"/>
        <w:gridCol w:w="220"/>
        <w:gridCol w:w="995"/>
        <w:gridCol w:w="411"/>
      </w:tblGrid>
      <w:tr>
        <w:trPr/>
        <w:tc>
          <w:tcPr>
            <w:tcW w:w="6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10,533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809,204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51,762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Intangible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871,296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93,504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Undesignated preferred stock, $0.001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as of</w:t>
              <w:br/>
              <w:t>   December 31, 2025 and December 31, 2024; no</w:t>
            </w:r>
            <w:r>
              <w:rPr>
                <w:rFonts w:ascii="Times New Roman" w:hAnsi="Times New Roman"/>
                <w:color w:val="000000"/>
                <w:sz w:val="20"/>
              </w:rPr>
              <w:t> </w:t>
            </w:r>
            <w:r>
              <w:rPr>
                <w:rFonts w:ascii="Times New Roman" w:hAnsi="Times New Roman"/>
                <w:color w:val="000000"/>
                <w:sz w:val="18"/>
              </w:rPr>
              <w:t>shares issued and outstanding as</w:t>
              <w:br/>
              <w:t>   of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8"/>
              </w:rPr>
              <w:t>Common stock, $0.001</w:t>
            </w:r>
            <w:r>
              <w:rPr>
                <w:rFonts w:ascii="Times New Roman" w:hAnsi="Times New Roman"/>
                <w:color w:val="000000"/>
                <w:sz w:val="20"/>
              </w:rPr>
              <w:t> </w:t>
            </w:r>
            <w:r>
              <w:rPr>
                <w:rFonts w:ascii="Times New Roman" w:hAnsi="Times New Roman"/>
                <w:color w:val="000000"/>
                <w:sz w:val="18"/>
              </w:rPr>
              <w:t>par value; 300,000,000</w:t>
            </w:r>
            <w:r>
              <w:rPr>
                <w:rFonts w:ascii="Times New Roman" w:hAnsi="Times New Roman"/>
                <w:color w:val="000000"/>
                <w:sz w:val="20"/>
              </w:rPr>
              <w:t> </w:t>
            </w:r>
            <w:r>
              <w:rPr>
                <w:rFonts w:ascii="Times New Roman" w:hAnsi="Times New Roman"/>
                <w:color w:val="000000"/>
                <w:sz w:val="18"/>
              </w:rPr>
              <w:t xml:space="preserve">shares authorized as of December </w:t>
              <w:br/>
              <w:t>   31, 2024 and December 31, 2024; 173,868,949</w:t>
            </w:r>
            <w:r>
              <w:rPr>
                <w:rFonts w:ascii="Times New Roman" w:hAnsi="Times New Roman"/>
                <w:color w:val="000000"/>
                <w:sz w:val="20"/>
              </w:rPr>
              <w:t> </w:t>
            </w:r>
            <w:r>
              <w:rPr>
                <w:rFonts w:ascii="Times New Roman" w:hAnsi="Times New Roman"/>
                <w:color w:val="000000"/>
                <w:sz w:val="18"/>
              </w:rPr>
              <w:t>and 167,755,715</w:t>
            </w:r>
            <w:r>
              <w:rPr>
                <w:rFonts w:ascii="Times New Roman" w:hAnsi="Times New Roman"/>
                <w:color w:val="000000"/>
                <w:sz w:val="20"/>
              </w:rPr>
              <w:t> </w:t>
            </w:r>
            <w:r>
              <w:rPr>
                <w:rFonts w:ascii="Times New Roman" w:hAnsi="Times New Roman"/>
                <w:color w:val="000000"/>
                <w:sz w:val="18"/>
              </w:rPr>
              <w:t xml:space="preserve">shares issued </w:t>
              <w:br/>
              <w:t>   and outstanding as of December 31,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2,516,905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(1,738,290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777,792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871,296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i/>
          <w:color w:val="000000"/>
          <w:sz w:val="18"/>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5" w:name="consolidated_statements_of"/>
      <w:bookmarkEnd w:id="35"/>
      <w:r>
        <w:rPr>
          <w:rFonts w:ascii="Times New Roman" w:hAnsi="Times New Roman"/>
          <w:color w:val="000000"/>
          <w:sz w:val="18"/>
        </w:rPr>
        <w:t>Consolidated Statements of Oper</w:t>
      </w:r>
      <w:bookmarkStart w:id="36" w:name="consolidated_statements_operations_compr"/>
      <w:bookmarkEnd w:id="36"/>
      <w:r>
        <w:rPr>
          <w:rFonts w:ascii="Times New Roman" w:hAnsi="Times New Roman"/>
          <w:color w:val="000000"/>
          <w:sz w:val="18"/>
        </w:rPr>
        <w:t>ations and Comprehensive Loss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tbl>
      <w:tblPr>
        <w:tblW w:w="9393" w:type="dxa"/>
        <w:jc w:val="left"/>
        <w:tblInd w:w="0" w:type="dxa"/>
        <w:tblLayout w:type="fixed"/>
        <w:tblCellMar>
          <w:top w:w="28" w:type="dxa"/>
          <w:left w:w="28" w:type="dxa"/>
          <w:bottom w:w="28" w:type="dxa"/>
          <w:right w:w="28" w:type="dxa"/>
        </w:tblCellMar>
      </w:tblPr>
      <w:tblGrid>
        <w:gridCol w:w="4426"/>
        <w:gridCol w:w="146"/>
        <w:gridCol w:w="196"/>
        <w:gridCol w:w="1006"/>
        <w:gridCol w:w="166"/>
        <w:gridCol w:w="146"/>
        <w:gridCol w:w="196"/>
        <w:gridCol w:w="1006"/>
        <w:gridCol w:w="166"/>
        <w:gridCol w:w="146"/>
        <w:gridCol w:w="196"/>
        <w:gridCol w:w="1006"/>
        <w:gridCol w:w="59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74,950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398,546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(372,468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(373,000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31,027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171,586,558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142,867,844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122,576,527</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holding gain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(274,755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(338,503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(331,749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i/>
          <w:color w:val="000000"/>
          <w:sz w:val="18"/>
        </w:rPr>
        <w:t>See accompanying notes.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7" w:name="consolidated_statements"/>
      <w:bookmarkEnd w:id="37"/>
      <w:r>
        <w:rPr>
          <w:rFonts w:ascii="Times New Roman" w:hAnsi="Times New Roman"/>
          <w:color w:val="000000"/>
          <w:sz w:val="18"/>
        </w:rPr>
        <w:t xml:space="preserve">Consolidated Statements of </w:t>
      </w:r>
      <w:bookmarkStart w:id="38" w:name="consolidated_statements_convertible_pref"/>
      <w:bookmarkEnd w:id="38"/>
      <w:r>
        <w:rPr>
          <w:rFonts w:ascii="Times New Roman" w:hAnsi="Times New Roman"/>
          <w:color w:val="000000"/>
          <w:sz w:val="18"/>
        </w:rPr>
        <w:t>Stockholders’ Equity</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502"/>
        <w:gridCol w:w="146"/>
        <w:gridCol w:w="146"/>
        <w:gridCol w:w="1006"/>
        <w:gridCol w:w="146"/>
        <w:gridCol w:w="146"/>
        <w:gridCol w:w="212"/>
        <w:gridCol w:w="408"/>
        <w:gridCol w:w="146"/>
        <w:gridCol w:w="146"/>
        <w:gridCol w:w="196"/>
        <w:gridCol w:w="826"/>
        <w:gridCol w:w="146"/>
        <w:gridCol w:w="146"/>
        <w:gridCol w:w="233"/>
        <w:gridCol w:w="788"/>
        <w:gridCol w:w="166"/>
        <w:gridCol w:w="146"/>
        <w:gridCol w:w="196"/>
        <w:gridCol w:w="886"/>
        <w:gridCol w:w="166"/>
        <w:gridCol w:w="146"/>
        <w:gridCol w:w="196"/>
        <w:gridCol w:w="751"/>
        <w:gridCol w:w="213"/>
      </w:tblGrid>
      <w:tr>
        <w:trPr/>
        <w:tc>
          <w:tcPr>
            <w:tcW w:w="25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Income/(Loss)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121,112,234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950,218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upon milestone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1,797,064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3,026,072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10,224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127,462,409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2,152,654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(1,400,582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752,003</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Private Placement,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at-the-market offerings,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1,889,597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follow-on offering,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32,857,143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218,157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2,125,326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94,139</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167,755,715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2,516,905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(1,738,290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777,792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5,637,179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173,868,949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567,060</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9" w:name="consolidated"/>
      <w:bookmarkEnd w:id="39"/>
      <w:r>
        <w:rPr>
          <w:rFonts w:ascii="Times New Roman" w:hAnsi="Times New Roman"/>
          <w:color w:val="000000"/>
          <w:sz w:val="18"/>
        </w:rPr>
        <w:t>Consolidated Statem</w:t>
      </w:r>
      <w:bookmarkStart w:id="40" w:name="consolidated_statements_cash_flows"/>
      <w:bookmarkEnd w:id="40"/>
      <w:r>
        <w:rPr>
          <w:rFonts w:ascii="Times New Roman" w:hAnsi="Times New Roman"/>
          <w:color w:val="000000"/>
          <w:sz w:val="18"/>
        </w:rPr>
        <w:t>ents of Cash Flows</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18"/>
        </w:rPr>
        <w:t>(In thousands)</w:t>
      </w:r>
      <w:r>
        <w:rPr>
          <w:rFonts w:ascii="Times New Roman" w:hAnsi="Times New Roman"/>
          <w:color w:val="000000"/>
          <w:sz w:val="20"/>
        </w:rPr>
        <w:t xml:space="preserve"> </w:t>
      </w:r>
    </w:p>
    <w:tbl>
      <w:tblPr>
        <w:tblW w:w="9968" w:type="dxa"/>
        <w:jc w:val="left"/>
        <w:tblInd w:w="0" w:type="dxa"/>
        <w:tblLayout w:type="fixed"/>
        <w:tblCellMar>
          <w:top w:w="28" w:type="dxa"/>
          <w:left w:w="28" w:type="dxa"/>
          <w:bottom w:w="28" w:type="dxa"/>
          <w:right w:w="28" w:type="dxa"/>
        </w:tblCellMar>
      </w:tblPr>
      <w:tblGrid>
        <w:gridCol w:w="5946"/>
        <w:gridCol w:w="146"/>
        <w:gridCol w:w="196"/>
        <w:gridCol w:w="751"/>
        <w:gridCol w:w="166"/>
        <w:gridCol w:w="146"/>
        <w:gridCol w:w="196"/>
        <w:gridCol w:w="751"/>
        <w:gridCol w:w="166"/>
        <w:gridCol w:w="146"/>
        <w:gridCol w:w="196"/>
        <w:gridCol w:w="751"/>
        <w:gridCol w:w="411"/>
      </w:tblGrid>
      <w:tr>
        <w:trPr/>
        <w:tc>
          <w:tcPr>
            <w:tcW w:w="5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intangible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realized gain on sale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amortization of premiums and discounts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and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(300,316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(4,126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(385,542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maturities and sales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316,180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611,564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647,302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257,634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Private Placement,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at-the-market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follow-on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through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via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270,153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154,372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additions of property and equipment within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Periodic change in costs to obtain license agreement within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 obtained in exchange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upon milestone achievement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b/>
          <w:color w:val="000000"/>
          <w:sz w:val="18"/>
        </w:rPr>
      </w:pPr>
      <w:r>
        <w:rPr>
          <w:rFonts w:ascii="Times New Roman" w:hAnsi="Times New Roman"/>
          <w:b/>
          <w:color w:val="000000"/>
          <w:sz w:val="18"/>
        </w:rPr>
        <w:t>Reconciliation of Cash, Cash Equivalents, and Restricted Cash from Balance Sheets to Statements of Cash Flows</w:t>
      </w:r>
    </w:p>
    <w:tbl>
      <w:tblPr>
        <w:tblW w:w="7489" w:type="dxa"/>
        <w:jc w:val="left"/>
        <w:tblInd w:w="0" w:type="dxa"/>
        <w:tblLayout w:type="fixed"/>
        <w:tblCellMar>
          <w:top w:w="28" w:type="dxa"/>
          <w:left w:w="28" w:type="dxa"/>
          <w:bottom w:w="28" w:type="dxa"/>
          <w:right w:w="28" w:type="dxa"/>
        </w:tblCellMar>
      </w:tblPr>
      <w:tblGrid>
        <w:gridCol w:w="5176"/>
        <w:gridCol w:w="146"/>
        <w:gridCol w:w="196"/>
        <w:gridCol w:w="601"/>
        <w:gridCol w:w="146"/>
        <w:gridCol w:w="146"/>
        <w:gridCol w:w="196"/>
        <w:gridCol w:w="69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124,287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per statements of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18"/>
        </w:rPr>
        <w:t>Relay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1" w:name="notes_to"/>
      <w:bookmarkEnd w:id="41"/>
      <w:r>
        <w:rPr>
          <w:rFonts w:ascii="Times New Roman" w:hAnsi="Times New Roman"/>
          <w:color w:val="000000"/>
          <w:sz w:val="18"/>
        </w:rPr>
        <w:t xml:space="preserve">Notes to Consolidated </w:t>
      </w:r>
      <w:bookmarkStart w:id="42" w:name="notes_to_consolidated_financial_statemen"/>
      <w:bookmarkEnd w:id="42"/>
      <w:r>
        <w:rPr>
          <w:rFonts w:ascii="Times New Roman" w:hAnsi="Times New Roman"/>
          <w:color w:val="000000"/>
          <w:sz w:val="18"/>
        </w:rPr>
        <w:t>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18"/>
        </w:rPr>
        <w:t>(In thousands, except share and per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 Nature of Business and Basis of Presentation</w:t>
      </w:r>
    </w:p>
    <w:p>
      <w:pPr>
        <w:pStyle w:val="TextBody"/>
        <w:bidi w:val="0"/>
        <w:spacing w:before="240" w:after="283"/>
        <w:jc w:val="left"/>
        <w:rPr>
          <w:rFonts w:ascii="Times New Roman" w:hAnsi="Times New Roman"/>
          <w:sz w:val="20"/>
        </w:rPr>
      </w:pPr>
      <w:r>
        <w:rPr>
          <w:rFonts w:ascii="Times New Roman" w:hAnsi="Times New Roman"/>
          <w:color w:val="000000"/>
          <w:sz w:val="18"/>
        </w:rPr>
        <w:t>Relay Therapeutics, Inc. (the "Company") was incorporated in Delaware on May 4, 2015 and is headquartered in Cambridge, Massachusetts. The Company is a clinical-stage, small molecule precision medicine company developing potentially life-changing therapies for patients living with cancer and genetic disease. The Company’s Dynamo® platform integrates an array of leading-edge computational and experimental approaches designed to drug protein targets that have previously been intractable or inadequately addressed. The Company’s initial focus is on enhancing small molecule therapeutic discovery in targeted oncology and genetic disease indications. The Company’s lead product candidate, zovegalisib (RLY-2608), is in clinical development. The Company is also progressing its NRAS-selective inhibitor, RLY-8161, to address NRAS-mutated solid tumors, as well as its non-inhibitory chaperone for Fabry disease. The Company is also advancing early-stage discovery programs across both precision oncology and genetic diseases.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devoted substantially all of its resources to developing its product candidates by integrating its computational and experimental approaches, building its intellectual property portfolio, business planning, raising capital and providing general and administrative support for these operations.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since inception and had an accumulated deficit of $2.0</w:t>
      </w:r>
      <w:r>
        <w:rPr>
          <w:rFonts w:ascii="Times New Roman" w:hAnsi="Times New Roman"/>
          <w:color w:val="000000"/>
          <w:sz w:val="20"/>
        </w:rPr>
        <w:t xml:space="preserve"> </w:t>
      </w:r>
      <w:r>
        <w:rPr>
          <w:rFonts w:ascii="Times New Roman" w:hAnsi="Times New Roman"/>
          <w:color w:val="000000"/>
          <w:sz w:val="18"/>
        </w:rPr>
        <w:t>billion as of December 31, 2025. The Company expects that its existing cash, cash equivalents, and investments as of December 31, 2025</w:t>
      </w:r>
      <w:r>
        <w:rPr>
          <w:rFonts w:ascii="Times New Roman" w:hAnsi="Times New Roman"/>
          <w:color w:val="000000"/>
          <w:sz w:val="20"/>
        </w:rPr>
        <w:t xml:space="preserve"> </w:t>
      </w:r>
      <w:r>
        <w:rPr>
          <w:rFonts w:ascii="Times New Roman" w:hAnsi="Times New Roman"/>
          <w:color w:val="000000"/>
          <w:sz w:val="18"/>
        </w:rPr>
        <w:t>will enable it to fund its planned operating expenses and capital expenditures for at least one year from the date of the issuance of these consolidated financial statements. The future viability of the Company is dependent on its ability to generate cash from operating activities or to raise additional capital to finance its operations. The Company’s failure to raise capital as and when needed could have a material adverse effect on its financial condition and ability to pursue its business strategies. The Company may not be able to obtain financing on acceptable terms, or at all, and the Company may not be able to enter into license or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 In the event the Company requires additional funding, there can be no assurance that it will be successful in obtaining sufficient funding on terms acceptable to the Company to fund its continuing operations, if at all.</w:t>
      </w:r>
    </w:p>
    <w:p>
      <w:pPr>
        <w:pStyle w:val="TextBody"/>
        <w:bidi w:val="0"/>
        <w:spacing w:before="240" w:after="283"/>
        <w:jc w:val="left"/>
        <w:rPr>
          <w:rFonts w:ascii="Times New Roman" w:hAnsi="Times New Roman"/>
          <w:sz w:val="20"/>
        </w:rPr>
      </w:pPr>
      <w:r>
        <w:rPr>
          <w:rFonts w:ascii="Times New Roman" w:hAnsi="Times New Roman"/>
          <w:b/>
          <w:color w:val="000000"/>
          <w:sz w:val="18"/>
        </w:rPr>
        <w:t>2.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accompanying consolidated financial statements have been prepared in conformity with accounting principles generally accepted in the United States of America ("GAAP") and pursuant to the rules and regulations of the U.S. Securities and Exchange Commission ("SEC") for reporting on Form 10-K.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Company’s consolidated financial statements include the accounts of Relay Therapeutics, Inc. and its wholly-owned subsidiaries, Relay Therapeutics Securities Corporation and Relay ML Discovery, LLC.</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intercompany balances and transactions have been eliminated.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Use of Estimates</w:t>
      </w:r>
    </w:p>
    <w:p>
      <w:pPr>
        <w:pStyle w:val="TextBody"/>
        <w:bidi w:val="0"/>
        <w:spacing w:before="240" w:after="283"/>
        <w:jc w:val="left"/>
        <w:rPr>
          <w:rFonts w:ascii="Times New Roman" w:hAnsi="Times New Roman"/>
          <w:sz w:val="20"/>
        </w:rPr>
      </w:pPr>
      <w:r>
        <w:rPr>
          <w:rFonts w:ascii="Times New Roman" w:hAnsi="Times New Roman"/>
          <w:color w:val="000000"/>
          <w:sz w:val="18"/>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consolidated financial statements include, but are not limited to, the fair value of contingent milestone payments in connection with the acquisition of ZebiAI Therapeutics, Inc. ("ZebiAI") in 2021, the determination of the transaction price and standalone selling price of performance obligations under Financial Accounting Standards Board ("FASB") Accounting Standards Codification ("ASC") Topic 606, Revenue from Contracts with Customers ("ASC 606"), the timing of expense recognition for certain research and development activities, the valuation of equity instruments, and the incremental borrowing rate for determining operating lease assets and liabilities. Estimates are periodically reviewed in light of changes in circumstances, facts, and experience.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Segments</w:t>
      </w:r>
    </w:p>
    <w:p>
      <w:pPr>
        <w:pStyle w:val="TextBody"/>
        <w:bidi w:val="0"/>
        <w:spacing w:before="240" w:after="283"/>
        <w:jc w:val="left"/>
        <w:rPr>
          <w:rFonts w:ascii="Times New Roman" w:hAnsi="Times New Roman"/>
          <w:sz w:val="20"/>
        </w:rPr>
      </w:pPr>
      <w:r>
        <w:rPr>
          <w:rFonts w:ascii="Times New Roman" w:hAnsi="Times New Roman"/>
          <w:color w:val="000000"/>
          <w:sz w:val="18"/>
        </w:rPr>
        <w:t>In general, segments are identified as components of an enterprise or business about which separate discrete financial information is available for evaluation by the chief operating decision maker ("CODM") in making decisions on how to allocate resources and assess performance of the enterprise or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November 2023, the FASB issued Accounting Standards Update ("ASU") 2023-07, Segment Reporting (Topic 280): Improvements to Reportable Segment Disclosures ("ASU 2023-07"), which is intended to provide enhancements to segment disclosures, even for entities with one reportable segment. In particular, the standard requires disclosure of significant segment expenses regularly (a) provided to the CODM and (b) included within each reported measure of segment profit and loss. The standard also requires disclosure of all other segment items by reportable segment and a description of its composition. Finally, the standard requires disclosure of the title and position of the CODM and an explanation of CODM uses the reported measure(s) of segment profit or loss in assessing segment performance and deciding how to allocate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adopted ASU 2023-07 upon filing its Annual Report on Form 10-K for the year ended December 31, 2024.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Company's CODM is the President and Chief Executive Officer.</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and the CODM view the Company's operations as one</w:t>
      </w:r>
      <w:r>
        <w:rPr>
          <w:rFonts w:ascii="Times New Roman" w:hAnsi="Times New Roman"/>
          <w:color w:val="000000"/>
          <w:sz w:val="20"/>
        </w:rPr>
        <w:t xml:space="preserve"> </w:t>
      </w:r>
      <w:r>
        <w:rPr>
          <w:rFonts w:ascii="Times New Roman" w:hAnsi="Times New Roman"/>
          <w:color w:val="000000"/>
          <w:sz w:val="18"/>
        </w:rPr>
        <w:t>segment, which is using innovative experimental and computational approaches on protein motion for making medicines to drug protein targets that have previously been intractable or inadequately addressed.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For further considerations, refer to Note 3, </w:t>
      </w:r>
      <w:r>
        <w:rPr>
          <w:rFonts w:ascii="Times New Roman" w:hAnsi="Times New Roman"/>
          <w:i/>
          <w:color w:val="000000"/>
          <w:sz w:val="18"/>
        </w:rPr>
        <w:t>Segment Information</w:t>
      </w:r>
      <w:r>
        <w:rPr>
          <w:rFonts w:ascii="Times New Roman" w:hAnsi="Times New Roman"/>
          <w:color w:val="000000"/>
          <w:sz w:val="18"/>
        </w:rPr>
        <w:t>.</w:t>
      </w:r>
    </w:p>
    <w:p>
      <w:pPr>
        <w:pStyle w:val="TextBody"/>
        <w:bidi w:val="0"/>
        <w:spacing w:before="240" w:after="283"/>
        <w:jc w:val="left"/>
        <w:rPr>
          <w:rFonts w:ascii="Times New Roman" w:hAnsi="Times New Roman"/>
          <w:sz w:val="20"/>
        </w:rPr>
      </w:pPr>
      <w:r>
        <w:rPr>
          <w:rFonts w:ascii="Times New Roman" w:hAnsi="Times New Roman"/>
          <w:b/>
          <w:color w:val="000000"/>
          <w:sz w:val="18"/>
        </w:rPr>
        <w:t>Cash Equivalents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considers all short-term, highly liquid investments with original maturities of 90 days or less at acquisition date to be cash equivalents.</w:t>
      </w:r>
      <w:r>
        <w:rPr>
          <w:rFonts w:ascii="Times New Roman" w:hAnsi="Times New Roman"/>
          <w:color w:val="000000"/>
          <w:sz w:val="20"/>
        </w:rPr>
        <w:t xml:space="preserve"> </w:t>
      </w:r>
      <w:r>
        <w:rPr>
          <w:rFonts w:ascii="Times New Roman" w:hAnsi="Times New Roman"/>
          <w:color w:val="000000"/>
          <w:sz w:val="18"/>
        </w:rPr>
        <w:t>Cash equivalents, which consist of money market funds, are stated at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Restricted Cash</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had restricted cash of $1.3</w:t>
      </w:r>
      <w:r>
        <w:rPr>
          <w:rFonts w:ascii="Times New Roman" w:hAnsi="Times New Roman"/>
          <w:color w:val="000000"/>
          <w:sz w:val="20"/>
        </w:rPr>
        <w:t xml:space="preserve"> </w:t>
      </w:r>
      <w:r>
        <w:rPr>
          <w:rFonts w:ascii="Times New Roman" w:hAnsi="Times New Roman"/>
          <w:color w:val="000000"/>
          <w:sz w:val="18"/>
        </w:rPr>
        <w:t>million and $2.1</w:t>
      </w:r>
      <w:r>
        <w:rPr>
          <w:rFonts w:ascii="Times New Roman" w:hAnsi="Times New Roman"/>
          <w:color w:val="000000"/>
          <w:sz w:val="20"/>
        </w:rPr>
        <w:t xml:space="preserve"> </w:t>
      </w:r>
      <w:r>
        <w:rPr>
          <w:rFonts w:ascii="Times New Roman" w:hAnsi="Times New Roman"/>
          <w:color w:val="000000"/>
          <w:sz w:val="18"/>
        </w:rPr>
        <w:t xml:space="preserve">million, respectively, to secure letters of credit in connection with the Company's operating leases, as detailed in Note 12, </w:t>
      </w:r>
      <w:r>
        <w:rPr>
          <w:rFonts w:ascii="Times New Roman" w:hAnsi="Times New Roman"/>
          <w:i/>
          <w:color w:val="000000"/>
          <w:sz w:val="18"/>
        </w:rPr>
        <w:t>Operating</w:t>
      </w:r>
      <w:r>
        <w:rPr>
          <w:rFonts w:ascii="Times New Roman" w:hAnsi="Times New Roman"/>
          <w:color w:val="000000"/>
          <w:sz w:val="20"/>
        </w:rPr>
        <w:t xml:space="preserve"> </w:t>
      </w:r>
      <w:r>
        <w:rPr>
          <w:rFonts w:ascii="Times New Roman" w:hAnsi="Times New Roman"/>
          <w:i/>
          <w:color w:val="000000"/>
          <w:sz w:val="18"/>
        </w:rPr>
        <w:t>Leases</w:t>
      </w:r>
      <w:r>
        <w:rPr>
          <w:rFonts w:ascii="Times New Roman" w:hAnsi="Times New Roman"/>
          <w:color w:val="000000"/>
          <w:sz w:val="18"/>
        </w:rPr>
        <w:t>. The Company classified the restricted cash as a noncurrent asset on its consolidated balance sheets, consistent with the terms of the operating lease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Investments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Investments in marketable securities are classified as available-for-sale.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Investments are measured and reported at fair value using quoted prices in active markets for similar securities.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Premiums or discounts from par value are amortized to interest income over the life of the underlying investment.</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In June 2016, the FASB issued ASU 2016-13, Financial Instruments—Credit Losses (Topic 326): Measurement of Credit Losses on Financial Instruments ("ASU 2016-13"). Certain amendments thereto were also issued by the FASB. The Company adopted ASU 2016-13, as well as the related amendments thereto, on January 1, 2022, pursuant to which the Company reviews investments whenever the fair value of an investment is less than the amortized cost and evidence indicates that an investment’s carrying amount is not recoverable within a reasonable period of time. In connection therewith, the Company evaluates whether the decline in fair value has resulted from credit losses or other factors, considering the extent to which fair value is less than amortized cost, any changes to the rating of the security by a rating agency, and adverse conditions specifically related to the security, among other factors. If the assessment indicates a credit loss exists, the present value of cash flows expected to be collected from the security is compared to the amortized cost basis of the security. If the present value of cash flows expected to be collected is less than the amortized cost basis, a credit loss exists and an allowance for credit losses is recorded on the consolidated balance sheet, limited by the amount that the fair value is less than the amortized cost basis. Any impairment not related to credit is recognized in other comprehensive loss as a separate component of stockholders' equity. Changes in the allowance for credit losses are recorded as a provision for (or reversal of) credit loss expense in general and administrative expenses within the consolidated statements of operations and comprehensive loss. Losses are charged against the allowance when the Company believes the uncollectability of an available-for-sale security is confirmed or when either of the criteria regarding intent or requirement to sell is met.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the event no credit losses are identified, the entire change in fair value of investments are recognized as unrealized gains and losses, which are included as a component of accumulated other income/(loss) on the consolidated balance sheets and statements of stockholders' equity, as well as a component of other comprehensive income/(loss) on the consolidated statements of operations and comprehensive loss, until realized. To the extent there are realized gains/(losses), such amounts are specifically identified and included in interest income.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of the Company’s available-for-sale securities are available to the Company for use in current operations. As a result, the Company classified all such securities as current assets as of December 31, 2025 and 2024, although the stated maturity of some individual securities may be one year or more beyond the balance sheet dates.</w:t>
      </w:r>
    </w:p>
    <w:p>
      <w:pPr>
        <w:pStyle w:val="TextBody"/>
        <w:bidi w:val="0"/>
        <w:spacing w:before="240" w:after="283"/>
        <w:jc w:val="left"/>
        <w:rPr>
          <w:rFonts w:ascii="Times New Roman" w:hAnsi="Times New Roman"/>
          <w:sz w:val="20"/>
        </w:rPr>
      </w:pPr>
      <w:r>
        <w:rPr>
          <w:rFonts w:ascii="Times New Roman" w:hAnsi="Times New Roman"/>
          <w:b/>
          <w:color w:val="000000"/>
          <w:sz w:val="18"/>
        </w:rPr>
        <w:t>Concentration of Credit Risk and Significant Suppliers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Financial instruments that potentially expose the Company to concentrations of credit risk consist primarily of cash, cash equivalents, and investments. From time to time, the Company has maintained all of its cash, cash equivalents, and investments at certain accredited financial institutions in amounts that exceed federally insured limits. The Company generally invests its excess capital in money market funds, U.S. treasury bonds, U.S. treasury bills, and agency bonds, all of which are subject to minimal credit and market risk. Management has established guidelines relative to credit ratings and maturities intended to safeguard principal balances and maintain liquidity. The investment portfolio is maintained in accordance with the Company’s investment policy, which defines allowable investments, specifies credit quality standards, and limits the credit exposure of any single issuer.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The Company is dependent on third-party suppliers for research and development activities of its programs, including preclinical and clinical testing. In particular, the Company relies and expects to continue to rely on a small number of these suppliers, as discussed in Note 11, </w:t>
      </w:r>
      <w:r>
        <w:rPr>
          <w:rFonts w:ascii="Times New Roman" w:hAnsi="Times New Roman"/>
          <w:i/>
          <w:color w:val="000000"/>
          <w:sz w:val="18"/>
        </w:rPr>
        <w:t>Commitments and Contingencies</w:t>
      </w:r>
      <w:r>
        <w:rPr>
          <w:rFonts w:ascii="Times New Roman" w:hAnsi="Times New Roman"/>
          <w:color w:val="000000"/>
          <w:sz w:val="18"/>
        </w:rPr>
        <w:t>, to meet its requirements for certain of its programs. These programs could be adversely affected by a significant interruption in preclinical and clinical testing, as well as the supply of active pharmaceutical ingredients and formulated drugs.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Certain assets and liabilities are carried at fair value under GAAP.</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 xml:space="preserve">Level 1—Quoted prices in active markets for identical assets or liabilities.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18"/>
        </w:rPr>
        <w:t>Level 3—Unobservable inputs that are supported by little or no market activity and that are significant to determining the fair value of the assets or liabilities, including pricing models, discounted cash flow methodologies, and similar techniques.</w:t>
      </w:r>
      <w:r>
        <w:rPr>
          <w:color w:val="00000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18"/>
        </w:rPr>
        <w:t>Property and Equipment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Property and equipment are stated at cost less accumulated depreciation. Depreciation is recognized using the straight-line method over the useful life of the asset. Laboratory and computer equipment are depreciated over three years. Furniture and fixtures are depreciated over five years. Leasehold improvements are amortized over the shorter of the lease term or the estimated useful life of the asset.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Property and equipment, net consisted of the following:</w:t>
      </w:r>
    </w:p>
    <w:tbl>
      <w:tblPr>
        <w:tblW w:w="5074" w:type="dxa"/>
        <w:jc w:val="left"/>
        <w:tblInd w:w="0" w:type="dxa"/>
        <w:tblLayout w:type="fixed"/>
        <w:tblCellMar>
          <w:top w:w="28" w:type="dxa"/>
          <w:left w:w="28" w:type="dxa"/>
          <w:bottom w:w="28" w:type="dxa"/>
          <w:right w:w="28" w:type="dxa"/>
        </w:tblCellMar>
      </w:tblPr>
      <w:tblGrid>
        <w:gridCol w:w="2511"/>
        <w:gridCol w:w="146"/>
        <w:gridCol w:w="196"/>
        <w:gridCol w:w="661"/>
        <w:gridCol w:w="166"/>
        <w:gridCol w:w="146"/>
        <w:gridCol w:w="196"/>
        <w:gridCol w:w="661"/>
        <w:gridCol w:w="39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Computer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Construction in 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5,911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color w:val="000000"/>
          <w:sz w:val="18"/>
        </w:rPr>
        <w:t>Impairment of Long-Lived Assets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continually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the assets are expected to generate. If such assets are considered to be impaired, the impairment to be recognized is measured in an amount by which the book values of the assets exceed their fair value.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did not recognize any impairment losses for the years ended December 31, 2024 and 2023.</w:t>
      </w:r>
    </w:p>
    <w:p>
      <w:pPr>
        <w:pStyle w:val="TextBody"/>
        <w:bidi w:val="0"/>
        <w:spacing w:before="240" w:after="283"/>
        <w:jc w:val="left"/>
        <w:rPr>
          <w:rFonts w:ascii="Times New Roman" w:hAnsi="Times New Roman"/>
          <w:sz w:val="20"/>
        </w:rPr>
      </w:pPr>
      <w:r>
        <w:rPr>
          <w:rFonts w:ascii="Times New Roman" w:hAnsi="Times New Roman"/>
          <w:color w:val="000000"/>
          <w:sz w:val="18"/>
        </w:rPr>
        <w:t>In connection with the acquisition of ZebiAI in 2021, the Company recorded an intangible asset for the assembled workforce of $2.3</w:t>
      </w:r>
      <w:r>
        <w:rPr>
          <w:rFonts w:ascii="Times New Roman" w:hAnsi="Times New Roman"/>
          <w:color w:val="000000"/>
          <w:sz w:val="20"/>
        </w:rPr>
        <w:t xml:space="preserve"> </w:t>
      </w:r>
      <w:r>
        <w:rPr>
          <w:rFonts w:ascii="Times New Roman" w:hAnsi="Times New Roman"/>
          <w:color w:val="000000"/>
          <w:sz w:val="18"/>
        </w:rPr>
        <w:t>million. During the year ended December 31, 2025, over 70</w:t>
      </w:r>
      <w:r>
        <w:rPr>
          <w:rFonts w:ascii="Times New Roman" w:hAnsi="Times New Roman"/>
          <w:color w:val="000000"/>
          <w:sz w:val="20"/>
        </w:rPr>
        <w:t xml:space="preserve"> </w:t>
      </w:r>
      <w:r>
        <w:rPr>
          <w:rFonts w:ascii="Times New Roman" w:hAnsi="Times New Roman"/>
          <w:color w:val="000000"/>
          <w:sz w:val="18"/>
        </w:rPr>
        <w:t>employees were involuntarily terminated, after which the Company concluded there was no ongoing benefit from the assembled workforce. Therefore, the intangible asset was considered to be impaired and written-off within research and development expenses during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did not recognize any other impairment losses for the year ended December 31, 2025.</w:t>
      </w:r>
    </w:p>
    <w:p>
      <w:pPr>
        <w:pStyle w:val="TextBody"/>
        <w:bidi w:val="0"/>
        <w:spacing w:before="240" w:after="283"/>
        <w:jc w:val="left"/>
        <w:rPr>
          <w:rFonts w:ascii="Times New Roman" w:hAnsi="Times New Roman"/>
          <w:sz w:val="20"/>
        </w:rPr>
      </w:pPr>
      <w:r>
        <w:rPr>
          <w:rFonts w:ascii="Times New Roman" w:hAnsi="Times New Roman"/>
          <w:b/>
          <w:color w:val="000000"/>
          <w:sz w:val="18"/>
        </w:rPr>
        <w:t>Research and Development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general, research and development expenses include salaries, stock compensation and benefits of employees, third-party license fees, and other operational costs incurred in connection with the Company’s research and development activities, including allocated facility expenses and external costs of outside vendors engaged to conduct both preclinical studies and clinical trials. Nonrefundable advance payments for goods and services that will be used in future research and development activities are expensed when the activity has been performed or when the goods have been received rather than when the payment is made.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expenses research and development costs as incurred. When evaluating the adequacy of expense recognized, particularly from services performed by external third parties, the Company analyzes progress of the services, including the phase or completion of events, invoices received, and contracted costs. Judgments and estimates are made in determining the expense recognized and the related prepaid or accrued balances at the end of any reporting period. Actual results could differ from the Company’s estimates. The Company’s historical estimates have not been materially different from the actual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Patent Costs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All patent-related costs incurred in connection with filing and prosecuting patent applications are expensed as incurred due to the uncertainty about the recovery of the expenditure. Amounts incurred are classified as 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Stock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stock options and restricted stock units ("RSUs") granted to employees, directors, and other consultants with vesting over specified periods of continued service, the Company measures their fair value on the grant date using (a) the Black-Scholes Option Pricing Model for stock options and (b) the Company’s closing stock price on such date for RSUs. In connection therewith, compensation expense for such awards is recognized under the straight-line method over the requisite service period, which is generally the vesting period. The Company recognizes the impact of forfeitures on compensation expense as they occur.</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For stock options and RSUs granted to employees, directors, and other consultants with vesting over specified periods of continued service and contingent upon achievement of certain performance conditions, the Company measures their fair value on the grant date using (a) the Black-Scholes Option Pricing Model for stock options and (b) the Company’s closing stock price on such date for RSUs. In connection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therewith, compensation expense for such awards is recognized under the accelerated attribution method over the requisite service period, which is generally the vesting period. The Company recognizes the impact of forfeitures on compensation expense as they occur.</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stock options and RSUs granted to employees, directors, and other consultants with vesting over specified periods of continued service and contingent upon achievement of certain market conditions, the Company measures their fair value on the grant date using a Monte Carlo Simulation, incorporating various option pricing inputs. In connection therewith, compensation expense for such awards is recognized under the accelerated attribution method over the derived service period or requisite service period, whichever is longer, regardless of whether the market conditions have been achieved. The Company recognizes the impact of forfeitures on compensation expense as they occur.</w:t>
      </w:r>
    </w:p>
    <w:p>
      <w:pPr>
        <w:pStyle w:val="TextBody"/>
        <w:bidi w:val="0"/>
        <w:spacing w:before="240" w:after="283"/>
        <w:jc w:val="left"/>
        <w:rPr>
          <w:rFonts w:ascii="Times New Roman" w:hAnsi="Times New Roman"/>
          <w:sz w:val="20"/>
        </w:rPr>
      </w:pPr>
      <w:r>
        <w:rPr>
          <w:rFonts w:ascii="Times New Roman" w:hAnsi="Times New Roman"/>
          <w:b/>
          <w:color w:val="000000"/>
          <w:sz w:val="18"/>
        </w:rPr>
        <w:t>Revenue Recognition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accounts for revenue recognition in accordance with ASC 606, pursuant to which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at contract inception: (i) identify the contract(s) with customer(s); (ii) identify the performance obligation(s) in the contract(s); (iii) determine the transaction price; (iv) allocate the transaction price to the performance obligation(s) in the contract(s); and (v) recognize revenue when (or as) the entity satisfies a performance obligation.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Once the contract is determined to be within the scope of ASC 606, the Company assesses the goods or services promised within the contract and determines those that are performance obligations at contract inception. The Company then determines the transaction price and allocates it to the performance obligations. As part of the accounting for such arrangements, the Company must use judgment to determine: (a) the number of performance obligations based on the determination under step (ii) above; (b) the transaction price under step (iii) above, including the determination of whether milestones or other variable consideration should be included in the transaction price; and (c) the stand-alone selling price for each performance obligation identified in the contract for the allocation of the transaction price in step (iv) above.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utilizes key assumptions and judgments in (a) determining the stand-alone selling price for each performance obligation, which may include discounted cash flow models, evaluation of comparable transactions, and pricing considered in negotiating the transaction and estimated costs, and (b) determining how the transaction price is allocated amongst the performance obligations. The Company also uses judgment to determine whether milestones or other variable consideration should be included in the transaction price. As part of management’s evaluation of the transaction price, the Company considers numerous factors, including whether the achievement of the milestones is outside of the Company's control, contingent upon the efforts of others, or subject to scientific risks of success. If the Company concludes it is probable that a significant revenue reversal would not occur, the associated milestone payment is included in the transaction price. Milestone payments that are not within the Company's control, such as regulatory approvals, are generally not considered probable until those milestones are achieved. The Company re-evaluates the transaction price, including estimated variable consideration included in the transaction price and all constrained amounts, in each reporting period and as uncertain events are resolved or other changes in circumstances occur. For revenue-based royalties, including milestone payments based on the level of sales, the Company will include royalties in the transaction price at the later of (i) when the related sales occur, or (ii) when the performance obligation to which some or all of the royalty is allocated has been satisfied (or partially satisfied).</w:t>
      </w:r>
    </w:p>
    <w:p>
      <w:pPr>
        <w:pStyle w:val="TextBody"/>
        <w:bidi w:val="0"/>
        <w:spacing w:before="240" w:after="283"/>
        <w:jc w:val="left"/>
        <w:rPr>
          <w:rFonts w:ascii="Times New Roman" w:hAnsi="Times New Roman"/>
          <w:sz w:val="20"/>
        </w:rPr>
      </w:pPr>
      <w:r>
        <w:rPr>
          <w:rFonts w:ascii="Times New Roman" w:hAnsi="Times New Roman"/>
          <w:color w:val="000000"/>
          <w:sz w:val="18"/>
        </w:rPr>
        <w:t>Once the performance obligations are identified, the transaction price is allocated to each performance obligation based on the relative stand-alone selling price. The Company then recognizes as revenue the amount of the transaction price allocated to the respective performance obligation when (or as) it is satisfied, either at a point in time or over time. If the performance obligation is satisfied over time, the Company recognizes revenue based on the use of either an output or input method.</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Contract Assets and Liabilities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general, a contract asset is an entity's right to consideration in exchange for goods or services the entity has transferred to a customer when the right is conditioned on something besides the passage of time. The Company recognizes a contract asset when it transfers goods or services to a customer before the customer pays consideration and/or before payment is due, excluding any amounts presented as a receivable. The Company also assesses contract assets for credit losses.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general, a contract liability, or deferred revenue, primarily relates to amounts for which an entity has received payment or has the unconditional right to receive payment in the future, but has not yet satisfied the related performance obligations. The Company records such payments or consideration due as deferred revenue and until it satisfies the performance obligations under such arrangements. In connection therewith, upfront payments from the Company's licensing agreements do not represent financing, as the payment is not funding the transfer of good or services and the technology under the licenses granted reflects research and development expenses already incurred.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Leases</w:t>
      </w:r>
    </w:p>
    <w:p>
      <w:pPr>
        <w:pStyle w:val="TextBody"/>
        <w:bidi w:val="0"/>
        <w:spacing w:before="240" w:after="283"/>
        <w:jc w:val="left"/>
        <w:rPr>
          <w:rFonts w:ascii="Times New Roman" w:hAnsi="Times New Roman"/>
          <w:sz w:val="20"/>
        </w:rPr>
      </w:pPr>
      <w:r>
        <w:rPr>
          <w:rFonts w:ascii="Times New Roman" w:hAnsi="Times New Roman"/>
          <w:color w:val="000000"/>
          <w:sz w:val="18"/>
        </w:rPr>
        <w:t>Pursuant to ASC Topic 842, Leases ("ASC 842"), the Company determines if an arrangement is or contains a lease at inception. For leases with a term of 12 months or less, the Company does not recognize a right-of-use asset or lease liability. The Company’s operating leases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are recognized on its consolidated balance sheets as other noncurrent assets, other current liabilities, and other noncurrent liabilities. The Company does not have any finance leases.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As the Company’s leases typically do not provide an implicit rate, the Company uses an estimate of its incremental borrowing rate based on the information available at lease commencement in determining the present value of lease payments. Operating lease right-of-use assets also include the effect of any lease payments made prior to commencement and exclude lease incentives. The lease terms may include options to extend</w:t>
      </w:r>
      <w:r>
        <w:rPr>
          <w:rFonts w:ascii="Times New Roman" w:hAnsi="Times New Roman"/>
          <w:color w:val="000000"/>
          <w:sz w:val="20"/>
        </w:rPr>
        <w:t xml:space="preserve"> </w:t>
      </w:r>
      <w:r>
        <w:rPr>
          <w:rFonts w:ascii="Times New Roman" w:hAnsi="Times New Roman"/>
          <w:color w:val="000000"/>
          <w:sz w:val="18"/>
        </w:rPr>
        <w:t>or terminate</w:t>
      </w:r>
      <w:r>
        <w:rPr>
          <w:rFonts w:ascii="Times New Roman" w:hAnsi="Times New Roman"/>
          <w:color w:val="000000"/>
          <w:sz w:val="20"/>
        </w:rPr>
        <w:t xml:space="preserve"> </w:t>
      </w:r>
      <w:r>
        <w:rPr>
          <w:rFonts w:ascii="Times New Roman" w:hAnsi="Times New Roman"/>
          <w:color w:val="000000"/>
          <w:sz w:val="18"/>
        </w:rPr>
        <w:t>the lease when it is reasonably certain that the Company will exercise that option. Lease expense is recognized on a straight-line basis over the lease term.</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lease agreements with lease and non-lease components, which are accounted for as a combined element.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Comprehensive 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Comprehensive loss includes net loss, as well as other changes in stockholders’ equity resulting from transactions and economic events other than those with stockholders. For the years ended December 31, 2025, 2024, and 2023, other comprehensive income (loss) consisted of changes in unrealized gains and losses from available-for-sale investments.</w:t>
      </w:r>
    </w:p>
    <w:p>
      <w:pPr>
        <w:pStyle w:val="TextBody"/>
        <w:bidi w:val="0"/>
        <w:spacing w:before="240" w:after="283"/>
        <w:jc w:val="left"/>
        <w:rPr>
          <w:rFonts w:ascii="Times New Roman" w:hAnsi="Times New Roman"/>
          <w:sz w:val="20"/>
        </w:rPr>
      </w:pPr>
      <w:r>
        <w:rPr>
          <w:rFonts w:ascii="Times New Roman" w:hAnsi="Times New Roman"/>
          <w:b/>
          <w:color w:val="000000"/>
          <w:sz w:val="18"/>
        </w:rPr>
        <w:t>Net Loss per Common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Basic net loss per share is computed using the weighted-average number of common shares outstanding during the period. Diluted net loss per share is computed using the sum of the weighted-average number of common shares outstanding during the period and the effect of any dilutive securities. For periods in which the Company reports a net loss, diluted net loss per share is the same as basic net loss per share, since dilutive common shares are not assumed to have been issued if their effect is anti-dilutive.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For additional discussion of net loss per common share, please refer to Note 9, </w:t>
      </w:r>
      <w:r>
        <w:rPr>
          <w:rFonts w:ascii="Times New Roman" w:hAnsi="Times New Roman"/>
          <w:i/>
          <w:color w:val="000000"/>
          <w:sz w:val="18"/>
        </w:rPr>
        <w:t>Net 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recognizes deferred tax assets and liabilities for the expected future tax consequences of events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accounts for uncertainty in income taxes recognized in the financial statements by applying a two-step process to determine the amount of tax benefit to be recognized. The tax position first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w:t>
      </w:r>
      <w:r>
        <w:rPr>
          <w:rFonts w:ascii="Times New Roman" w:hAnsi="Times New Roman"/>
          <w:color w:val="000000"/>
          <w:sz w:val="20"/>
        </w:rPr>
        <w:t xml:space="preserve"> </w:t>
      </w:r>
      <w:r>
        <w:rPr>
          <w:rFonts w:ascii="Times New Roman" w:hAnsi="Times New Roman"/>
          <w:color w:val="000000"/>
          <w:sz w:val="18"/>
        </w:rPr>
        <w:t>likelihood of being realized upon ultimate settlement. The provision for income taxes includes the effects of any resulting tax reserves, or unrecognized tax benefits, that are considered appropriate. as well as the related net interest and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18"/>
        </w:rPr>
        <w:t>Recently Adopted Accounting Pronouncements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noted above, the Company adopted (a) ASU 2016-13, as well as the related amendments thereto, on January 1, 2022 and (b) ASU 2023-07 upon filing of its Annual Report on Form 10-K for the year ended December 31, 2024. The adoption of the standards noted did not have a material impact on the Company's consolidated financial statements or footnotes, except as otherwise noted.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2023, the FASB issued ASU 2023-09, Income Taxes (Topic 740): Improvements to Income Tax Disclosures, which is intended to provide enhancements to annual income tax disclosures. In particular, the standard requires more detailed information in the income tax rate reconciliation, as well as other enhancements. The standard is effective for years beginning after December 15, 2024 and early adoption was permitted. The Company adopted the standard upon filing of this Annual Report on Form 10-K and such standard did not have a material impact on the Company's consolidated financial statements or footnotes.</w:t>
      </w:r>
    </w:p>
    <w:p>
      <w:pPr>
        <w:pStyle w:val="TextBody"/>
        <w:bidi w:val="0"/>
        <w:spacing w:before="240" w:after="283"/>
        <w:jc w:val="left"/>
        <w:rPr>
          <w:rFonts w:ascii="Times New Roman" w:hAnsi="Times New Roman"/>
          <w:sz w:val="20"/>
        </w:rPr>
      </w:pPr>
      <w:r>
        <w:rPr>
          <w:rFonts w:ascii="Times New Roman" w:hAnsi="Times New Roman"/>
          <w:b/>
          <w:color w:val="000000"/>
          <w:sz w:val="18"/>
        </w:rPr>
        <w:t>Recently Issued 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November 2024, the FASB issued ASU 2024-03, Income Statement - Reporting Comprehensive Income - Expense Disaggregation Disclosures (Subtopic 220-40), the objective of which is to improve disclosures around an entity's expenses. In particular, the standard will require disclosure of additional information about specific expense categories in the notes to the financial statements on an annual and interim basis. ASU 2024-03 is effective for years beginning after December 15, 2026, as well as for interim periods beginning after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December 15, 2027, with early adoption permitted. The Company is currently evaluating the impact of the standard on the presentation of its condensed consolidated financial statements and footnotes.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3. Segment Information</w:t>
      </w:r>
    </w:p>
    <w:p>
      <w:pPr>
        <w:pStyle w:val="TextBody"/>
        <w:bidi w:val="0"/>
        <w:spacing w:before="240" w:after="283"/>
        <w:jc w:val="left"/>
        <w:rPr>
          <w:rFonts w:ascii="Times New Roman" w:hAnsi="Times New Roman"/>
          <w:sz w:val="20"/>
        </w:rPr>
      </w:pPr>
      <w:r>
        <w:rPr>
          <w:rFonts w:ascii="Times New Roman" w:hAnsi="Times New Roman"/>
          <w:color w:val="000000"/>
          <w:sz w:val="18"/>
        </w:rPr>
        <w:t xml:space="preserve">As summarized in Note 2, </w:t>
      </w:r>
      <w:r>
        <w:rPr>
          <w:rFonts w:ascii="Times New Roman" w:hAnsi="Times New Roman"/>
          <w:i/>
          <w:color w:val="000000"/>
          <w:sz w:val="18"/>
        </w:rPr>
        <w:t>Significant Accounting Policies</w:t>
      </w:r>
      <w:r>
        <w:rPr>
          <w:rFonts w:ascii="Times New Roman" w:hAnsi="Times New Roman"/>
          <w:color w:val="000000"/>
          <w:sz w:val="18"/>
        </w:rPr>
        <w:t>, the Company’s CODM is the President and Chief Executive Officer</w:t>
      </w:r>
      <w:r>
        <w:rPr>
          <w:rFonts w:ascii="Times New Roman" w:hAnsi="Times New Roman"/>
          <w:color w:val="000000"/>
          <w:sz w:val="20"/>
        </w:rPr>
        <w:t xml:space="preserve"> </w:t>
      </w:r>
      <w:r>
        <w:rPr>
          <w:rFonts w:ascii="Times New Roman" w:hAnsi="Times New Roman"/>
          <w:color w:val="000000"/>
          <w:sz w:val="18"/>
        </w:rPr>
        <w:t>and the Company views its operations as one</w:t>
      </w:r>
      <w:r>
        <w:rPr>
          <w:rFonts w:ascii="Times New Roman" w:hAnsi="Times New Roman"/>
          <w:color w:val="000000"/>
          <w:sz w:val="20"/>
        </w:rPr>
        <w:t xml:space="preserve"> </w:t>
      </w:r>
      <w:r>
        <w:rPr>
          <w:rFonts w:ascii="Times New Roman" w:hAnsi="Times New Roman"/>
          <w:color w:val="000000"/>
          <w:sz w:val="18"/>
        </w:rPr>
        <w:t>segment, which is using innovative experimental and computational approaches on protein motion for making medicines to drug protein targets that have previously been intractable or inadequately addressed. The factors used in determining the Company’s segments include the nature of the Company’s operating activities, the organizational and reporting structure, and the type of information provided to and reviewed by the Company’s CODM to allocate resources and evaluate financial performance.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measure of segment assets is reported on the Company’s consolidated balance sheets as total consolidated assets. The Company only operates in the United States and all tangible assets, consisting of property and equipment and operating lease right-of-use assets, are held in the United States.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 xml:space="preserve">The Company’s CODM uses consolidated net loss to evaluate the Company’s expenditures and monitor budget-to-actual results. In connection therewith, the review of budget-to-actual results is used in assessing performance of the Company’s one operating segment, as well as in establishing resource allocations across the Company.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illustrates information about segment revenue, significant segment expenses, and segment net loss.</w:t>
      </w:r>
    </w:p>
    <w:tbl>
      <w:tblPr>
        <w:tblW w:w="9543" w:type="dxa"/>
        <w:jc w:val="left"/>
        <w:tblInd w:w="0" w:type="dxa"/>
        <w:tblLayout w:type="fixed"/>
        <w:tblCellMar>
          <w:top w:w="28" w:type="dxa"/>
          <w:left w:w="28" w:type="dxa"/>
          <w:bottom w:w="28" w:type="dxa"/>
          <w:right w:w="28" w:type="dxa"/>
        </w:tblCellMar>
      </w:tblPr>
      <w:tblGrid>
        <w:gridCol w:w="5321"/>
        <w:gridCol w:w="146"/>
        <w:gridCol w:w="196"/>
        <w:gridCol w:w="751"/>
        <w:gridCol w:w="166"/>
        <w:gridCol w:w="146"/>
        <w:gridCol w:w="196"/>
        <w:gridCol w:w="751"/>
        <w:gridCol w:w="166"/>
        <w:gridCol w:w="146"/>
        <w:gridCol w:w="196"/>
        <w:gridCol w:w="751"/>
        <w:gridCol w:w="611"/>
      </w:tblGrid>
      <w:tr>
        <w:trPr/>
        <w:tc>
          <w:tcPr>
            <w:tcW w:w="5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License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programs in 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101,055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External costs for platform technologies and preclinical programs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Employee related expenses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77,120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36,510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segment expenses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 compensation expense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fair value of contingent consideration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Reconciliation to 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or 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Consolidated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expense categories and amounts in the table above align with the segment-level information regularly provided to the CODM.</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"Employee related expenses" within research and development expenses excludes stock compensation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"Other expenses" within research and development expenses excludes depreciation expense.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 "General and administrative expenses" excludes stock compensation expense and depreciation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4. Fair Value Measurements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and liabilities measured at fair value on a recurring basis and indicate the level of the fair value hierarchy utilized to determine such fair values:</w:t>
      </w:r>
    </w:p>
    <w:tbl>
      <w:tblPr>
        <w:tblW w:w="7112" w:type="dxa"/>
        <w:jc w:val="left"/>
        <w:tblInd w:w="0" w:type="dxa"/>
        <w:tblLayout w:type="fixed"/>
        <w:tblCellMar>
          <w:top w:w="28" w:type="dxa"/>
          <w:left w:w="28" w:type="dxa"/>
          <w:bottom w:w="28" w:type="dxa"/>
          <w:right w:w="28" w:type="dxa"/>
        </w:tblCellMar>
      </w:tblPr>
      <w:tblGrid>
        <w:gridCol w:w="2586"/>
        <w:gridCol w:w="146"/>
        <w:gridCol w:w="196"/>
        <w:gridCol w:w="601"/>
        <w:gridCol w:w="146"/>
        <w:gridCol w:w="146"/>
        <w:gridCol w:w="196"/>
        <w:gridCol w:w="691"/>
        <w:gridCol w:w="146"/>
        <w:gridCol w:w="146"/>
        <w:gridCol w:w="196"/>
        <w:gridCol w:w="346"/>
        <w:gridCol w:w="146"/>
        <w:gridCol w:w="146"/>
        <w:gridCol w:w="196"/>
        <w:gridCol w:w="691"/>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401,184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550,813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Milestone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2586"/>
        <w:gridCol w:w="146"/>
        <w:gridCol w:w="196"/>
        <w:gridCol w:w="691"/>
        <w:gridCol w:w="146"/>
        <w:gridCol w:w="146"/>
        <w:gridCol w:w="196"/>
        <w:gridCol w:w="691"/>
        <w:gridCol w:w="146"/>
        <w:gridCol w:w="146"/>
        <w:gridCol w:w="196"/>
        <w:gridCol w:w="346"/>
        <w:gridCol w:w="146"/>
        <w:gridCol w:w="146"/>
        <w:gridCol w:w="196"/>
        <w:gridCol w:w="691"/>
        <w:gridCol w:w="39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 Measurements as of</w:t>
              <w:b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9"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564,083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564,083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779,164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Contingent Milestone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determining the fair value of its investments at each date presented above, the Company relied on quoted prices for similar securities in active markets or using other inputs that are observable or can be corroborated by observable market data.</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18"/>
        </w:rPr>
      </w:pPr>
      <w:r>
        <w:rPr>
          <w:rFonts w:ascii="Times New Roman" w:hAnsi="Times New Roman"/>
          <w:i/>
          <w:color w:val="000000"/>
          <w:sz w:val="18"/>
        </w:rPr>
        <w:t>Fair Value of Contingent Consideration</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2021, the Company acquired ZebiAI.</w:t>
      </w:r>
    </w:p>
    <w:p>
      <w:pPr>
        <w:pStyle w:val="TextBody"/>
        <w:bidi w:val="0"/>
        <w:spacing w:before="240" w:after="283"/>
        <w:jc w:val="left"/>
        <w:rPr>
          <w:rFonts w:ascii="Times New Roman" w:hAnsi="Times New Roman"/>
          <w:sz w:val="20"/>
        </w:rPr>
      </w:pPr>
      <w:r>
        <w:rPr>
          <w:rFonts w:ascii="Times New Roman" w:hAnsi="Times New Roman"/>
          <w:color w:val="000000"/>
          <w:sz w:val="18"/>
        </w:rPr>
        <w:t>Pursuant to the terms of the acquisition, the Company is liable for certain contingent consideration, including (a) up to $85.0</w:t>
      </w:r>
      <w:r>
        <w:rPr>
          <w:rFonts w:ascii="Times New Roman" w:hAnsi="Times New Roman"/>
          <w:color w:val="000000"/>
          <w:sz w:val="20"/>
        </w:rPr>
        <w:t xml:space="preserve"> </w:t>
      </w:r>
      <w:r>
        <w:rPr>
          <w:rFonts w:ascii="Times New Roman" w:hAnsi="Times New Roman"/>
          <w:color w:val="000000"/>
          <w:sz w:val="18"/>
        </w:rPr>
        <w:t>million in platform and program milestones ("Contingent Milestone Payments") and (b) up to $100.0</w:t>
      </w:r>
      <w:r>
        <w:rPr>
          <w:rFonts w:ascii="Times New Roman" w:hAnsi="Times New Roman"/>
          <w:color w:val="000000"/>
          <w:sz w:val="20"/>
        </w:rPr>
        <w:t xml:space="preserve"> </w:t>
      </w:r>
      <w:r>
        <w:rPr>
          <w:rFonts w:ascii="Times New Roman" w:hAnsi="Times New Roman"/>
          <w:color w:val="000000"/>
          <w:sz w:val="18"/>
        </w:rPr>
        <w:t>million in earnout payments ("Contingent Earnout Payments"), both payable to ZebiAI's former equity holders upon achievement.</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classified the Contingent Milestone Payments within Level 3 of the fair value hierarchy. Pursuant to ASC Topic 480, Distinguishing Liabilities from Equity ("ASC 480"), the Company has accounted for the Contingent Milestone Payments as a liability and remeasured the fair value at each reporting period based on the probability of achieving the milestones and timing. Significant judgment has been used in determining the underlying assumptions. In connection therewith, the liability was recorded at $0</w:t>
      </w:r>
      <w:r>
        <w:rPr>
          <w:rFonts w:ascii="Times New Roman" w:hAnsi="Times New Roman"/>
          <w:color w:val="000000"/>
          <w:sz w:val="20"/>
        </w:rPr>
        <w:t xml:space="preserve"> </w:t>
      </w:r>
      <w:r>
        <w:rPr>
          <w:rFonts w:ascii="Times New Roman" w:hAnsi="Times New Roman"/>
          <w:color w:val="000000"/>
          <w:sz w:val="18"/>
        </w:rPr>
        <w:t>on the consolidated balance sheet as of December 31, 2025.</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not accounted for the Contingent Earnout Payments as derivatives under ASC Topic 815, Derivatives and Hedging ("ASC 815"). As such, they were only measured at fair value as of the acquisition date and have not been re-assessed at fair value as of each reporting period end. During the year ended December 31, 2024, the contingency was resolved without the consideration becoming payable. Therefore, the liability was recorded at $0</w:t>
      </w:r>
      <w:r>
        <w:rPr>
          <w:rFonts w:ascii="Times New Roman" w:hAnsi="Times New Roman"/>
          <w:color w:val="000000"/>
          <w:sz w:val="20"/>
        </w:rPr>
        <w:t xml:space="preserve"> </w:t>
      </w:r>
      <w:r>
        <w:rPr>
          <w:rFonts w:ascii="Times New Roman" w:hAnsi="Times New Roman"/>
          <w:color w:val="000000"/>
          <w:sz w:val="18"/>
        </w:rPr>
        <w:t>on the consolidated balance sheet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following table reconciles the change in the contingent consideration liability:</w:t>
      </w:r>
    </w:p>
    <w:tbl>
      <w:tblPr>
        <w:tblW w:w="7403" w:type="dxa"/>
        <w:jc w:val="left"/>
        <w:tblInd w:w="0" w:type="dxa"/>
        <w:tblLayout w:type="fixed"/>
        <w:tblCellMar>
          <w:top w:w="28" w:type="dxa"/>
          <w:left w:w="28" w:type="dxa"/>
          <w:bottom w:w="28" w:type="dxa"/>
          <w:right w:w="28" w:type="dxa"/>
        </w:tblCellMar>
      </w:tblPr>
      <w:tblGrid>
        <w:gridCol w:w="4246"/>
        <w:gridCol w:w="146"/>
        <w:gridCol w:w="196"/>
        <w:gridCol w:w="346"/>
        <w:gridCol w:w="146"/>
        <w:gridCol w:w="146"/>
        <w:gridCol w:w="196"/>
        <w:gridCol w:w="601"/>
        <w:gridCol w:w="166"/>
        <w:gridCol w:w="146"/>
        <w:gridCol w:w="196"/>
        <w:gridCol w:w="661"/>
        <w:gridCol w:w="211"/>
      </w:tblGrid>
      <w:tr>
        <w:trPr/>
        <w:tc>
          <w:tcPr>
            <w:tcW w:w="4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fair value of Contingent Milestone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carrying value of Contingent Earnout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milestone achievement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5. Investments</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fair value of available-for-sale investments by type of security was as follows:</w:t>
      </w:r>
    </w:p>
    <w:tbl>
      <w:tblPr>
        <w:tblW w:w="8795"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57"/>
        <w:gridCol w:w="494"/>
        <w:gridCol w:w="146"/>
        <w:gridCol w:w="146"/>
        <w:gridCol w:w="271"/>
        <w:gridCol w:w="480"/>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357,852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358,363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407,282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407,839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42,821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469,767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470,500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811" w:type="dxa"/>
        <w:jc w:val="left"/>
        <w:tblInd w:w="0" w:type="dxa"/>
        <w:tblLayout w:type="fixed"/>
        <w:tblCellMar>
          <w:top w:w="28" w:type="dxa"/>
          <w:left w:w="28" w:type="dxa"/>
          <w:bottom w:w="28" w:type="dxa"/>
          <w:right w:w="28" w:type="dxa"/>
        </w:tblCellMar>
      </w:tblPr>
      <w:tblGrid>
        <w:gridCol w:w="4086"/>
        <w:gridCol w:w="146"/>
        <w:gridCol w:w="196"/>
        <w:gridCol w:w="691"/>
        <w:gridCol w:w="146"/>
        <w:gridCol w:w="146"/>
        <w:gridCol w:w="208"/>
        <w:gridCol w:w="543"/>
        <w:gridCol w:w="146"/>
        <w:gridCol w:w="146"/>
        <w:gridCol w:w="196"/>
        <w:gridCol w:w="571"/>
        <w:gridCol w:w="166"/>
        <w:gridCol w:w="146"/>
        <w:gridCol w:w="196"/>
        <w:gridCol w:w="691"/>
        <w:gridCol w:w="391"/>
      </w:tblGrid>
      <w:tr>
        <w:trPr/>
        <w:tc>
          <w:tcPr>
            <w:tcW w:w="4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245,689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318,394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 with a maturity of one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361,666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360,071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658,027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657,036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tables summarize the Company's available-for-sale debt securities in an unrealized loss position for which an allowance for credit losses has not been recorded, aggregated by major security type and length of time in a continuous unrealized loss position:</w:t>
      </w:r>
    </w:p>
    <w:tbl>
      <w:tblPr>
        <w:tblW w:w="8335" w:type="dxa"/>
        <w:jc w:val="left"/>
        <w:tblInd w:w="0" w:type="dxa"/>
        <w:tblLayout w:type="fixed"/>
        <w:tblCellMar>
          <w:top w:w="28" w:type="dxa"/>
          <w:left w:w="28" w:type="dxa"/>
          <w:bottom w:w="28" w:type="dxa"/>
          <w:right w:w="28" w:type="dxa"/>
        </w:tblCellMar>
      </w:tblPr>
      <w:tblGrid>
        <w:gridCol w:w="1696"/>
        <w:gridCol w:w="146"/>
        <w:gridCol w:w="196"/>
        <w:gridCol w:w="601"/>
        <w:gridCol w:w="146"/>
        <w:gridCol w:w="146"/>
        <w:gridCol w:w="325"/>
        <w:gridCol w:w="426"/>
        <w:gridCol w:w="166"/>
        <w:gridCol w:w="146"/>
        <w:gridCol w:w="204"/>
        <w:gridCol w:w="531"/>
        <w:gridCol w:w="146"/>
        <w:gridCol w:w="146"/>
        <w:gridCol w:w="271"/>
        <w:gridCol w:w="480"/>
        <w:gridCol w:w="166"/>
        <w:gridCol w:w="146"/>
        <w:gridCol w:w="196"/>
        <w:gridCol w:w="601"/>
        <w:gridCol w:w="146"/>
        <w:gridCol w:w="146"/>
        <w:gridCol w:w="325"/>
        <w:gridCol w:w="426"/>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4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2"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39,244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527" w:type="dxa"/>
        <w:jc w:val="left"/>
        <w:tblInd w:w="0" w:type="dxa"/>
        <w:tblLayout w:type="fixed"/>
        <w:tblCellMar>
          <w:top w:w="28" w:type="dxa"/>
          <w:left w:w="28" w:type="dxa"/>
          <w:bottom w:w="28" w:type="dxa"/>
          <w:right w:w="28" w:type="dxa"/>
        </w:tblCellMar>
      </w:tblPr>
      <w:tblGrid>
        <w:gridCol w:w="1696"/>
        <w:gridCol w:w="146"/>
        <w:gridCol w:w="196"/>
        <w:gridCol w:w="691"/>
        <w:gridCol w:w="146"/>
        <w:gridCol w:w="146"/>
        <w:gridCol w:w="196"/>
        <w:gridCol w:w="571"/>
        <w:gridCol w:w="166"/>
        <w:gridCol w:w="146"/>
        <w:gridCol w:w="266"/>
        <w:gridCol w:w="469"/>
        <w:gridCol w:w="146"/>
        <w:gridCol w:w="146"/>
        <w:gridCol w:w="271"/>
        <w:gridCol w:w="480"/>
        <w:gridCol w:w="146"/>
        <w:gridCol w:w="146"/>
        <w:gridCol w:w="196"/>
        <w:gridCol w:w="691"/>
        <w:gridCol w:w="146"/>
        <w:gridCol w:w="146"/>
        <w:gridCol w:w="196"/>
        <w:gridCol w:w="571"/>
        <w:gridCol w:w="411"/>
      </w:tblGrid>
      <w:tr>
        <w:trPr/>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12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Unrealized</w:t>
              <w:br/>
              <w:t>Losses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4"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treasury bills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35,455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As summarized in the tables immediately above, the Company held 8</w:t>
      </w:r>
      <w:r>
        <w:rPr>
          <w:rFonts w:ascii="Times New Roman" w:hAnsi="Times New Roman"/>
          <w:color w:val="000000"/>
          <w:sz w:val="20"/>
        </w:rPr>
        <w:t xml:space="preserve"> </w:t>
      </w:r>
      <w:r>
        <w:rPr>
          <w:rFonts w:ascii="Times New Roman" w:hAnsi="Times New Roman"/>
          <w:color w:val="000000"/>
          <w:sz w:val="18"/>
        </w:rPr>
        <w:t>and 58</w:t>
      </w:r>
      <w:r>
        <w:rPr>
          <w:rFonts w:ascii="Times New Roman" w:hAnsi="Times New Roman"/>
          <w:color w:val="000000"/>
          <w:sz w:val="20"/>
        </w:rPr>
        <w:t xml:space="preserve"> </w:t>
      </w:r>
      <w:r>
        <w:rPr>
          <w:rFonts w:ascii="Times New Roman" w:hAnsi="Times New Roman"/>
          <w:color w:val="000000"/>
          <w:sz w:val="18"/>
        </w:rPr>
        <w:t>debt securities that were in an unrealized loss position as of December 31, 2025 and 2024, respectively. The unrealized losses at December 31, 2025 and 2024</w:t>
      </w:r>
      <w:r>
        <w:rPr>
          <w:rFonts w:ascii="Times New Roman" w:hAnsi="Times New Roman"/>
          <w:color w:val="000000"/>
          <w:sz w:val="20"/>
        </w:rPr>
        <w:t xml:space="preserve"> </w:t>
      </w:r>
      <w:r>
        <w:rPr>
          <w:rFonts w:ascii="Times New Roman" w:hAnsi="Times New Roman"/>
          <w:color w:val="000000"/>
          <w:sz w:val="18"/>
        </w:rPr>
        <w:t>were attributable to changes in interest rates and the unrealized losses do not represent credit losses. The Company does not intend to sell such securities and it is not more likely than not that it will be required to sell them before recovery of their amortized cost basis.</w:t>
      </w:r>
    </w:p>
    <w:p>
      <w:pPr>
        <w:pStyle w:val="TextBody"/>
        <w:bidi w:val="0"/>
        <w:spacing w:before="240" w:after="283"/>
        <w:jc w:val="left"/>
        <w:rPr>
          <w:rFonts w:ascii="Times New Roman" w:hAnsi="Times New Roman"/>
          <w:sz w:val="20"/>
        </w:rPr>
      </w:pPr>
      <w:r>
        <w:rPr>
          <w:rFonts w:ascii="Times New Roman" w:hAnsi="Times New Roman"/>
          <w:b/>
          <w:color w:val="000000"/>
          <w:sz w:val="18"/>
        </w:rPr>
        <w:t>6. Accrued Expenses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Accrued expenses consisted of the following:</w:t>
      </w:r>
      <w:r>
        <w:rPr>
          <w:rFonts w:ascii="Times New Roman" w:hAnsi="Times New Roman"/>
          <w:color w:val="000000"/>
          <w:sz w:val="20"/>
        </w:rPr>
        <w:t xml:space="preserve"> </w:t>
      </w:r>
    </w:p>
    <w:tbl>
      <w:tblPr>
        <w:tblW w:w="5209" w:type="dxa"/>
        <w:jc w:val="left"/>
        <w:tblInd w:w="0" w:type="dxa"/>
        <w:tblLayout w:type="fixed"/>
        <w:tblCellMar>
          <w:top w:w="28" w:type="dxa"/>
          <w:left w:w="28" w:type="dxa"/>
          <w:bottom w:w="28" w:type="dxa"/>
          <w:right w:w="28" w:type="dxa"/>
        </w:tblCellMar>
      </w:tblPr>
      <w:tblGrid>
        <w:gridCol w:w="2986"/>
        <w:gridCol w:w="146"/>
        <w:gridCol w:w="196"/>
        <w:gridCol w:w="601"/>
        <w:gridCol w:w="146"/>
        <w:gridCol w:w="146"/>
        <w:gridCol w:w="196"/>
        <w:gridCol w:w="60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Consulting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Compensation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21,236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7.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Each share of common stock entitles the stockholder to one vote on all matters submitted to a vote of the Company’s stockholders.</w:t>
      </w:r>
      <w:r>
        <w:rPr>
          <w:rFonts w:ascii="Times New Roman" w:hAnsi="Times New Roman"/>
          <w:color w:val="000000"/>
          <w:sz w:val="20"/>
        </w:rPr>
        <w:t xml:space="preserve"> </w:t>
      </w:r>
      <w:r>
        <w:rPr>
          <w:rFonts w:ascii="Times New Roman" w:hAnsi="Times New Roman"/>
          <w:color w:val="000000"/>
          <w:sz w:val="18"/>
        </w:rPr>
        <w:t>Common stockholders are entitled to receive dividends, as may be declared by the Company’s board of directors. As of December 31, 2025, no</w:t>
      </w:r>
      <w:r>
        <w:rPr>
          <w:rFonts w:ascii="Times New Roman" w:hAnsi="Times New Roman"/>
          <w:color w:val="000000"/>
          <w:sz w:val="20"/>
        </w:rPr>
        <w:t xml:space="preserve"> </w:t>
      </w:r>
      <w:r>
        <w:rPr>
          <w:rFonts w:ascii="Times New Roman" w:hAnsi="Times New Roman"/>
          <w:color w:val="000000"/>
          <w:sz w:val="18"/>
        </w:rPr>
        <w:t>dividends had been declared.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At-the-Market Offerings</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2021, the Company entered into a sales agreement (the "2021 Sales Agreement") with Cowen and Company, LLC ("Cowen"), pursuant to which the Company could offer and sell shares of its common stock having aggregate gross proceeds of up to $300.0</w:t>
      </w:r>
      <w:r>
        <w:rPr>
          <w:rFonts w:ascii="Times New Roman" w:hAnsi="Times New Roman"/>
          <w:color w:val="000000"/>
          <w:sz w:val="20"/>
        </w:rPr>
        <w:t xml:space="preserve"> </w:t>
      </w:r>
      <w:r>
        <w:rPr>
          <w:rFonts w:ascii="Times New Roman" w:hAnsi="Times New Roman"/>
          <w:color w:val="000000"/>
          <w:sz w:val="18"/>
        </w:rPr>
        <w:t>million from time to time in "at-the-market" offerings through Cowen, as the Company’s sales agent.</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2022, no</w:t>
      </w:r>
      <w:r>
        <w:rPr>
          <w:rFonts w:ascii="Times New Roman" w:hAnsi="Times New Roman"/>
          <w:color w:val="000000"/>
          <w:sz w:val="20"/>
        </w:rPr>
        <w:t xml:space="preserve"> </w:t>
      </w:r>
      <w:r>
        <w:rPr>
          <w:rFonts w:ascii="Times New Roman" w:hAnsi="Times New Roman"/>
          <w:color w:val="000000"/>
          <w:sz w:val="18"/>
        </w:rPr>
        <w:t>shares of common stock had been sold under the 2021 Sales Agreement.</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2023, the Company sold 3,026,072</w:t>
      </w:r>
      <w:r>
        <w:rPr>
          <w:rFonts w:ascii="Times New Roman" w:hAnsi="Times New Roman"/>
          <w:color w:val="000000"/>
          <w:sz w:val="20"/>
        </w:rPr>
        <w:t xml:space="preserve"> </w:t>
      </w:r>
      <w:r>
        <w:rPr>
          <w:rFonts w:ascii="Times New Roman" w:hAnsi="Times New Roman"/>
          <w:color w:val="000000"/>
          <w:sz w:val="18"/>
        </w:rPr>
        <w:t>shares of common stock under the 2021 Sales Agreement at a weighted-average price of $10.26</w:t>
      </w:r>
      <w:r>
        <w:rPr>
          <w:rFonts w:ascii="Times New Roman" w:hAnsi="Times New Roman"/>
          <w:color w:val="000000"/>
          <w:sz w:val="20"/>
        </w:rPr>
        <w:t xml:space="preserve"> </w:t>
      </w:r>
      <w:r>
        <w:rPr>
          <w:rFonts w:ascii="Times New Roman" w:hAnsi="Times New Roman"/>
          <w:color w:val="000000"/>
          <w:sz w:val="18"/>
        </w:rPr>
        <w:t>per share. The Company received proceeds of $30.3</w:t>
      </w:r>
      <w:r>
        <w:rPr>
          <w:rFonts w:ascii="Times New Roman" w:hAnsi="Times New Roman"/>
          <w:color w:val="000000"/>
          <w:sz w:val="20"/>
        </w:rPr>
        <w:t xml:space="preserve"> </w:t>
      </w:r>
      <w:r>
        <w:rPr>
          <w:rFonts w:ascii="Times New Roman" w:hAnsi="Times New Roman"/>
          <w:color w:val="000000"/>
          <w:sz w:val="18"/>
        </w:rPr>
        <w:t>million therefrom, which were net of $0.8</w:t>
      </w:r>
      <w:r>
        <w:rPr>
          <w:rFonts w:ascii="Times New Roman" w:hAnsi="Times New Roman"/>
          <w:color w:val="000000"/>
          <w:sz w:val="20"/>
        </w:rPr>
        <w:t xml:space="preserve"> </w:t>
      </w:r>
      <w:r>
        <w:rPr>
          <w:rFonts w:ascii="Times New Roman" w:hAnsi="Times New Roman"/>
          <w:color w:val="000000"/>
          <w:sz w:val="18"/>
        </w:rPr>
        <w:t>million in commissions paid to Cowen and other offering expenses.</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2024, the Company sold 1,889,597</w:t>
      </w:r>
      <w:r>
        <w:rPr>
          <w:rFonts w:ascii="Times New Roman" w:hAnsi="Times New Roman"/>
          <w:color w:val="000000"/>
          <w:sz w:val="20"/>
        </w:rPr>
        <w:t xml:space="preserve"> </w:t>
      </w:r>
      <w:r>
        <w:rPr>
          <w:rFonts w:ascii="Times New Roman" w:hAnsi="Times New Roman"/>
          <w:color w:val="000000"/>
          <w:sz w:val="18"/>
        </w:rPr>
        <w:t>shares of common stock under the 2021 Sales Agreement at a weighted-average price of $9.73</w:t>
      </w:r>
      <w:r>
        <w:rPr>
          <w:rFonts w:ascii="Times New Roman" w:hAnsi="Times New Roman"/>
          <w:color w:val="000000"/>
          <w:sz w:val="20"/>
        </w:rPr>
        <w:t xml:space="preserve"> </w:t>
      </w:r>
      <w:r>
        <w:rPr>
          <w:rFonts w:ascii="Times New Roman" w:hAnsi="Times New Roman"/>
          <w:color w:val="000000"/>
          <w:sz w:val="18"/>
        </w:rPr>
        <w:t>per share. The Company received $17.9</w:t>
      </w:r>
      <w:r>
        <w:rPr>
          <w:rFonts w:ascii="Times New Roman" w:hAnsi="Times New Roman"/>
          <w:color w:val="000000"/>
          <w:sz w:val="20"/>
        </w:rPr>
        <w:t xml:space="preserve"> </w:t>
      </w:r>
      <w:r>
        <w:rPr>
          <w:rFonts w:ascii="Times New Roman" w:hAnsi="Times New Roman"/>
          <w:color w:val="000000"/>
          <w:sz w:val="18"/>
        </w:rPr>
        <w:t>million in proceeds therefrom, which were net of $0.5</w:t>
      </w:r>
      <w:r>
        <w:rPr>
          <w:rFonts w:ascii="Times New Roman" w:hAnsi="Times New Roman"/>
          <w:color w:val="000000"/>
          <w:sz w:val="20"/>
        </w:rPr>
        <w:t xml:space="preserve"> </w:t>
      </w:r>
      <w:r>
        <w:rPr>
          <w:rFonts w:ascii="Times New Roman" w:hAnsi="Times New Roman"/>
          <w:color w:val="000000"/>
          <w:sz w:val="18"/>
        </w:rPr>
        <w:t>million in commissions paid to Cowen and other offering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August 2024, the 2021 Sales Agreement was terminated by mutual agreement between the Company and Cowen. Separately, the Company entered into a new sales agreement (the "2024 Sales Agreement") with TD Securities (USA) LLC ("TD Securities"), pursuant to which the Company may offer and sell shares of its common stock having aggregate gross proceeds of up to $250.0</w:t>
      </w:r>
      <w:r>
        <w:rPr>
          <w:rFonts w:ascii="Times New Roman" w:hAnsi="Times New Roman"/>
          <w:color w:val="000000"/>
          <w:sz w:val="20"/>
        </w:rPr>
        <w:t xml:space="preserve"> </w:t>
      </w:r>
      <w:r>
        <w:rPr>
          <w:rFonts w:ascii="Times New Roman" w:hAnsi="Times New Roman"/>
          <w:color w:val="000000"/>
          <w:sz w:val="18"/>
        </w:rPr>
        <w:t>million from time to time in "at-the-market" offerings through TD Securities, as the Company’s sales agent.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there were no</w:t>
      </w:r>
      <w:r>
        <w:rPr>
          <w:rFonts w:ascii="Times New Roman" w:hAnsi="Times New Roman"/>
          <w:color w:val="000000"/>
          <w:sz w:val="20"/>
        </w:rPr>
        <w:t xml:space="preserve"> </w:t>
      </w:r>
      <w:r>
        <w:rPr>
          <w:rFonts w:ascii="Times New Roman" w:hAnsi="Times New Roman"/>
          <w:color w:val="000000"/>
          <w:sz w:val="18"/>
        </w:rPr>
        <w:t>sales of common stock under the 2024 Sales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Private Placement</w:t>
      </w:r>
    </w:p>
    <w:p>
      <w:pPr>
        <w:pStyle w:val="TextBody"/>
        <w:bidi w:val="0"/>
        <w:spacing w:before="240" w:after="283"/>
        <w:jc w:val="left"/>
        <w:rPr>
          <w:rFonts w:ascii="Times New Roman" w:hAnsi="Times New Roman"/>
          <w:sz w:val="20"/>
        </w:rPr>
      </w:pPr>
      <w:r>
        <w:rPr>
          <w:rFonts w:ascii="Times New Roman" w:hAnsi="Times New Roman"/>
          <w:color w:val="000000"/>
          <w:sz w:val="18"/>
        </w:rPr>
        <w:t>In January 2024, the Company entered into a securities purchase agreement with Nextech Crossover I SCP for the private placement of 2,500,000</w:t>
      </w:r>
      <w:r>
        <w:rPr>
          <w:rFonts w:ascii="Times New Roman" w:hAnsi="Times New Roman"/>
          <w:color w:val="000000"/>
          <w:sz w:val="20"/>
        </w:rPr>
        <w:t xml:space="preserve"> </w:t>
      </w:r>
      <w:r>
        <w:rPr>
          <w:rFonts w:ascii="Times New Roman" w:hAnsi="Times New Roman"/>
          <w:color w:val="000000"/>
          <w:sz w:val="18"/>
        </w:rPr>
        <w:t>shares of common stock at $12.00</w:t>
      </w:r>
      <w:r>
        <w:rPr>
          <w:rFonts w:ascii="Times New Roman" w:hAnsi="Times New Roman"/>
          <w:color w:val="000000"/>
          <w:sz w:val="20"/>
        </w:rPr>
        <w:t xml:space="preserve"> </w:t>
      </w:r>
      <w:r>
        <w:rPr>
          <w:rFonts w:ascii="Times New Roman" w:hAnsi="Times New Roman"/>
          <w:color w:val="000000"/>
          <w:sz w:val="18"/>
        </w:rPr>
        <w:t>per share (the "Private Placement"). The Company received $29.8</w:t>
      </w:r>
      <w:r>
        <w:rPr>
          <w:rFonts w:ascii="Times New Roman" w:hAnsi="Times New Roman"/>
          <w:color w:val="000000"/>
          <w:sz w:val="20"/>
        </w:rPr>
        <w:t xml:space="preserve"> </w:t>
      </w:r>
      <w:r>
        <w:rPr>
          <w:rFonts w:ascii="Times New Roman" w:hAnsi="Times New Roman"/>
          <w:color w:val="000000"/>
          <w:sz w:val="18"/>
        </w:rPr>
        <w:t>million in proceeds from the Private Placement, which was net of $0.2</w:t>
      </w:r>
      <w:r>
        <w:rPr>
          <w:rFonts w:ascii="Times New Roman" w:hAnsi="Times New Roman"/>
          <w:color w:val="000000"/>
          <w:sz w:val="20"/>
        </w:rPr>
        <w:t xml:space="preserve"> </w:t>
      </w:r>
      <w:r>
        <w:rPr>
          <w:rFonts w:ascii="Times New Roman" w:hAnsi="Times New Roman"/>
          <w:color w:val="000000"/>
          <w:sz w:val="18"/>
        </w:rPr>
        <w:t>million in offering expenses.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Follow-On Offering</w:t>
      </w:r>
    </w:p>
    <w:p>
      <w:pPr>
        <w:pStyle w:val="TextBody"/>
        <w:bidi w:val="0"/>
        <w:spacing w:before="240" w:after="283"/>
        <w:jc w:val="left"/>
        <w:rPr>
          <w:rFonts w:ascii="Times New Roman" w:hAnsi="Times New Roman"/>
          <w:sz w:val="20"/>
        </w:rPr>
      </w:pPr>
      <w:r>
        <w:rPr>
          <w:rFonts w:ascii="Times New Roman" w:hAnsi="Times New Roman"/>
          <w:color w:val="000000"/>
          <w:sz w:val="18"/>
        </w:rPr>
        <w:t>In September 2024, the Company completed a public offering of 32,857,143</w:t>
      </w:r>
      <w:r>
        <w:rPr>
          <w:rFonts w:ascii="Times New Roman" w:hAnsi="Times New Roman"/>
          <w:color w:val="000000"/>
          <w:sz w:val="20"/>
        </w:rPr>
        <w:t xml:space="preserve"> </w:t>
      </w:r>
      <w:r>
        <w:rPr>
          <w:rFonts w:ascii="Times New Roman" w:hAnsi="Times New Roman"/>
          <w:color w:val="000000"/>
          <w:sz w:val="18"/>
        </w:rPr>
        <w:t>shares of common stock at an offering price of $7.00</w:t>
      </w:r>
      <w:r>
        <w:rPr>
          <w:rFonts w:ascii="Times New Roman" w:hAnsi="Times New Roman"/>
          <w:color w:val="000000"/>
          <w:sz w:val="20"/>
        </w:rPr>
        <w:t xml:space="preserve"> </w:t>
      </w:r>
      <w:r>
        <w:rPr>
          <w:rFonts w:ascii="Times New Roman" w:hAnsi="Times New Roman"/>
          <w:color w:val="000000"/>
          <w:sz w:val="18"/>
        </w:rPr>
        <w:t>per share. The Company received proceeds of $218.2</w:t>
      </w:r>
      <w:r>
        <w:rPr>
          <w:rFonts w:ascii="Times New Roman" w:hAnsi="Times New Roman"/>
          <w:color w:val="000000"/>
          <w:sz w:val="20"/>
        </w:rPr>
        <w:t xml:space="preserve"> </w:t>
      </w:r>
      <w:r>
        <w:rPr>
          <w:rFonts w:ascii="Times New Roman" w:hAnsi="Times New Roman"/>
          <w:color w:val="000000"/>
          <w:sz w:val="18"/>
        </w:rPr>
        <w:t>million, which was net of $11.8</w:t>
      </w:r>
      <w:r>
        <w:rPr>
          <w:rFonts w:ascii="Times New Roman" w:hAnsi="Times New Roman"/>
          <w:color w:val="000000"/>
          <w:sz w:val="20"/>
        </w:rPr>
        <w:t xml:space="preserve"> </w:t>
      </w:r>
      <w:r>
        <w:rPr>
          <w:rFonts w:ascii="Times New Roman" w:hAnsi="Times New Roman"/>
          <w:color w:val="000000"/>
          <w:sz w:val="18"/>
        </w:rPr>
        <w:t>million in underwriting discounts and other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8. Stock Compensation</w:t>
      </w:r>
    </w:p>
    <w:p>
      <w:pPr>
        <w:pStyle w:val="TextBody"/>
        <w:bidi w:val="0"/>
        <w:spacing w:before="240" w:after="283"/>
        <w:jc w:val="left"/>
        <w:rPr>
          <w:rFonts w:ascii="Times New Roman" w:hAnsi="Times New Roman"/>
          <w:sz w:val="20"/>
        </w:rPr>
      </w:pPr>
      <w:r>
        <w:rPr>
          <w:rFonts w:ascii="Times New Roman" w:hAnsi="Times New Roman"/>
          <w:color w:val="000000"/>
          <w:sz w:val="18"/>
        </w:rPr>
        <w:t>In 2016, the Company adopted the 2016 Stock Option and Grant Plan (the "2016 Stock Plan"). Subsequent to July 2020, no</w:t>
      </w:r>
      <w:r>
        <w:rPr>
          <w:rFonts w:ascii="Times New Roman" w:hAnsi="Times New Roman"/>
          <w:color w:val="000000"/>
          <w:sz w:val="20"/>
        </w:rPr>
        <w:t xml:space="preserve"> </w:t>
      </w:r>
      <w:r>
        <w:rPr>
          <w:rFonts w:ascii="Times New Roman" w:hAnsi="Times New Roman"/>
          <w:color w:val="000000"/>
          <w:sz w:val="18"/>
        </w:rPr>
        <w:t>further awards have been granted under the 2016 Stock Plan and all equity-based awards have been and will continue to be granted under the 2020 Stock Option and Incentive Plan (the "2020 Stock Plan"). To the extent outstanding options granted under the 2016 Stock Plan are cancelled, forfeited, or otherwise terminated without being exercised and would otherwise have been returned to the share reserve under the 2016 Stock Plan, the number of shares underlying such awards will be available for future grant under the 2020 Stock Plan.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2020, the Company’s stockholders approved the 2020 Stock Plan. All of the Company’s employees, officers, directors, and consultants are eligible to be granted options, restricted stock units, and other stock-based awards under the terms of the 2020 Stock Plan, which originally provided for the issuance of up to 8,376,080</w:t>
      </w:r>
      <w:r>
        <w:rPr>
          <w:rFonts w:ascii="Times New Roman" w:hAnsi="Times New Roman"/>
          <w:color w:val="000000"/>
          <w:sz w:val="20"/>
        </w:rPr>
        <w:t xml:space="preserve"> </w:t>
      </w:r>
      <w:r>
        <w:rPr>
          <w:rFonts w:ascii="Times New Roman" w:hAnsi="Times New Roman"/>
          <w:color w:val="000000"/>
          <w:sz w:val="18"/>
        </w:rPr>
        <w:t>of stock-based awards. The 2020 Stock Plan is also subject to annual increases to be added on the first day of each fiscal year, commencing on January 1, 2021, equal to 5% of the number of outstanding shares on the immediately preceding December 31 or such lesser number of shares approved by the Company’s board of directors or compensation committee of the board of directors. On January 1, 2025, the number of shares available for issuance under the 2020 Stock Plan was increased by 8,387,785</w:t>
      </w:r>
      <w:r>
        <w:rPr>
          <w:rFonts w:ascii="Times New Roman" w:hAnsi="Times New Roman"/>
          <w:color w:val="000000"/>
          <w:sz w:val="20"/>
        </w:rPr>
        <w:t xml:space="preserve"> </w:t>
      </w:r>
      <w:r>
        <w:rPr>
          <w:rFonts w:ascii="Times New Roman" w:hAnsi="Times New Roman"/>
          <w:color w:val="000000"/>
          <w:sz w:val="18"/>
        </w:rPr>
        <w:t>shares of common stock. There were 12,009,179</w:t>
      </w:r>
      <w:r>
        <w:rPr>
          <w:rFonts w:ascii="Times New Roman" w:hAnsi="Times New Roman"/>
          <w:color w:val="000000"/>
          <w:sz w:val="20"/>
        </w:rPr>
        <w:t xml:space="preserve"> </w:t>
      </w:r>
      <w:r>
        <w:rPr>
          <w:rFonts w:ascii="Times New Roman" w:hAnsi="Times New Roman"/>
          <w:color w:val="000000"/>
          <w:sz w:val="18"/>
        </w:rPr>
        <w:t>stock-based awards available for issuance at December 31, 2025 under the 2020 Stock Plan.</w:t>
      </w:r>
    </w:p>
    <w:p>
      <w:pPr>
        <w:pStyle w:val="TextBody"/>
        <w:bidi w:val="0"/>
        <w:spacing w:before="240" w:after="283"/>
        <w:jc w:val="left"/>
        <w:rPr>
          <w:rFonts w:ascii="Times New Roman" w:hAnsi="Times New Roman"/>
          <w:sz w:val="20"/>
        </w:rPr>
      </w:pPr>
      <w:r>
        <w:rPr>
          <w:rFonts w:ascii="Times New Roman" w:hAnsi="Times New Roman"/>
          <w:color w:val="000000"/>
          <w:sz w:val="18"/>
        </w:rPr>
        <w:t>In 2020, the Company adopted an Employee Stock Purchase Plan ("ESPP") that permits eligible employees to enroll in six-month offering periods. Participants may purchase shares of the Company’s common stock, through after-tax payroll deductions, at a price equal to 85% of the fair market value of the common stock on the first or last day of the applicable six-month offering period, whichever is lower. Purchase dates under the ESPP occur on or about June 30 and December 31 each year. The Company’s stockholders originally authorized 1,092,532</w:t>
      </w:r>
      <w:r>
        <w:rPr>
          <w:rFonts w:ascii="Times New Roman" w:hAnsi="Times New Roman"/>
          <w:color w:val="000000"/>
          <w:sz w:val="20"/>
        </w:rPr>
        <w:t xml:space="preserve"> </w:t>
      </w:r>
      <w:r>
        <w:rPr>
          <w:rFonts w:ascii="Times New Roman" w:hAnsi="Times New Roman"/>
          <w:color w:val="000000"/>
          <w:sz w:val="18"/>
        </w:rPr>
        <w:t>shares for issuance pursuant to the ESPP, which is subject to annual increases to be added on the first day of each fiscal year, commencing on January 1, 2021, equal to the lesser of 2,185,064</w:t>
      </w:r>
      <w:r>
        <w:rPr>
          <w:rFonts w:ascii="Times New Roman" w:hAnsi="Times New Roman"/>
          <w:color w:val="000000"/>
          <w:sz w:val="20"/>
        </w:rPr>
        <w:t xml:space="preserve"> </w:t>
      </w:r>
      <w:r>
        <w:rPr>
          <w:rFonts w:ascii="Times New Roman" w:hAnsi="Times New Roman"/>
          <w:color w:val="000000"/>
          <w:sz w:val="18"/>
        </w:rPr>
        <w:t>shares of the Company’s common stock, 1% of the number of outstanding shares on the immediately preceding December 31, or an amount determined by the Company’s board of directors. On January 1, 2025, the number of shares available for issuance under the ESPP was increased by 1,677,557</w:t>
      </w:r>
      <w:r>
        <w:rPr>
          <w:rFonts w:ascii="Times New Roman" w:hAnsi="Times New Roman"/>
          <w:color w:val="000000"/>
          <w:sz w:val="20"/>
        </w:rPr>
        <w:t xml:space="preserve"> </w:t>
      </w:r>
      <w:r>
        <w:rPr>
          <w:rFonts w:ascii="Times New Roman" w:hAnsi="Times New Roman"/>
          <w:color w:val="000000"/>
          <w:sz w:val="18"/>
        </w:rPr>
        <w:t>shares of common stock. There were 6,157,661</w:t>
      </w:r>
      <w:r>
        <w:rPr>
          <w:rFonts w:ascii="Times New Roman" w:hAnsi="Times New Roman"/>
          <w:color w:val="000000"/>
          <w:sz w:val="20"/>
        </w:rPr>
        <w:t xml:space="preserve"> </w:t>
      </w:r>
      <w:r>
        <w:rPr>
          <w:rFonts w:ascii="Times New Roman" w:hAnsi="Times New Roman"/>
          <w:color w:val="000000"/>
          <w:sz w:val="18"/>
        </w:rPr>
        <w:t>shares available for issuance at December 31, 2025 under the ESPP.</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In connection with all stock-based payments, total stock compensation expense recognized was as follows:</w:t>
      </w:r>
    </w:p>
    <w:tbl>
      <w:tblPr>
        <w:tblW w:w="6013" w:type="dxa"/>
        <w:jc w:val="left"/>
        <w:tblInd w:w="0" w:type="dxa"/>
        <w:tblLayout w:type="fixed"/>
        <w:tblCellMar>
          <w:top w:w="28" w:type="dxa"/>
          <w:left w:w="28" w:type="dxa"/>
          <w:bottom w:w="28" w:type="dxa"/>
          <w:right w:w="28" w:type="dxa"/>
        </w:tblCellMar>
      </w:tblPr>
      <w:tblGrid>
        <w:gridCol w:w="2701"/>
        <w:gridCol w:w="146"/>
        <w:gridCol w:w="196"/>
        <w:gridCol w:w="601"/>
        <w:gridCol w:w="146"/>
        <w:gridCol w:w="146"/>
        <w:gridCol w:w="196"/>
        <w:gridCol w:w="601"/>
        <w:gridCol w:w="146"/>
        <w:gridCol w:w="146"/>
        <w:gridCol w:w="196"/>
        <w:gridCol w:w="60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21"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86,031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Time-Based Stock Options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historically granted stock options to employees, directors, and consultants with vesting subject to continued service over time. Accordingly, stock compensation expense for such awards is recognized using a straight-line attribution model over the vesting term.</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activity for time-based stock options for the year ended December 31, 2025:</w:t>
      </w:r>
      <w:r>
        <w:rPr>
          <w:rFonts w:ascii="Times New Roman" w:hAnsi="Times New Roman"/>
          <w:color w:val="000000"/>
          <w:sz w:val="20"/>
        </w:rPr>
        <w:t xml:space="preserve"> </w:t>
      </w:r>
    </w:p>
    <w:tbl>
      <w:tblPr>
        <w:tblW w:w="8528" w:type="dxa"/>
        <w:jc w:val="left"/>
        <w:tblInd w:w="0" w:type="dxa"/>
        <w:tblLayout w:type="fixed"/>
        <w:tblCellMar>
          <w:top w:w="28" w:type="dxa"/>
          <w:left w:w="28" w:type="dxa"/>
          <w:bottom w:w="28" w:type="dxa"/>
          <w:right w:w="28" w:type="dxa"/>
        </w:tblCellMar>
      </w:tblPr>
      <w:tblGrid>
        <w:gridCol w:w="2596"/>
        <w:gridCol w:w="146"/>
        <w:gridCol w:w="146"/>
        <w:gridCol w:w="916"/>
        <w:gridCol w:w="166"/>
        <w:gridCol w:w="146"/>
        <w:gridCol w:w="337"/>
        <w:gridCol w:w="879"/>
        <w:gridCol w:w="146"/>
        <w:gridCol w:w="146"/>
        <w:gridCol w:w="313"/>
        <w:gridCol w:w="903"/>
        <w:gridCol w:w="146"/>
        <w:gridCol w:w="146"/>
        <w:gridCol w:w="247"/>
        <w:gridCol w:w="75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Remaining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11,598,344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8,244,529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(2,971,776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16,770,004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39,083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9,331,796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7,438,208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The total intrinsic value of time-based stock options exercised was $0.3</w:t>
      </w:r>
      <w:r>
        <w:rPr>
          <w:rFonts w:ascii="Times New Roman" w:hAnsi="Times New Roman"/>
          <w:color w:val="000000"/>
          <w:sz w:val="20"/>
        </w:rPr>
        <w:t xml:space="preserve"> </w:t>
      </w:r>
      <w:r>
        <w:rPr>
          <w:rFonts w:ascii="Times New Roman" w:hAnsi="Times New Roman"/>
          <w:color w:val="000000"/>
          <w:sz w:val="18"/>
        </w:rPr>
        <w:t>million, $6.7</w:t>
      </w:r>
      <w:r>
        <w:rPr>
          <w:rFonts w:ascii="Times New Roman" w:hAnsi="Times New Roman"/>
          <w:color w:val="000000"/>
          <w:sz w:val="20"/>
        </w:rPr>
        <w:t xml:space="preserve"> </w:t>
      </w:r>
      <w:r>
        <w:rPr>
          <w:rFonts w:ascii="Times New Roman" w:hAnsi="Times New Roman"/>
          <w:color w:val="000000"/>
          <w:sz w:val="18"/>
        </w:rPr>
        <w:t>million, and $4.4</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240" w:after="240"/>
        <w:jc w:val="left"/>
        <w:rPr>
          <w:rFonts w:ascii="Times New Roman" w:hAnsi="Times New Roman"/>
          <w:sz w:val="20"/>
        </w:rPr>
      </w:pPr>
      <w:r>
        <w:rPr>
          <w:rFonts w:ascii="Times New Roman" w:hAnsi="Times New Roman"/>
          <w:color w:val="000000"/>
          <w:sz w:val="18"/>
        </w:rPr>
        <w:t>The fair value of each time-based stock option granted is estimated on the grant date using the Black-Scholes option pricing model, pursuant to which the weighted-average grant date fair values were $3.09, $4.87, and $12.83</w:t>
      </w:r>
      <w:r>
        <w:rPr>
          <w:rFonts w:ascii="Times New Roman" w:hAnsi="Times New Roman"/>
          <w:color w:val="000000"/>
          <w:sz w:val="20"/>
        </w:rPr>
        <w:t xml:space="preserve"> </w:t>
      </w:r>
      <w:r>
        <w:rPr>
          <w:rFonts w:ascii="Times New Roman" w:hAnsi="Times New Roman"/>
          <w:color w:val="000000"/>
          <w:sz w:val="18"/>
        </w:rPr>
        <w:t>during the years ended December 31, 2025, 2024, and 2023,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The following table summarizes the assumptions used in calculating the fair value of the time-based stock options granted:</w:t>
      </w:r>
    </w:p>
    <w:tbl>
      <w:tblPr>
        <w:tblW w:w="6112" w:type="dxa"/>
        <w:jc w:val="left"/>
        <w:tblInd w:w="0" w:type="dxa"/>
        <w:tblLayout w:type="fixed"/>
        <w:tblCellMar>
          <w:top w:w="28" w:type="dxa"/>
          <w:left w:w="28" w:type="dxa"/>
          <w:bottom w:w="28" w:type="dxa"/>
          <w:right w:w="28" w:type="dxa"/>
        </w:tblCellMar>
      </w:tblPr>
      <w:tblGrid>
        <w:gridCol w:w="1846"/>
        <w:gridCol w:w="146"/>
        <w:gridCol w:w="1261"/>
        <w:gridCol w:w="146"/>
        <w:gridCol w:w="1261"/>
        <w:gridCol w:w="146"/>
        <w:gridCol w:w="130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 to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 to 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 to 5.0%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 to 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75.8% to 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74.1% to 79.8%</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uses the simplified method to calculate the expected term, as it does not have sufficient historical exercise data as a public company to provide a reasonable basis upon which to estimate the expected term for time-based stock options granted. The expected term is applied to the group of time-based stock option grants as a whole, as the Company does not expect substantially different exercise or post-vesting termination behavior amongst the Company’s employees, directors, and consultants. The risk-free interest rate is based on a U.S. treasury instrument, whose term is consistent with the expected term of the time-based stock options. The Company’s assumption for volatility is based on historical volatility of (a) the Company's stock price on the Nasdaq Global Market and (b) a group of peer companies with similar characteristics to the Company and who have similar risk profiles and positions within the industry. The Company has not historically issued dividends and, therefore, estimates none in calculating the grant date fair value of time-based stock options.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total unrecognized stock compensation related to unvested time-based stock options was $27.6</w:t>
      </w:r>
      <w:r>
        <w:rPr>
          <w:rFonts w:ascii="Times New Roman" w:hAnsi="Times New Roman"/>
          <w:color w:val="000000"/>
          <w:sz w:val="20"/>
        </w:rPr>
        <w:t xml:space="preserve"> </w:t>
      </w:r>
      <w:r>
        <w:rPr>
          <w:rFonts w:ascii="Times New Roman" w:hAnsi="Times New Roman"/>
          <w:color w:val="000000"/>
          <w:sz w:val="18"/>
        </w:rPr>
        <w:t>million, which the Company expects to recognize over a weighted-average period of approximately 1.27</w:t>
      </w:r>
      <w:r>
        <w:rPr>
          <w:rFonts w:ascii="Times New Roman" w:hAnsi="Times New Roman"/>
          <w:color w:val="000000"/>
          <w:sz w:val="20"/>
        </w:rPr>
        <w:t xml:space="preserve"> </w:t>
      </w:r>
      <w:r>
        <w:rPr>
          <w:rFonts w:ascii="Times New Roman" w:hAnsi="Times New Roman"/>
          <w:color w:val="000000"/>
          <w:sz w:val="18"/>
        </w:rPr>
        <w:t>years.</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Performance-Based Stock Options</w:t>
      </w:r>
    </w:p>
    <w:p>
      <w:pPr>
        <w:pStyle w:val="TextBody"/>
        <w:bidi w:val="0"/>
        <w:spacing w:before="240" w:after="283"/>
        <w:jc w:val="left"/>
        <w:rPr>
          <w:rFonts w:ascii="Times New Roman" w:hAnsi="Times New Roman"/>
          <w:sz w:val="20"/>
        </w:rPr>
      </w:pPr>
      <w:r>
        <w:rPr>
          <w:rFonts w:ascii="Times New Roman" w:hAnsi="Times New Roman"/>
          <w:color w:val="000000"/>
          <w:sz w:val="18"/>
        </w:rPr>
        <w:t>In prior years, the Company granted options to certain employees with vesting subject to achievement of certain performance conditions, as well as continued service over time. Specifically, commencement of vesting was contingent on achievement of various goals over specified periods, subject to approval by either the Company’s Board of Directors or President and Chief Executive Officer.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performance-based stock options, the Company applied variable accounting until the performance criteria were determined to be achieved, at which time vesting commenced over contractual service periods. Furthermore, because (a) the awards were authorized prior to the accounting grant date pursuant to ASC Topic 718, Stock Compensation ("ASC 718"), (b) the recipients were providing service prior to the accounting grant date, and (c) there were performance conditions that, if not met by the accounting grant date, would have resulted in the forfeiture of the award, the service inception dates preceded the accounting grant dates. Ultimately, the stock compensation expense for the options was determined based on the fair value of the awards on the accounting grant dates, which was then recognized using an accelerated attribution model over the vesting term commencing upon the actual or expected accounting grant dates.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performance-based stock options granted in prior years, all performance conditions were resolved in prior years and the grant dates were set prior to December 31, 2025.</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for performance-based stock options for the year ended December 31, 2025:</w:t>
      </w:r>
    </w:p>
    <w:tbl>
      <w:tblPr>
        <w:tblW w:w="8438"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386"/>
        <w:gridCol w:w="830"/>
        <w:gridCol w:w="146"/>
        <w:gridCol w:w="146"/>
        <w:gridCol w:w="313"/>
        <w:gridCol w:w="903"/>
        <w:gridCol w:w="146"/>
        <w:gridCol w:w="146"/>
        <w:gridCol w:w="277"/>
        <w:gridCol w:w="728"/>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w:t>
              <w:br/>
              <w:t>Stock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Remaining 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1,556,684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1,477,393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total intrinsic value of performance-based stock options exercised was $0.1</w:t>
      </w:r>
      <w:r>
        <w:rPr>
          <w:rFonts w:ascii="Times New Roman" w:hAnsi="Times New Roman"/>
          <w:color w:val="000000"/>
          <w:sz w:val="20"/>
        </w:rPr>
        <w:t xml:space="preserve"> </w:t>
      </w:r>
      <w:r>
        <w:rPr>
          <w:rFonts w:ascii="Times New Roman" w:hAnsi="Times New Roman"/>
          <w:color w:val="000000"/>
          <w:sz w:val="18"/>
        </w:rPr>
        <w:t>million, $0.1</w:t>
      </w:r>
      <w:r>
        <w:rPr>
          <w:rFonts w:ascii="Times New Roman" w:hAnsi="Times New Roman"/>
          <w:color w:val="000000"/>
          <w:sz w:val="20"/>
        </w:rPr>
        <w:t xml:space="preserve"> </w:t>
      </w:r>
      <w:r>
        <w:rPr>
          <w:rFonts w:ascii="Times New Roman" w:hAnsi="Times New Roman"/>
          <w:color w:val="000000"/>
          <w:sz w:val="18"/>
        </w:rPr>
        <w:t>million, and $0.3</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240" w:after="283"/>
        <w:jc w:val="left"/>
        <w:rPr>
          <w:rFonts w:ascii="Times New Roman" w:hAnsi="Times New Roman"/>
          <w:sz w:val="20"/>
        </w:rPr>
      </w:pPr>
      <w:r>
        <w:rPr>
          <w:rFonts w:ascii="Times New Roman" w:hAnsi="Times New Roman"/>
          <w:color w:val="000000"/>
          <w:sz w:val="18"/>
        </w:rPr>
        <w:t>The fair value of each performance-based stock option granted in prior years was estimated on the accounting grant date, or at the end of each reporting period if variable accounting was applied, using the Black-Scholes option-pricing model. There were no</w:t>
      </w:r>
      <w:r>
        <w:rPr>
          <w:rFonts w:ascii="Times New Roman" w:hAnsi="Times New Roman"/>
          <w:color w:val="000000"/>
          <w:sz w:val="20"/>
        </w:rPr>
        <w:t xml:space="preserve"> </w:t>
      </w:r>
      <w:r>
        <w:rPr>
          <w:rFonts w:ascii="Times New Roman" w:hAnsi="Times New Roman"/>
          <w:color w:val="000000"/>
          <w:sz w:val="18"/>
        </w:rPr>
        <w:t>performance-based stock options granted during the years ended December 31, 2025,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As of December 31, 2025, the total unrecognized stock compensation related to unvested performance-based stock options was $0.</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Time-Based RSUs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has historically granted RSUs to employees, directors, and consultants with vesting subject to continued service over time. Accordingly, stock compensation expense for such awards is recognized using a straight-line attribution model over the vesting term. The fair value of each time-based RSU is based on the closing price of the Company’s common stock on the date of grant.</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for time-based RSUs for the year ended December 31, 2025:</w:t>
      </w:r>
    </w:p>
    <w:tbl>
      <w:tblPr>
        <w:tblW w:w="6671" w:type="dxa"/>
        <w:jc w:val="left"/>
        <w:tblInd w:w="0" w:type="dxa"/>
        <w:tblLayout w:type="fixed"/>
        <w:tblCellMar>
          <w:top w:w="28" w:type="dxa"/>
          <w:left w:w="28" w:type="dxa"/>
          <w:bottom w:w="28" w:type="dxa"/>
          <w:right w:w="28" w:type="dxa"/>
        </w:tblCellMar>
      </w:tblPr>
      <w:tblGrid>
        <w:gridCol w:w="2401"/>
        <w:gridCol w:w="146"/>
        <w:gridCol w:w="312"/>
        <w:gridCol w:w="1893"/>
        <w:gridCol w:w="166"/>
        <w:gridCol w:w="146"/>
        <w:gridCol w:w="337"/>
        <w:gridCol w:w="879"/>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Underlying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Grant Date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5,808,659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1,869,945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(4,269,481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(992,105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2,417,018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fair value of time-based RSUs vested during the year ended December 31, 2025</w:t>
      </w:r>
      <w:r>
        <w:rPr>
          <w:rFonts w:ascii="Times New Roman" w:hAnsi="Times New Roman"/>
          <w:color w:val="000000"/>
          <w:sz w:val="20"/>
        </w:rPr>
        <w:t xml:space="preserve"> </w:t>
      </w:r>
      <w:r>
        <w:rPr>
          <w:rFonts w:ascii="Times New Roman" w:hAnsi="Times New Roman"/>
          <w:color w:val="000000"/>
          <w:sz w:val="18"/>
        </w:rPr>
        <w:t>was $18.1</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total unrecognized compensation related to unvested time-based RSUs granted was $13.3</w:t>
      </w:r>
      <w:r>
        <w:rPr>
          <w:rFonts w:ascii="Times New Roman" w:hAnsi="Times New Roman"/>
          <w:color w:val="000000"/>
          <w:sz w:val="20"/>
        </w:rPr>
        <w:t xml:space="preserve"> </w:t>
      </w:r>
      <w:r>
        <w:rPr>
          <w:rFonts w:ascii="Times New Roman" w:hAnsi="Times New Roman"/>
          <w:color w:val="000000"/>
          <w:sz w:val="18"/>
        </w:rPr>
        <w:t>million, which the Company expects to recognize over a weighted-average period of approximately 1.03</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Performance-Based RSUs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Besides the 2023 Market-Based Awards, as defined below, the Company had only granted time-based RSUs to employees, directors, and consultants, as summarized above, prior to the year ended December 31, 2024. During the year ended December 31, 2024, the Company granted RSUs to certain employees with vesting subject to achievement of certain performance conditions, as well as continued service over time. Specifically, commencement of vesting was contingent on achievement of various goals over specified periods, subject to approval by either the Company's Board of Directors or Compensation Committee of the Board of Directors.</w:t>
      </w:r>
    </w:p>
    <w:p>
      <w:pPr>
        <w:pStyle w:val="TextBody"/>
        <w:bidi w:val="0"/>
        <w:spacing w:before="240" w:after="283"/>
        <w:jc w:val="left"/>
        <w:rPr>
          <w:rFonts w:ascii="Times New Roman" w:hAnsi="Times New Roman"/>
          <w:sz w:val="20"/>
        </w:rPr>
      </w:pPr>
      <w:r>
        <w:rPr>
          <w:rFonts w:ascii="Times New Roman" w:hAnsi="Times New Roman"/>
          <w:color w:val="000000"/>
          <w:sz w:val="18"/>
        </w:rPr>
        <w:t>There were no</w:t>
      </w:r>
      <w:r>
        <w:rPr>
          <w:rFonts w:ascii="Times New Roman" w:hAnsi="Times New Roman"/>
          <w:color w:val="000000"/>
          <w:sz w:val="20"/>
        </w:rPr>
        <w:t xml:space="preserve"> </w:t>
      </w:r>
      <w:r>
        <w:rPr>
          <w:rFonts w:ascii="Times New Roman" w:hAnsi="Times New Roman"/>
          <w:color w:val="000000"/>
          <w:sz w:val="18"/>
        </w:rPr>
        <w:t>other grants of similar awards during the year ended December 31, 2025.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performance-based RSUs, the Company applied variable accounting until the performance criteria were determined to be achieved, at which time vesting commenced over contractual service periods. Furthermore, because (a) the awards were authorized prior to the accounting grant date pursuant to ASC 718, (b) the recipients were providing service prior to the accounting grant date, and (c) there were performance conditions that, if not met by the accounting grant date, would have resulted in the forfeiture of the award, the service inception dates preceded the accounting grant dates. Ultimately, the stock compensation expense for the RSUs was determined based on the fair value of the awards on the accounting grant dates, which is then being recognized using an accelerated attribution model over the vesting term commencing upon the actual or expected accounting grant dates.</w:t>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For the performance-based RSUs granted during the year ended December 31, 2024, the performance conditions were resolved during the year ended December 31, 2025 and, therefore, the accounting grant dates were set prior to December 31, 2025.</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for performance-based RSUs for the year ended December 31, 2025:</w:t>
      </w:r>
    </w:p>
    <w:tbl>
      <w:tblPr>
        <w:tblW w:w="6671" w:type="dxa"/>
        <w:jc w:val="left"/>
        <w:tblInd w:w="0" w:type="dxa"/>
        <w:tblLayout w:type="fixed"/>
        <w:tblCellMar>
          <w:top w:w="28" w:type="dxa"/>
          <w:left w:w="28" w:type="dxa"/>
          <w:bottom w:w="28" w:type="dxa"/>
          <w:right w:w="28" w:type="dxa"/>
        </w:tblCellMar>
      </w:tblPr>
      <w:tblGrid>
        <w:gridCol w:w="2401"/>
        <w:gridCol w:w="146"/>
        <w:gridCol w:w="312"/>
        <w:gridCol w:w="1893"/>
        <w:gridCol w:w="166"/>
        <w:gridCol w:w="146"/>
        <w:gridCol w:w="386"/>
        <w:gridCol w:w="830"/>
        <w:gridCol w:w="391"/>
      </w:tblGrid>
      <w:tr>
        <w:trPr/>
        <w:tc>
          <w:tcPr>
            <w:tcW w:w="2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 of Shares Underlying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Weighted-Average</w:t>
              <w:br/>
              <w:t xml:space="preserve">Grant Date </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(1,367,698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Cancelled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163,606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fair value of performance-based RSUs vested during the year ended December 31, 2025</w:t>
      </w:r>
      <w:r>
        <w:rPr>
          <w:rFonts w:ascii="Times New Roman" w:hAnsi="Times New Roman"/>
          <w:color w:val="000000"/>
          <w:sz w:val="20"/>
        </w:rPr>
        <w:t xml:space="preserve"> </w:t>
      </w:r>
      <w:r>
        <w:rPr>
          <w:rFonts w:ascii="Times New Roman" w:hAnsi="Times New Roman"/>
          <w:color w:val="000000"/>
          <w:sz w:val="18"/>
        </w:rPr>
        <w:t>was $5.7</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total unrecognized compensation related to unvested performance-based RSUs granted was $0.1</w:t>
      </w:r>
      <w:r>
        <w:rPr>
          <w:rFonts w:ascii="Times New Roman" w:hAnsi="Times New Roman"/>
          <w:color w:val="000000"/>
          <w:sz w:val="20"/>
        </w:rPr>
        <w:t xml:space="preserve"> </w:t>
      </w:r>
      <w:r>
        <w:rPr>
          <w:rFonts w:ascii="Times New Roman" w:hAnsi="Times New Roman"/>
          <w:color w:val="000000"/>
          <w:sz w:val="18"/>
        </w:rPr>
        <w:t>million, which the Company expects to recognize during the three months ending March 31,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Market-Based Awards</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2023, the Company granted 1,512,820</w:t>
      </w:r>
      <w:r>
        <w:rPr>
          <w:rFonts w:ascii="Times New Roman" w:hAnsi="Times New Roman"/>
          <w:color w:val="000000"/>
          <w:sz w:val="20"/>
        </w:rPr>
        <w:t xml:space="preserve"> </w:t>
      </w:r>
      <w:r>
        <w:rPr>
          <w:rFonts w:ascii="Times New Roman" w:hAnsi="Times New Roman"/>
          <w:color w:val="000000"/>
          <w:sz w:val="18"/>
        </w:rPr>
        <w:t>stock options and 405,770</w:t>
      </w:r>
      <w:r>
        <w:rPr>
          <w:rFonts w:ascii="Times New Roman" w:hAnsi="Times New Roman"/>
          <w:color w:val="000000"/>
          <w:sz w:val="20"/>
        </w:rPr>
        <w:t xml:space="preserve"> </w:t>
      </w:r>
      <w:r>
        <w:rPr>
          <w:rFonts w:ascii="Times New Roman" w:hAnsi="Times New Roman"/>
          <w:color w:val="000000"/>
          <w:sz w:val="18"/>
        </w:rPr>
        <w:t>RSUs to certain employees, with vesting over three years</w:t>
      </w:r>
      <w:r>
        <w:rPr>
          <w:rFonts w:ascii="Times New Roman" w:hAnsi="Times New Roman"/>
          <w:color w:val="000000"/>
          <w:sz w:val="20"/>
        </w:rPr>
        <w:t xml:space="preserve"> </w:t>
      </w:r>
      <w:r>
        <w:rPr>
          <w:rFonts w:ascii="Times New Roman" w:hAnsi="Times New Roman"/>
          <w:color w:val="000000"/>
          <w:sz w:val="18"/>
        </w:rPr>
        <w:t>of continued service and contingent upon achievement of certain market conditions ("2023 Market-Based Awards"). The Company measured the fair value of the 2023 Market-Based Awards on the grant date using a Monte Carlo Simulation, incorporating various option pricing inputs. Ultimately, the fair value of the 2023 Market-Based Awards was estimated as $12.53</w:t>
      </w:r>
      <w:r>
        <w:rPr>
          <w:rFonts w:ascii="Times New Roman" w:hAnsi="Times New Roman"/>
          <w:color w:val="000000"/>
          <w:sz w:val="20"/>
        </w:rPr>
        <w:t xml:space="preserve"> </w:t>
      </w:r>
      <w:r>
        <w:rPr>
          <w:rFonts w:ascii="Times New Roman" w:hAnsi="Times New Roman"/>
          <w:color w:val="000000"/>
          <w:sz w:val="18"/>
        </w:rPr>
        <w:t>per share for the stock options and $16.11</w:t>
      </w:r>
      <w:r>
        <w:rPr>
          <w:rFonts w:ascii="Times New Roman" w:hAnsi="Times New Roman"/>
          <w:color w:val="000000"/>
          <w:sz w:val="20"/>
        </w:rPr>
        <w:t xml:space="preserve"> </w:t>
      </w:r>
      <w:r>
        <w:rPr>
          <w:rFonts w:ascii="Times New Roman" w:hAnsi="Times New Roman"/>
          <w:color w:val="000000"/>
          <w:sz w:val="18"/>
        </w:rPr>
        <w:t>per share for the RSUs, yielding a total of $25.5</w:t>
      </w:r>
      <w:r>
        <w:rPr>
          <w:rFonts w:ascii="Times New Roman" w:hAnsi="Times New Roman"/>
          <w:color w:val="000000"/>
          <w:sz w:val="20"/>
        </w:rPr>
        <w:t xml:space="preserve"> </w:t>
      </w:r>
      <w:r>
        <w:rPr>
          <w:rFonts w:ascii="Times New Roman" w:hAnsi="Times New Roman"/>
          <w:color w:val="000000"/>
          <w:sz w:val="18"/>
        </w:rPr>
        <w:t>million. The total compensation expense, or $25.5</w:t>
      </w:r>
      <w:r>
        <w:rPr>
          <w:rFonts w:ascii="Times New Roman" w:hAnsi="Times New Roman"/>
          <w:color w:val="000000"/>
          <w:sz w:val="20"/>
        </w:rPr>
        <w:t xml:space="preserve"> </w:t>
      </w:r>
      <w:r>
        <w:rPr>
          <w:rFonts w:ascii="Times New Roman" w:hAnsi="Times New Roman"/>
          <w:color w:val="000000"/>
          <w:sz w:val="18"/>
        </w:rPr>
        <w:t>million, is being recognized pursuant to the accelerated attribution method over the requisite service period of three years, regardless of whether the market conditions have been achieved. The impact of forfeitures, if any, will be recognized upon occurrence.</w:t>
      </w:r>
    </w:p>
    <w:p>
      <w:pPr>
        <w:pStyle w:val="TextBody"/>
        <w:bidi w:val="0"/>
        <w:spacing w:before="240" w:after="283"/>
        <w:jc w:val="left"/>
        <w:rPr>
          <w:rFonts w:ascii="Times New Roman" w:hAnsi="Times New Roman"/>
          <w:sz w:val="20"/>
        </w:rPr>
      </w:pPr>
      <w:r>
        <w:rPr>
          <w:rFonts w:ascii="Times New Roman" w:hAnsi="Times New Roman"/>
          <w:color w:val="000000"/>
          <w:sz w:val="18"/>
        </w:rPr>
        <w:t>There were no</w:t>
      </w:r>
      <w:r>
        <w:rPr>
          <w:rFonts w:ascii="Times New Roman" w:hAnsi="Times New Roman"/>
          <w:color w:val="000000"/>
          <w:sz w:val="20"/>
        </w:rPr>
        <w:t xml:space="preserve"> </w:t>
      </w:r>
      <w:r>
        <w:rPr>
          <w:rFonts w:ascii="Times New Roman" w:hAnsi="Times New Roman"/>
          <w:color w:val="000000"/>
          <w:sz w:val="18"/>
        </w:rPr>
        <w:t>other grants of similar awards during the years ended December 31, 2025 and 2024.</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market conditions underlying the 2023 Market-Based Awards had not been achieved and, therefore, none</w:t>
      </w:r>
      <w:r>
        <w:rPr>
          <w:rFonts w:ascii="Times New Roman" w:hAnsi="Times New Roman"/>
          <w:color w:val="000000"/>
          <w:sz w:val="20"/>
        </w:rPr>
        <w:t xml:space="preserve"> </w:t>
      </w:r>
      <w:r>
        <w:rPr>
          <w:rFonts w:ascii="Times New Roman" w:hAnsi="Times New Roman"/>
          <w:color w:val="000000"/>
          <w:sz w:val="18"/>
        </w:rPr>
        <w:t>had vested. In connection therewith, none</w:t>
      </w:r>
      <w:r>
        <w:rPr>
          <w:rFonts w:ascii="Times New Roman" w:hAnsi="Times New Roman"/>
          <w:color w:val="000000"/>
          <w:sz w:val="20"/>
        </w:rPr>
        <w:t xml:space="preserve"> </w:t>
      </w:r>
      <w:r>
        <w:rPr>
          <w:rFonts w:ascii="Times New Roman" w:hAnsi="Times New Roman"/>
          <w:color w:val="000000"/>
          <w:sz w:val="18"/>
        </w:rPr>
        <w:t>of the options were exercised and none</w:t>
      </w:r>
      <w:r>
        <w:rPr>
          <w:rFonts w:ascii="Times New Roman" w:hAnsi="Times New Roman"/>
          <w:color w:val="000000"/>
          <w:sz w:val="20"/>
        </w:rPr>
        <w:t xml:space="preserve"> </w:t>
      </w:r>
      <w:r>
        <w:rPr>
          <w:rFonts w:ascii="Times New Roman" w:hAnsi="Times New Roman"/>
          <w:color w:val="000000"/>
          <w:sz w:val="18"/>
        </w:rPr>
        <w:t>of the RSUs were released through December 31, 2025. As of December 31, 2025, 211,420</w:t>
      </w:r>
      <w:r>
        <w:rPr>
          <w:rFonts w:ascii="Times New Roman" w:hAnsi="Times New Roman"/>
          <w:color w:val="000000"/>
          <w:sz w:val="20"/>
        </w:rPr>
        <w:t xml:space="preserve"> </w:t>
      </w:r>
      <w:r>
        <w:rPr>
          <w:rFonts w:ascii="Times New Roman" w:hAnsi="Times New Roman"/>
          <w:color w:val="000000"/>
          <w:sz w:val="18"/>
        </w:rPr>
        <w:t>options and 105,910</w:t>
      </w:r>
      <w:r>
        <w:rPr>
          <w:rFonts w:ascii="Times New Roman" w:hAnsi="Times New Roman"/>
          <w:color w:val="000000"/>
          <w:sz w:val="20"/>
        </w:rPr>
        <w:t xml:space="preserve"> </w:t>
      </w:r>
      <w:r>
        <w:rPr>
          <w:rFonts w:ascii="Times New Roman" w:hAnsi="Times New Roman"/>
          <w:color w:val="000000"/>
          <w:sz w:val="18"/>
        </w:rPr>
        <w:t>RSUs from the Market-Based Awards had been cancelled.</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total unrecognized compensation related to unvested market-based awards granted was $0.1</w:t>
      </w:r>
      <w:r>
        <w:rPr>
          <w:rFonts w:ascii="Times New Roman" w:hAnsi="Times New Roman"/>
          <w:color w:val="000000"/>
          <w:sz w:val="20"/>
        </w:rPr>
        <w:t xml:space="preserve"> </w:t>
      </w:r>
      <w:r>
        <w:rPr>
          <w:rFonts w:ascii="Times New Roman" w:hAnsi="Times New Roman"/>
          <w:color w:val="000000"/>
          <w:sz w:val="18"/>
        </w:rPr>
        <w:t>million, which the Company expects to recognize during the three months ending March 31, 2026.</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Employee Stock Purchase Plan</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activity under the Company's ESPP during the years ended December 31, 2025, 2024, and 2023, including (a) after-tax contributions from employees, (b) shares purchased, and (c) weighted-average assumptions used in the Black-Scholes option pricing model to estimate the fair value of the option component of the shares purchased.</w:t>
      </w:r>
    </w:p>
    <w:tbl>
      <w:tblPr>
        <w:tblW w:w="6388" w:type="dxa"/>
        <w:jc w:val="left"/>
        <w:tblInd w:w="0" w:type="dxa"/>
        <w:tblLayout w:type="fixed"/>
        <w:tblCellMar>
          <w:top w:w="28" w:type="dxa"/>
          <w:left w:w="28" w:type="dxa"/>
          <w:bottom w:w="28" w:type="dxa"/>
          <w:right w:w="28" w:type="dxa"/>
        </w:tblCellMar>
      </w:tblPr>
      <w:tblGrid>
        <w:gridCol w:w="2806"/>
        <w:gridCol w:w="146"/>
        <w:gridCol w:w="196"/>
        <w:gridCol w:w="691"/>
        <w:gridCol w:w="146"/>
        <w:gridCol w:w="146"/>
        <w:gridCol w:w="196"/>
        <w:gridCol w:w="691"/>
        <w:gridCol w:w="146"/>
        <w:gridCol w:w="146"/>
        <w:gridCol w:w="196"/>
        <w:gridCol w:w="691"/>
        <w:gridCol w:w="1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After-tax contributions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Shares of common stock purchased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As of December 31, 2025, there was no</w:t>
      </w:r>
      <w:r>
        <w:rPr>
          <w:rFonts w:ascii="Times New Roman" w:hAnsi="Times New Roman"/>
          <w:color w:val="000000"/>
          <w:sz w:val="20"/>
        </w:rPr>
        <w:t xml:space="preserve"> </w:t>
      </w:r>
      <w:r>
        <w:rPr>
          <w:rFonts w:ascii="Times New Roman" w:hAnsi="Times New Roman"/>
          <w:color w:val="000000"/>
          <w:sz w:val="18"/>
        </w:rPr>
        <w:t>unrecognized stock compensation expense related to ESPP, since the purchase for the offering period between July 1, 2025 and December 31, 2025 was transacted on December 31, 2025.</w:t>
      </w:r>
    </w:p>
    <w:p>
      <w:pPr>
        <w:pStyle w:val="TextBody"/>
        <w:bidi w:val="0"/>
        <w:jc w:val="left"/>
        <w:rPr>
          <w:rFonts w:ascii="Times New Roman" w:hAnsi="Times New Roman"/>
          <w:sz w:val="20"/>
        </w:rPr>
      </w:pPr>
      <w:r>
        <w:rPr>
          <w:rFonts w:ascii="Times New Roman" w:hAnsi="Times New Roman"/>
          <w:b/>
          <w:color w:val="000000"/>
          <w:sz w:val="18"/>
        </w:rPr>
        <w:t>9. Net Loss per Share</w:t>
      </w:r>
      <w:r>
        <w:rPr>
          <w:rFonts w:ascii="Times New Roman" w:hAnsi="Times New Roman"/>
          <w:color w:val="000000"/>
          <w:sz w:val="20"/>
        </w:rPr>
        <w:t xml:space="preserve">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computation of basic and diluted net loss per share of the Company:</w:t>
      </w:r>
    </w:p>
    <w:tbl>
      <w:tblPr>
        <w:tblW w:w="9013" w:type="dxa"/>
        <w:jc w:val="left"/>
        <w:tblInd w:w="0" w:type="dxa"/>
        <w:tblLayout w:type="fixed"/>
        <w:tblCellMar>
          <w:top w:w="28" w:type="dxa"/>
          <w:left w:w="28" w:type="dxa"/>
          <w:bottom w:w="28" w:type="dxa"/>
          <w:right w:w="28" w:type="dxa"/>
        </w:tblCellMar>
      </w:tblPr>
      <w:tblGrid>
        <w:gridCol w:w="4426"/>
        <w:gridCol w:w="146"/>
        <w:gridCol w:w="196"/>
        <w:gridCol w:w="1006"/>
        <w:gridCol w:w="166"/>
        <w:gridCol w:w="146"/>
        <w:gridCol w:w="196"/>
        <w:gridCol w:w="1006"/>
        <w:gridCol w:w="166"/>
        <w:gridCol w:w="146"/>
        <w:gridCol w:w="196"/>
        <w:gridCol w:w="1006"/>
        <w:gridCol w:w="211"/>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3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6" w:type="dxa"/>
            <w:gridSpan w:val="11"/>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 except share and per share data)</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(276,479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(341,973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shares of common stock,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171,586,558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142,867,844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122,576,527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For the years ended December 31, 2025, 2024, and 2023, the weighted-average number of shares of common stock outstanding used to calculate both basic and diluted net loss per share is the same. In computing diluted net loss per share for the years ended December 31, 2025, 2024, and 2023, the Company excluded the following potentially dilutive securities, as the effect would be anti-dilutive and reduce the net loss per share calculated for each period.</w:t>
      </w:r>
      <w:r>
        <w:rPr>
          <w:rFonts w:ascii="Times New Roman" w:hAnsi="Times New Roman"/>
          <w:color w:val="000000"/>
          <w:sz w:val="20"/>
        </w:rPr>
        <w:t xml:space="preserve"> </w:t>
      </w:r>
    </w:p>
    <w:tbl>
      <w:tblPr>
        <w:tblW w:w="8043" w:type="dxa"/>
        <w:jc w:val="left"/>
        <w:tblInd w:w="0" w:type="dxa"/>
        <w:tblLayout w:type="fixed"/>
        <w:tblCellMar>
          <w:top w:w="28" w:type="dxa"/>
          <w:left w:w="28" w:type="dxa"/>
          <w:bottom w:w="28" w:type="dxa"/>
          <w:right w:w="28" w:type="dxa"/>
        </w:tblCellMar>
      </w:tblPr>
      <w:tblGrid>
        <w:gridCol w:w="3736"/>
        <w:gridCol w:w="146"/>
        <w:gridCol w:w="146"/>
        <w:gridCol w:w="916"/>
        <w:gridCol w:w="146"/>
        <w:gridCol w:w="146"/>
        <w:gridCol w:w="146"/>
        <w:gridCol w:w="916"/>
        <w:gridCol w:w="146"/>
        <w:gridCol w:w="146"/>
        <w:gridCol w:w="146"/>
        <w:gridCol w:w="916"/>
        <w:gridCol w:w="3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7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Options outstanding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19,548,797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14,570,218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15,610,586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Unvested and outstanding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7,811,619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3,398,017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issued upon milestone achievement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1,535,404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22,429,281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22,381,837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20,544,007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included in the table above for options and RSUs are presented based on amounts outstanding at each period end.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amounts included in the table above for common stock issued upon milestone achievement are presented based on the weighted-average anti-dilutive effect from shares issued in connection with Contingent Milestone Payments in each of the periods presented.</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10. Collaboration and License Agreements</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Genentech,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2020, the Company and Genentech, Inc. ("Genentech") entered into the Collaboration and License Agreement (as amended from time to time, the "Genentech Agreement"), which granted Genentech a license to develop and commercialize migoprotafib (GDC-1971, formerly known as RLY-1971).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Effective as of January 7, 2025 (the "Termination Date"), Genentech elected to terminate the Genentech Agreement without cause. As a result of the termination of the Genentech Agreement, the Company is not entitled to receive any further milestones or other payments due after the Termination Date. The parties ceased to have any development or commercialization obligations after the Termination Date and the licenses the Company granted to Genentech pursuant to the Genentech Agreement ceased to be in effect as of the Termination Date.</w:t>
      </w:r>
    </w:p>
    <w:p>
      <w:pPr>
        <w:pStyle w:val="TextBody"/>
        <w:bidi w:val="0"/>
        <w:spacing w:before="240" w:after="283"/>
        <w:jc w:val="left"/>
        <w:rPr>
          <w:rFonts w:ascii="Times New Roman" w:hAnsi="Times New Roman"/>
          <w:sz w:val="20"/>
        </w:rPr>
      </w:pPr>
      <w:r>
        <w:rPr>
          <w:rFonts w:ascii="Times New Roman" w:hAnsi="Times New Roman"/>
          <w:color w:val="000000"/>
          <w:sz w:val="18"/>
        </w:rPr>
        <w:t>Through the Termination Date, consideration under the Genentech Agreement totaled $121.8</w:t>
      </w:r>
      <w:r>
        <w:rPr>
          <w:rFonts w:ascii="Times New Roman" w:hAnsi="Times New Roman"/>
          <w:color w:val="000000"/>
          <w:sz w:val="20"/>
        </w:rPr>
        <w:t xml:space="preserve"> </w:t>
      </w:r>
      <w:r>
        <w:rPr>
          <w:rFonts w:ascii="Times New Roman" w:hAnsi="Times New Roman"/>
          <w:color w:val="000000"/>
          <w:sz w:val="18"/>
        </w:rPr>
        <w:t>million.</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years ended December 31, 2025, 2024, and 2023, the Company recognized $0, $10.0</w:t>
      </w:r>
      <w:r>
        <w:rPr>
          <w:rFonts w:ascii="Times New Roman" w:hAnsi="Times New Roman"/>
          <w:color w:val="000000"/>
          <w:sz w:val="20"/>
        </w:rPr>
        <w:t xml:space="preserve"> </w:t>
      </w:r>
      <w:r>
        <w:rPr>
          <w:rFonts w:ascii="Times New Roman" w:hAnsi="Times New Roman"/>
          <w:color w:val="000000"/>
          <w:sz w:val="18"/>
        </w:rPr>
        <w:t>million, and $25.5</w:t>
      </w:r>
      <w:r>
        <w:rPr>
          <w:rFonts w:ascii="Times New Roman" w:hAnsi="Times New Roman"/>
          <w:color w:val="000000"/>
          <w:sz w:val="20"/>
        </w:rPr>
        <w:t xml:space="preserve"> </w:t>
      </w:r>
      <w:r>
        <w:rPr>
          <w:rFonts w:ascii="Times New Roman" w:hAnsi="Times New Roman"/>
          <w:color w:val="000000"/>
          <w:sz w:val="18"/>
        </w:rPr>
        <w:t>million, respectively, of revenue from the Genentech Agreement.</w:t>
      </w:r>
    </w:p>
    <w:p>
      <w:pPr>
        <w:pStyle w:val="TextBody"/>
        <w:bidi w:val="0"/>
        <w:spacing w:before="240" w:after="283"/>
        <w:jc w:val="left"/>
        <w:rPr>
          <w:rFonts w:ascii="Times New Roman" w:hAnsi="Times New Roman"/>
          <w:b/>
          <w:i/>
          <w:color w:val="000000"/>
          <w:sz w:val="18"/>
        </w:rPr>
      </w:pPr>
      <w:r>
        <w:rPr>
          <w:rFonts w:ascii="Times New Roman" w:hAnsi="Times New Roman"/>
          <w:b/>
          <w:i/>
          <w:color w:val="000000"/>
          <w:sz w:val="18"/>
        </w:rPr>
        <w:t>Elevar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December 2024, the Company and Elevar Therapeutics, Inc. ("Elevar") entered into the Exclusive License Agreement (as amended from time to time, the "Elevar Agreement"), pursuant to which Elevar was granted exclusive global development and commercialization rights for lirafugratinib (RLY-4008), the Company's selective oral small molecule inhibitor of fibroblast growth factor receptor 2 ("FGFR2"). Upon execution of the Elevar Agreement, Elevar is responsible for all further development activities and global commercialization for lirafugratinib in FGFR2-driven cholangiocarcinoma and FGFR2-altered other solid tumors.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consideration under the Elevar Agreement totaled $15.4</w:t>
      </w:r>
      <w:r>
        <w:rPr>
          <w:rFonts w:ascii="Times New Roman" w:hAnsi="Times New Roman"/>
          <w:color w:val="000000"/>
          <w:sz w:val="20"/>
        </w:rPr>
        <w:t xml:space="preserve"> </w:t>
      </w:r>
      <w:r>
        <w:rPr>
          <w:rFonts w:ascii="Times New Roman" w:hAnsi="Times New Roman"/>
          <w:color w:val="000000"/>
          <w:sz w:val="18"/>
        </w:rPr>
        <w:t>million, consisting of:</w:t>
      </w:r>
      <w:r>
        <w:rPr>
          <w:rFonts w:ascii="Times New Roman" w:hAnsi="Times New Roman"/>
          <w:color w:val="000000"/>
          <w:sz w:val="20"/>
        </w:rPr>
        <w:t xml:space="preserve"> </w:t>
      </w:r>
    </w:p>
    <w:p>
      <w:pPr>
        <w:pStyle w:val="TextBody"/>
        <w:bidi w:val="0"/>
        <w:spacing w:before="240" w:after="120"/>
        <w:jc w:val="left"/>
        <w:rPr>
          <w:color w:val="000000"/>
        </w:rPr>
      </w:pPr>
      <w:r>
        <w:rPr>
          <w:color w:val="000000"/>
        </w:rPr>
        <w:t>•</w:t>
      </w:r>
    </w:p>
    <w:p>
      <w:pPr>
        <w:pStyle w:val="TextBody"/>
        <w:bidi w:val="0"/>
        <w:spacing w:before="240" w:after="120"/>
        <w:jc w:val="left"/>
        <w:rPr/>
      </w:pPr>
      <w:r>
        <w:rPr>
          <w:rFonts w:ascii="Times New Roman" w:hAnsi="Times New Roman"/>
          <w:color w:val="000000"/>
          <w:sz w:val="18"/>
        </w:rPr>
        <w:t>$5.0</w:t>
      </w:r>
      <w:r>
        <w:rPr>
          <w:color w:val="000000"/>
        </w:rPr>
        <w:t xml:space="preserve"> </w:t>
      </w:r>
      <w:r>
        <w:rPr>
          <w:rFonts w:ascii="Times New Roman" w:hAnsi="Times New Roman"/>
          <w:color w:val="000000"/>
          <w:sz w:val="18"/>
        </w:rPr>
        <w:t>million upon execution;</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18"/>
        </w:rPr>
        <w:t>$3.4</w:t>
      </w:r>
      <w:r>
        <w:rPr>
          <w:color w:val="000000"/>
        </w:rPr>
        <w:t xml:space="preserve"> </w:t>
      </w:r>
      <w:r>
        <w:rPr>
          <w:rFonts w:ascii="Times New Roman" w:hAnsi="Times New Roman"/>
          <w:color w:val="000000"/>
          <w:sz w:val="18"/>
        </w:rPr>
        <w:t>million upon transfer of active pharmaceutical ingredient and other materials; and</w:t>
      </w:r>
    </w:p>
    <w:p>
      <w:pPr>
        <w:pStyle w:val="TextBody"/>
        <w:bidi w:val="0"/>
        <w:spacing w:before="120" w:after="120"/>
        <w:jc w:val="left"/>
        <w:rPr>
          <w:color w:val="000000"/>
        </w:rPr>
      </w:pPr>
      <w:r>
        <w:rPr>
          <w:color w:val="000000"/>
        </w:rPr>
        <w:t>•</w:t>
      </w:r>
    </w:p>
    <w:p>
      <w:pPr>
        <w:pStyle w:val="TextBody"/>
        <w:bidi w:val="0"/>
        <w:spacing w:before="120" w:after="120"/>
        <w:jc w:val="left"/>
        <w:rPr/>
      </w:pPr>
      <w:r>
        <w:rPr>
          <w:rFonts w:ascii="Times New Roman" w:hAnsi="Times New Roman"/>
          <w:color w:val="000000"/>
          <w:sz w:val="18"/>
        </w:rPr>
        <w:t>$7.0</w:t>
      </w:r>
      <w:r>
        <w:rPr>
          <w:color w:val="000000"/>
        </w:rPr>
        <w:t xml:space="preserve"> </w:t>
      </w:r>
      <w:r>
        <w:rPr>
          <w:rFonts w:ascii="Times New Roman" w:hAnsi="Times New Roman"/>
          <w:color w:val="000000"/>
          <w:sz w:val="18"/>
        </w:rPr>
        <w:t>million in milestone payments.</w:t>
      </w:r>
    </w:p>
    <w:p>
      <w:pPr>
        <w:pStyle w:val="TextBody"/>
        <w:bidi w:val="0"/>
        <w:spacing w:before="120" w:after="283"/>
        <w:jc w:val="left"/>
        <w:rPr>
          <w:rFonts w:ascii="Times New Roman" w:hAnsi="Times New Roman"/>
          <w:sz w:val="20"/>
        </w:rPr>
      </w:pPr>
      <w:r>
        <w:rPr>
          <w:rFonts w:ascii="Times New Roman" w:hAnsi="Times New Roman"/>
          <w:color w:val="000000"/>
          <w:sz w:val="18"/>
        </w:rPr>
        <w:t>The Company is also eligible to receive up to $488.0</w:t>
      </w:r>
      <w:r>
        <w:rPr>
          <w:rFonts w:ascii="Times New Roman" w:hAnsi="Times New Roman"/>
          <w:color w:val="000000"/>
          <w:sz w:val="20"/>
        </w:rPr>
        <w:t xml:space="preserve"> </w:t>
      </w:r>
      <w:r>
        <w:rPr>
          <w:rFonts w:ascii="Times New Roman" w:hAnsi="Times New Roman"/>
          <w:color w:val="000000"/>
          <w:sz w:val="18"/>
        </w:rPr>
        <w:t>million in regulatory and commercial milestone payments, as well as tiered royalties.</w:t>
      </w:r>
    </w:p>
    <w:p>
      <w:pPr>
        <w:pStyle w:val="TextBody"/>
        <w:bidi w:val="0"/>
        <w:spacing w:before="240" w:after="283"/>
        <w:jc w:val="left"/>
        <w:rPr>
          <w:rFonts w:ascii="Times New Roman" w:hAnsi="Times New Roman"/>
          <w:sz w:val="20"/>
        </w:rPr>
      </w:pPr>
      <w:r>
        <w:rPr>
          <w:rFonts w:ascii="Times New Roman" w:hAnsi="Times New Roman"/>
          <w:i/>
          <w:color w:val="000000"/>
          <w:sz w:val="18"/>
        </w:rPr>
        <w:t>Accounting Analysis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Identification of the Contract</w:t>
      </w:r>
    </w:p>
    <w:p>
      <w:pPr>
        <w:pStyle w:val="TextBody"/>
        <w:bidi w:val="0"/>
        <w:spacing w:before="240" w:after="283"/>
        <w:jc w:val="left"/>
        <w:rPr>
          <w:rFonts w:ascii="Times New Roman" w:hAnsi="Times New Roman"/>
          <w:sz w:val="20"/>
        </w:rPr>
      </w:pPr>
      <w:r>
        <w:rPr>
          <w:rFonts w:ascii="Times New Roman" w:hAnsi="Times New Roman"/>
          <w:color w:val="000000"/>
          <w:sz w:val="18"/>
        </w:rPr>
        <w:t>The Company concluded Elevar was a customer and, as such, the Elevar Agreement was within the scope of ASC 606.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Identification of Performance Obligations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At commencement of the Elevar Agreement, the Company identified the following performance obligations:</w:t>
      </w:r>
    </w:p>
    <w:p>
      <w:pPr>
        <w:pStyle w:val="TextBody"/>
        <w:bidi w:val="0"/>
        <w:spacing w:before="240" w:after="120"/>
        <w:jc w:val="left"/>
        <w:rPr>
          <w:color w:val="000000"/>
        </w:rPr>
      </w:pPr>
      <w:r>
        <w:rPr>
          <w:color w:val="000000"/>
        </w:rPr>
        <w:t>•</w:t>
      </w:r>
    </w:p>
    <w:p>
      <w:pPr>
        <w:pStyle w:val="TextBody"/>
        <w:bidi w:val="0"/>
        <w:spacing w:before="240" w:after="120"/>
        <w:jc w:val="left"/>
        <w:rPr>
          <w:rFonts w:ascii="Times New Roman" w:hAnsi="Times New Roman"/>
          <w:color w:val="000000"/>
          <w:sz w:val="18"/>
        </w:rPr>
      </w:pPr>
      <w:r>
        <w:rPr>
          <w:rFonts w:ascii="Times New Roman" w:hAnsi="Times New Roman"/>
          <w:color w:val="000000"/>
          <w:sz w:val="18"/>
        </w:rPr>
        <w:t>License to develop and commercialize lirafugratinib and the related know-how; and</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18"/>
        </w:rPr>
      </w:pPr>
      <w:r>
        <w:rPr>
          <w:rFonts w:ascii="Times New Roman" w:hAnsi="Times New Roman"/>
          <w:color w:val="000000"/>
          <w:sz w:val="18"/>
        </w:rPr>
        <w:t>Transfer of active pharmaceutical ingredient and other materials related to lirafugratinib.</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Determination of Transaction Price</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the transaction price for the Elevar Agreement was $15.4</w:t>
      </w:r>
      <w:r>
        <w:rPr>
          <w:rFonts w:ascii="Times New Roman" w:hAnsi="Times New Roman"/>
          <w:color w:val="000000"/>
          <w:sz w:val="20"/>
        </w:rPr>
        <w:t xml:space="preserve"> </w:t>
      </w:r>
      <w:r>
        <w:rPr>
          <w:rFonts w:ascii="Times New Roman" w:hAnsi="Times New Roman"/>
          <w:color w:val="000000"/>
          <w:sz w:val="18"/>
        </w:rPr>
        <w:t>million, which included the payments noted above. In connection therewith, certain milestone payments and royalties were excluded from the transaction price as of December 31, 2025, because such payments were variable consideration fully constrained. As part of management’s evaluation of the constraint, the Company considered numerous factors, including consideration of the fact that achievement of the milestones is outside of the Company’s control, contingent upon Elevar's efforts, the receipt of regulatory approval, and subject to scientific risks of success.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Allocation of Transaction Price to Performance Obligations</w:t>
      </w:r>
    </w:p>
    <w:p>
      <w:pPr>
        <w:pStyle w:val="TextBody"/>
        <w:bidi w:val="0"/>
        <w:spacing w:before="240" w:after="283"/>
        <w:jc w:val="left"/>
        <w:rPr>
          <w:rFonts w:ascii="Times New Roman" w:hAnsi="Times New Roman"/>
          <w:sz w:val="20"/>
        </w:rPr>
      </w:pPr>
      <w:r>
        <w:rPr>
          <w:rFonts w:ascii="Times New Roman" w:hAnsi="Times New Roman"/>
          <w:color w:val="000000"/>
          <w:sz w:val="18"/>
        </w:rPr>
        <w:t>The Company allocated the transaction price of $15.4</w:t>
      </w:r>
      <w:r>
        <w:rPr>
          <w:rFonts w:ascii="Times New Roman" w:hAnsi="Times New Roman"/>
          <w:color w:val="000000"/>
          <w:sz w:val="20"/>
        </w:rPr>
        <w:t xml:space="preserve"> </w:t>
      </w:r>
      <w:r>
        <w:rPr>
          <w:rFonts w:ascii="Times New Roman" w:hAnsi="Times New Roman"/>
          <w:color w:val="000000"/>
          <w:sz w:val="18"/>
        </w:rPr>
        <w:t>million to each performance obligation using estimates of their stand-alone selling prices ("SSP"). However, the estimates had no impact on the Company's consolidated financial statements through December 31, 2025, since each performance obligation was completed in the year ended December 31, 2025, as noted below.</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Recognition of Revenue</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2024, the Company recognized $0</w:t>
      </w:r>
      <w:r>
        <w:rPr>
          <w:rFonts w:ascii="Times New Roman" w:hAnsi="Times New Roman"/>
          <w:color w:val="000000"/>
          <w:sz w:val="20"/>
        </w:rPr>
        <w:t xml:space="preserve"> </w:t>
      </w:r>
      <w:r>
        <w:rPr>
          <w:rFonts w:ascii="Times New Roman" w:hAnsi="Times New Roman"/>
          <w:color w:val="000000"/>
          <w:sz w:val="18"/>
        </w:rPr>
        <w:t>in revenue from the Elevar Agreement, since none of the performance obligations thereunder were completed as of December 31, 2024.</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 ended December 31, 2025, the Company recognized $15.4</w:t>
      </w:r>
      <w:r>
        <w:rPr>
          <w:rFonts w:ascii="Times New Roman" w:hAnsi="Times New Roman"/>
          <w:color w:val="000000"/>
          <w:sz w:val="20"/>
        </w:rPr>
        <w:t xml:space="preserve"> </w:t>
      </w:r>
      <w:r>
        <w:rPr>
          <w:rFonts w:ascii="Times New Roman" w:hAnsi="Times New Roman"/>
          <w:color w:val="000000"/>
          <w:sz w:val="18"/>
        </w:rPr>
        <w:t>million in revenue from the Elevar Agreement, specifically in connection with the completion of each of the Company's performance obligations thereunder in the current period, as well as receipt of certain milestone payments.</w:t>
      </w:r>
    </w:p>
    <w:p>
      <w:pPr>
        <w:pStyle w:val="TextBody"/>
        <w:bidi w:val="0"/>
        <w:spacing w:before="240" w:after="283"/>
        <w:jc w:val="left"/>
        <w:rPr>
          <w:rFonts w:ascii="Times New Roman" w:hAnsi="Times New Roman"/>
          <w:sz w:val="20"/>
        </w:rPr>
      </w:pPr>
      <w:r>
        <w:rPr>
          <w:rFonts w:ascii="Times New Roman" w:hAnsi="Times New Roman"/>
          <w:b/>
          <w:color w:val="000000"/>
          <w:sz w:val="18"/>
        </w:rPr>
        <w:t>11.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Intellectual Property License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The Company has a Collaboration and License Agreement with D. E. Shaw Research, LLC ("D. E. Shaw Research"), pursuant to which the Company and D.E. Shaw Research jointly conducted research efforts with the goal of identifying and developing product candidates (as amended from time to time, the “DESRES Agreement”). The initial research term of the DESRES Agreement expired on August 16, 2025. The DESRES Agreement continues on a target-by-target basis until all payment obligations have expired.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paid an annual collaboration fee of $9.9</w:t>
      </w:r>
      <w:r>
        <w:rPr>
          <w:rFonts w:ascii="Times New Roman" w:hAnsi="Times New Roman"/>
          <w:color w:val="000000"/>
          <w:sz w:val="20"/>
        </w:rPr>
        <w:t xml:space="preserve"> </w:t>
      </w:r>
      <w:r>
        <w:rPr>
          <w:rFonts w:ascii="Times New Roman" w:hAnsi="Times New Roman"/>
          <w:color w:val="000000"/>
          <w:sz w:val="18"/>
        </w:rPr>
        <w:t>million during the initial research term from 2021 to 2025. The Company is also obligated to pay development milestone payments under the terms of the DESRES Agreement up to $7.3</w:t>
      </w:r>
      <w:r>
        <w:rPr>
          <w:rFonts w:ascii="Times New Roman" w:hAnsi="Times New Roman"/>
          <w:color w:val="000000"/>
          <w:sz w:val="20"/>
        </w:rPr>
        <w:t xml:space="preserve"> </w:t>
      </w:r>
      <w:r>
        <w:rPr>
          <w:rFonts w:ascii="Times New Roman" w:hAnsi="Times New Roman"/>
          <w:color w:val="000000"/>
          <w:sz w:val="18"/>
        </w:rPr>
        <w:t>million per target, plus sales milestones and royalties, upon the achievement of certain specified contingent events. Such payments for achievement of development and regulatory milestones total up to $7.3</w:t>
      </w:r>
      <w:r>
        <w:rPr>
          <w:rFonts w:ascii="Times New Roman" w:hAnsi="Times New Roman"/>
          <w:color w:val="000000"/>
          <w:sz w:val="20"/>
        </w:rPr>
        <w:t xml:space="preserve"> </w:t>
      </w:r>
      <w:r>
        <w:rPr>
          <w:rFonts w:ascii="Times New Roman" w:hAnsi="Times New Roman"/>
          <w:color w:val="000000"/>
          <w:sz w:val="18"/>
        </w:rPr>
        <w:t>million in the aggregate for each of the first three products the Company develops and up to $6.3</w:t>
      </w:r>
      <w:r>
        <w:rPr>
          <w:rFonts w:ascii="Times New Roman" w:hAnsi="Times New Roman"/>
          <w:color w:val="000000"/>
          <w:sz w:val="20"/>
        </w:rPr>
        <w:t xml:space="preserve"> </w:t>
      </w:r>
      <w:r>
        <w:rPr>
          <w:rFonts w:ascii="Times New Roman" w:hAnsi="Times New Roman"/>
          <w:color w:val="000000"/>
          <w:sz w:val="18"/>
        </w:rPr>
        <w:t>million, in the aggregate, for each product the Company develops thereafter. The Company assessed the milestone events and royalties under the DESRES Agreement as of December 31, 2025 and 2024, concluding certain milestone payments were triggered as of December 31, 2025 and subsequently paid in January 2026 and no such payments were due as of December 31, 2024.</w:t>
      </w:r>
    </w:p>
    <w:p>
      <w:pPr>
        <w:pStyle w:val="TextBody"/>
        <w:bidi w:val="0"/>
        <w:spacing w:before="240" w:after="283"/>
        <w:jc w:val="left"/>
        <w:rPr>
          <w:rFonts w:ascii="Times New Roman" w:hAnsi="Times New Roman"/>
          <w:sz w:val="20"/>
        </w:rPr>
      </w:pPr>
      <w:r>
        <w:rPr>
          <w:rFonts w:ascii="Times New Roman" w:hAnsi="Times New Roman"/>
          <w:color w:val="000000"/>
          <w:sz w:val="18"/>
        </w:rPr>
        <w:t>For the years ended December 31, 2025, 2024, and 2023, the Company recorded research and development expenses of $9.3</w:t>
      </w:r>
      <w:r>
        <w:rPr>
          <w:rFonts w:ascii="Times New Roman" w:hAnsi="Times New Roman"/>
          <w:color w:val="000000"/>
          <w:sz w:val="20"/>
        </w:rPr>
        <w:t xml:space="preserve"> </w:t>
      </w:r>
      <w:r>
        <w:rPr>
          <w:rFonts w:ascii="Times New Roman" w:hAnsi="Times New Roman"/>
          <w:color w:val="000000"/>
          <w:sz w:val="18"/>
        </w:rPr>
        <w:t>million, $9.7</w:t>
      </w:r>
      <w:r>
        <w:rPr>
          <w:rFonts w:ascii="Times New Roman" w:hAnsi="Times New Roman"/>
          <w:color w:val="000000"/>
          <w:sz w:val="20"/>
        </w:rPr>
        <w:t xml:space="preserve"> </w:t>
      </w:r>
      <w:r>
        <w:rPr>
          <w:rFonts w:ascii="Times New Roman" w:hAnsi="Times New Roman"/>
          <w:color w:val="000000"/>
          <w:sz w:val="18"/>
        </w:rPr>
        <w:t>million, and $9.5</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consolidated statements of operations.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had prepaid balances of $0</w:t>
      </w:r>
      <w:r>
        <w:rPr>
          <w:rFonts w:ascii="Times New Roman" w:hAnsi="Times New Roman"/>
          <w:color w:val="000000"/>
          <w:sz w:val="20"/>
        </w:rPr>
        <w:t xml:space="preserve"> </w:t>
      </w:r>
      <w:r>
        <w:rPr>
          <w:rFonts w:ascii="Times New Roman" w:hAnsi="Times New Roman"/>
          <w:color w:val="000000"/>
          <w:sz w:val="18"/>
        </w:rPr>
        <w:t>and $5.9</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consolidated balance sheets.</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had accrued expense and accounts payable balances of $0.6</w:t>
      </w:r>
      <w:r>
        <w:rPr>
          <w:rFonts w:ascii="Times New Roman" w:hAnsi="Times New Roman"/>
          <w:color w:val="000000"/>
          <w:sz w:val="20"/>
        </w:rPr>
        <w:t xml:space="preserve"> </w:t>
      </w:r>
      <w:r>
        <w:rPr>
          <w:rFonts w:ascii="Times New Roman" w:hAnsi="Times New Roman"/>
          <w:color w:val="000000"/>
          <w:sz w:val="18"/>
        </w:rPr>
        <w:t>million and $0.1</w:t>
      </w:r>
      <w:r>
        <w:rPr>
          <w:rFonts w:ascii="Times New Roman" w:hAnsi="Times New Roman"/>
          <w:color w:val="000000"/>
          <w:sz w:val="20"/>
        </w:rPr>
        <w:t xml:space="preserve"> </w:t>
      </w:r>
      <w:r>
        <w:rPr>
          <w:rFonts w:ascii="Times New Roman" w:hAnsi="Times New Roman"/>
          <w:color w:val="000000"/>
          <w:sz w:val="18"/>
        </w:rPr>
        <w:t>million, respectively, under the DESRES Agreement on its consolidated balance sheets.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18"/>
        </w:rPr>
        <w:t>Other Research Arrangements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Company has certain other research and license arrangements and other collaborations with third parties, which provide the Company with specified research and/or development services.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12. Operating Leases</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399 Binney Street</w:t>
      </w:r>
    </w:p>
    <w:p>
      <w:pPr>
        <w:pStyle w:val="TextBody"/>
        <w:bidi w:val="0"/>
        <w:spacing w:before="240" w:after="283"/>
        <w:jc w:val="left"/>
        <w:rPr>
          <w:rFonts w:ascii="Times New Roman" w:hAnsi="Times New Roman"/>
          <w:sz w:val="20"/>
        </w:rPr>
      </w:pPr>
      <w:r>
        <w:rPr>
          <w:rFonts w:ascii="Times New Roman" w:hAnsi="Times New Roman"/>
          <w:color w:val="000000"/>
          <w:sz w:val="18"/>
        </w:rPr>
        <w:t>In December 2017, the Company executed an operating lease agreement for 44,336</w:t>
      </w:r>
      <w:r>
        <w:rPr>
          <w:rFonts w:ascii="Times New Roman" w:hAnsi="Times New Roman"/>
          <w:color w:val="000000"/>
          <w:sz w:val="20"/>
        </w:rPr>
        <w:t xml:space="preserve"> </w:t>
      </w:r>
      <w:r>
        <w:rPr>
          <w:rFonts w:ascii="Times New Roman" w:hAnsi="Times New Roman"/>
          <w:color w:val="000000"/>
          <w:sz w:val="18"/>
        </w:rPr>
        <w:t>square feet of office and laboratory space at 399 Binney Street, Cambridge, Massachusetts, which was increased to 44,807</w:t>
      </w:r>
      <w:r>
        <w:rPr>
          <w:rFonts w:ascii="Times New Roman" w:hAnsi="Times New Roman"/>
          <w:color w:val="000000"/>
          <w:sz w:val="20"/>
        </w:rPr>
        <w:t xml:space="preserve"> </w:t>
      </w:r>
      <w:r>
        <w:rPr>
          <w:rFonts w:ascii="Times New Roman" w:hAnsi="Times New Roman"/>
          <w:color w:val="000000"/>
          <w:sz w:val="18"/>
        </w:rPr>
        <w:t>square feet in January 2018 ("399 Binney Street"). Pursuant to the terms of the operating lease agreement, as further amended in November 2019 and September 2020, the operating lease for 399 Binney Street was previously scheduled to expire on April 30, 2029.</w:t>
      </w:r>
    </w:p>
    <w:p>
      <w:pPr>
        <w:pStyle w:val="TextBody"/>
        <w:bidi w:val="0"/>
        <w:spacing w:before="240" w:after="283"/>
        <w:jc w:val="left"/>
        <w:rPr>
          <w:rFonts w:ascii="Times New Roman" w:hAnsi="Times New Roman"/>
          <w:sz w:val="20"/>
        </w:rPr>
      </w:pPr>
      <w:r>
        <w:rPr>
          <w:rFonts w:ascii="Times New Roman" w:hAnsi="Times New Roman"/>
          <w:color w:val="000000"/>
          <w:sz w:val="18"/>
        </w:rPr>
        <w:t>On June 3, 2025, the Company and ARE MA Region No. 58 LLC ("399 Binney Street Landlord") executed another amendment to the operating lease for 399 Binney Street, as amended, pursuant to which termination was accelerated to July 3, 2025.</w:t>
      </w:r>
      <w:r>
        <w:rPr>
          <w:rFonts w:ascii="Times New Roman" w:hAnsi="Times New Roman"/>
          <w:color w:val="000000"/>
          <w:sz w:val="20"/>
        </w:rPr>
        <w:t xml:space="preserve"> </w:t>
      </w:r>
      <w:r>
        <w:rPr>
          <w:rFonts w:ascii="Times New Roman" w:hAnsi="Times New Roman"/>
          <w:color w:val="000000"/>
          <w:sz w:val="18"/>
        </w:rPr>
        <w:t>The Company continued to be responsible for rent and other obligations under the operating lease for 399 Binney Street, as amended, through July 3, 2025, at which point such obligations ceased and the operating lease was terminated. In consideration for entry into the amendment on June 3, 2025, the Company also paid the 399 Binney Street Landlord a termination payment of $2.5</w:t>
      </w:r>
      <w:r>
        <w:rPr>
          <w:rFonts w:ascii="Times New Roman" w:hAnsi="Times New Roman"/>
          <w:color w:val="000000"/>
          <w:sz w:val="20"/>
        </w:rPr>
        <w:t xml:space="preserve"> </w:t>
      </w:r>
      <w:r>
        <w:rPr>
          <w:rFonts w:ascii="Times New Roman" w:hAnsi="Times New Roman"/>
          <w:color w:val="000000"/>
          <w:sz w:val="18"/>
        </w:rPr>
        <w:t>million (the "Termination Payment").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Although the Company was obligated to pay rent for the leased premises at 399 Binney Street through July 3, 2025 and the accelerated termination date was July 3, 2025, as agreed between Company and the 399 Binney Street Landlord, the Company had committed to terminating the operating lease for 399 Binney Street, as amended, as of June 3, 2025. Furthermore, the Company's access to the premises was also terminated as of June 3, 2025. Therefore, the Company accounted for termination of the operating lease at 399 Binney Street, as amended, during the three months ended June 30, 2025. In connection therewith, the Company removed the operating lease assets and liabilities from its consolidated balance sheet as of termination, or June 3, 2025, and also recognized the impact of the Termination Payment at such time.</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adjustments above and reconciles to the net amount as of June 3, 2025:</w:t>
      </w:r>
    </w:p>
    <w:tbl>
      <w:tblPr>
        <w:tblW w:w="5198" w:type="dxa"/>
        <w:jc w:val="left"/>
        <w:tblInd w:w="0" w:type="dxa"/>
        <w:tblLayout w:type="fixed"/>
        <w:tblCellMar>
          <w:top w:w="28" w:type="dxa"/>
          <w:left w:w="28" w:type="dxa"/>
          <w:bottom w:w="28" w:type="dxa"/>
          <w:right w:w="28" w:type="dxa"/>
        </w:tblCellMar>
      </w:tblPr>
      <w:tblGrid>
        <w:gridCol w:w="3681"/>
        <w:gridCol w:w="146"/>
        <w:gridCol w:w="219"/>
        <w:gridCol w:w="741"/>
        <w:gridCol w:w="41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June 3,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13,190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(12,060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Termination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Carryover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 the table above, the net amount of $0.5</w:t>
      </w:r>
      <w:r>
        <w:rPr>
          <w:rFonts w:ascii="Times New Roman" w:hAnsi="Times New Roman"/>
          <w:color w:val="000000"/>
          <w:sz w:val="20"/>
        </w:rPr>
        <w:t xml:space="preserve"> </w:t>
      </w:r>
      <w:r>
        <w:rPr>
          <w:rFonts w:ascii="Times New Roman" w:hAnsi="Times New Roman"/>
          <w:color w:val="000000"/>
          <w:sz w:val="18"/>
        </w:rPr>
        <w:t>million was recorded as an addition to the operating lease asset upon commencement of the operating lease for Building 300 at One Kendall Square, Cambridge, MA ("300 OKS"), as described below, during the year ended December 31, 2025. The amount is expected to be amortized as rent expense over the term of the operating lease at 300 OKS.</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the effect of lease costs for the operating lease at 399 Binney Street on the Company’s consolidated statements of operations for the years ended December 31, 2025, 2024, and 2023:</w:t>
      </w:r>
      <w:r>
        <w:rPr>
          <w:rFonts w:ascii="Times New Roman" w:hAnsi="Times New Roman"/>
          <w:color w:val="000000"/>
          <w:sz w:val="20"/>
        </w:rPr>
        <w:t xml:space="preserve"> </w:t>
      </w:r>
    </w:p>
    <w:tbl>
      <w:tblPr>
        <w:tblW w:w="5743" w:type="dxa"/>
        <w:jc w:val="left"/>
        <w:tblInd w:w="0" w:type="dxa"/>
        <w:tblLayout w:type="fixed"/>
        <w:tblCellMar>
          <w:top w:w="28" w:type="dxa"/>
          <w:left w:w="28" w:type="dxa"/>
          <w:bottom w:w="28" w:type="dxa"/>
          <w:right w:w="28" w:type="dxa"/>
        </w:tblCellMar>
      </w:tblPr>
      <w:tblGrid>
        <w:gridCol w:w="2701"/>
        <w:gridCol w:w="146"/>
        <w:gridCol w:w="196"/>
        <w:gridCol w:w="511"/>
        <w:gridCol w:w="146"/>
        <w:gridCol w:w="146"/>
        <w:gridCol w:w="196"/>
        <w:gridCol w:w="511"/>
        <w:gridCol w:w="146"/>
        <w:gridCol w:w="146"/>
        <w:gridCol w:w="196"/>
        <w:gridCol w:w="51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The Company made cash payments of $2.2</w:t>
      </w:r>
      <w:r>
        <w:rPr>
          <w:rFonts w:ascii="Times New Roman" w:hAnsi="Times New Roman"/>
          <w:color w:val="000000"/>
          <w:sz w:val="20"/>
        </w:rPr>
        <w:t xml:space="preserve"> </w:t>
      </w:r>
      <w:r>
        <w:rPr>
          <w:rFonts w:ascii="Times New Roman" w:hAnsi="Times New Roman"/>
          <w:color w:val="000000"/>
          <w:sz w:val="18"/>
        </w:rPr>
        <w:t>million, $4.4</w:t>
      </w:r>
      <w:r>
        <w:rPr>
          <w:rFonts w:ascii="Times New Roman" w:hAnsi="Times New Roman"/>
          <w:color w:val="000000"/>
          <w:sz w:val="20"/>
        </w:rPr>
        <w:t xml:space="preserve"> </w:t>
      </w:r>
      <w:r>
        <w:rPr>
          <w:rFonts w:ascii="Times New Roman" w:hAnsi="Times New Roman"/>
          <w:color w:val="000000"/>
          <w:sz w:val="18"/>
        </w:rPr>
        <w:t>million, and $4.3</w:t>
      </w:r>
      <w:r>
        <w:rPr>
          <w:rFonts w:ascii="Times New Roman" w:hAnsi="Times New Roman"/>
          <w:color w:val="000000"/>
          <w:sz w:val="20"/>
        </w:rPr>
        <w:t xml:space="preserve"> </w:t>
      </w:r>
      <w:r>
        <w:rPr>
          <w:rFonts w:ascii="Times New Roman" w:hAnsi="Times New Roman"/>
          <w:color w:val="000000"/>
          <w:sz w:val="18"/>
        </w:rPr>
        <w:t>million under the operating lease agreement for 399 Binney Street during the years ended December 31, 2025, 2024, and 2023, respectively.</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Building 300 at One Kendall Square</w:t>
      </w:r>
    </w:p>
    <w:p>
      <w:pPr>
        <w:pStyle w:val="TextBody"/>
        <w:bidi w:val="0"/>
        <w:spacing w:before="240" w:after="283"/>
        <w:jc w:val="left"/>
        <w:rPr>
          <w:rFonts w:ascii="Times New Roman" w:hAnsi="Times New Roman"/>
          <w:sz w:val="20"/>
        </w:rPr>
      </w:pPr>
      <w:r>
        <w:rPr>
          <w:rFonts w:ascii="Times New Roman" w:hAnsi="Times New Roman"/>
          <w:color w:val="000000"/>
          <w:sz w:val="18"/>
        </w:rPr>
        <w:t>On June 3, 2025, the Company executed an operating lease agreement for 300 OKS with ARE MA Region No. 59 LLC ("300 OKS Landlord"), an affiliate of the 399 Binney Street Landlord. Pursuant to the terms of the operating lease agreement, the Company agreed to lease 12,190</w:t>
      </w:r>
      <w:r>
        <w:rPr>
          <w:rFonts w:ascii="Times New Roman" w:hAnsi="Times New Roman"/>
          <w:color w:val="000000"/>
          <w:sz w:val="20"/>
        </w:rPr>
        <w:t xml:space="preserve"> </w:t>
      </w:r>
      <w:r>
        <w:rPr>
          <w:rFonts w:ascii="Times New Roman" w:hAnsi="Times New Roman"/>
          <w:color w:val="000000"/>
          <w:sz w:val="18"/>
        </w:rPr>
        <w:t>square feet of office space through February 28, 2030. In consideration for entry into the operating lease agreement, the Company also paid the 300 OKS Landlord a relocation payment of $3.5</w:t>
      </w:r>
      <w:r>
        <w:rPr>
          <w:rFonts w:ascii="Times New Roman" w:hAnsi="Times New Roman"/>
          <w:color w:val="000000"/>
          <w:sz w:val="20"/>
        </w:rPr>
        <w:t xml:space="preserve"> </w:t>
      </w:r>
      <w:r>
        <w:rPr>
          <w:rFonts w:ascii="Times New Roman" w:hAnsi="Times New Roman"/>
          <w:color w:val="000000"/>
          <w:sz w:val="18"/>
        </w:rPr>
        <w:t>million (the "Relocation Payment").</w:t>
      </w:r>
    </w:p>
    <w:p>
      <w:pPr>
        <w:pStyle w:val="TextBody"/>
        <w:bidi w:val="0"/>
        <w:spacing w:before="240" w:after="283"/>
        <w:jc w:val="left"/>
        <w:rPr>
          <w:rFonts w:ascii="Times New Roman" w:hAnsi="Times New Roman"/>
          <w:sz w:val="20"/>
        </w:rPr>
      </w:pPr>
      <w:r>
        <w:rPr>
          <w:rFonts w:ascii="Times New Roman" w:hAnsi="Times New Roman"/>
          <w:color w:val="000000"/>
          <w:sz w:val="18"/>
        </w:rPr>
        <w:t>Although the Company was only obligated to start paying rent under the operating lease agreement at 300 OKS on July 3, 2025, the Company could physically access and benefit from the space upon lease execution on June 3, 2025. Therefore, the Company recorded an operating lease asset and liability during the three months ended June 30, 2025, which included $0.5</w:t>
      </w:r>
      <w:r>
        <w:rPr>
          <w:rFonts w:ascii="Times New Roman" w:hAnsi="Times New Roman"/>
          <w:color w:val="000000"/>
          <w:sz w:val="20"/>
        </w:rPr>
        <w:t xml:space="preserve"> </w:t>
      </w:r>
      <w:r>
        <w:rPr>
          <w:rFonts w:ascii="Times New Roman" w:hAnsi="Times New Roman"/>
          <w:color w:val="000000"/>
          <w:sz w:val="18"/>
        </w:rPr>
        <w:t>million from the net impact of</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18"/>
        </w:rPr>
        <w:t>terminating the lease at 399 Binney Street, as amended, on June 3, 2025. The operating lease agreement for 300 OKS expires in February 2030</w:t>
      </w:r>
      <w:r>
        <w:rPr>
          <w:rFonts w:ascii="Times New Roman" w:hAnsi="Times New Roman"/>
          <w:color w:val="000000"/>
          <w:sz w:val="20"/>
        </w:rPr>
        <w:t xml:space="preserve"> </w:t>
      </w:r>
      <w:r>
        <w:rPr>
          <w:rFonts w:ascii="Times New Roman" w:hAnsi="Times New Roman"/>
          <w:color w:val="000000"/>
          <w:sz w:val="18"/>
        </w:rPr>
        <w:t>with no renewal</w:t>
      </w:r>
      <w:r>
        <w:rPr>
          <w:rFonts w:ascii="Times New Roman" w:hAnsi="Times New Roman"/>
          <w:color w:val="000000"/>
          <w:sz w:val="20"/>
        </w:rPr>
        <w:t xml:space="preserve"> </w:t>
      </w:r>
      <w:r>
        <w:rPr>
          <w:rFonts w:ascii="Times New Roman" w:hAnsi="Times New Roman"/>
          <w:color w:val="000000"/>
          <w:sz w:val="18"/>
        </w:rPr>
        <w:t>options.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presentation of amounts recorded on the Company’s consolidated balance sheets for the operating lease at 300 OKS as of December 31, 2025 and 2024.</w:t>
      </w:r>
    </w:p>
    <w:tbl>
      <w:tblPr>
        <w:tblW w:w="6940" w:type="dxa"/>
        <w:jc w:val="left"/>
        <w:tblInd w:w="0" w:type="dxa"/>
        <w:tblLayout w:type="fixed"/>
        <w:tblCellMar>
          <w:top w:w="28" w:type="dxa"/>
          <w:left w:w="28" w:type="dxa"/>
          <w:bottom w:w="28" w:type="dxa"/>
          <w:right w:w="28" w:type="dxa"/>
        </w:tblCellMar>
      </w:tblPr>
      <w:tblGrid>
        <w:gridCol w:w="3681"/>
        <w:gridCol w:w="146"/>
        <w:gridCol w:w="337"/>
        <w:gridCol w:w="878"/>
        <w:gridCol w:w="146"/>
        <w:gridCol w:w="146"/>
        <w:gridCol w:w="438"/>
        <w:gridCol w:w="777"/>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effect of lease costs for the operating lease at 300 OKS on the Company’s consolidated statements of operations for the years ended December 31, 2025, 2024, and 2023:</w:t>
      </w:r>
    </w:p>
    <w:tbl>
      <w:tblPr>
        <w:tblW w:w="5413" w:type="dxa"/>
        <w:jc w:val="left"/>
        <w:tblInd w:w="0" w:type="dxa"/>
        <w:tblLayout w:type="fixed"/>
        <w:tblCellMar>
          <w:top w:w="28" w:type="dxa"/>
          <w:left w:w="28" w:type="dxa"/>
          <w:bottom w:w="28" w:type="dxa"/>
          <w:right w:w="28" w:type="dxa"/>
        </w:tblCellMar>
      </w:tblPr>
      <w:tblGrid>
        <w:gridCol w:w="2701"/>
        <w:gridCol w:w="146"/>
        <w:gridCol w:w="196"/>
        <w:gridCol w:w="511"/>
        <w:gridCol w:w="146"/>
        <w:gridCol w:w="146"/>
        <w:gridCol w:w="196"/>
        <w:gridCol w:w="346"/>
        <w:gridCol w:w="146"/>
        <w:gridCol w:w="146"/>
        <w:gridCol w:w="196"/>
        <w:gridCol w:w="346"/>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7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The Company made cash payments of $4.0</w:t>
      </w:r>
      <w:r>
        <w:rPr>
          <w:rFonts w:ascii="Times New Roman" w:hAnsi="Times New Roman"/>
          <w:color w:val="000000"/>
          <w:sz w:val="20"/>
        </w:rPr>
        <w:t xml:space="preserve"> </w:t>
      </w:r>
      <w:r>
        <w:rPr>
          <w:rFonts w:ascii="Times New Roman" w:hAnsi="Times New Roman"/>
          <w:color w:val="000000"/>
          <w:sz w:val="18"/>
        </w:rPr>
        <w:t>million, $0, and $0</w:t>
      </w:r>
      <w:r>
        <w:rPr>
          <w:rFonts w:ascii="Times New Roman" w:hAnsi="Times New Roman"/>
          <w:color w:val="000000"/>
          <w:sz w:val="20"/>
        </w:rPr>
        <w:t xml:space="preserve"> </w:t>
      </w:r>
      <w:r>
        <w:rPr>
          <w:rFonts w:ascii="Times New Roman" w:hAnsi="Times New Roman"/>
          <w:color w:val="000000"/>
          <w:sz w:val="18"/>
        </w:rPr>
        <w:t>under the operating lease agreement for 300 OKS during the years ended December 31, 2025, 2024, and 2023,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of December 31, 2025, the minimum lease payments for the Company’s operating lease at 300 OKS for the next five years and thereafter are expected to be as follows:</w:t>
      </w:r>
    </w:p>
    <w:tbl>
      <w:tblPr>
        <w:tblW w:w="4843" w:type="dxa"/>
        <w:jc w:val="left"/>
        <w:tblInd w:w="0" w:type="dxa"/>
        <w:tblLayout w:type="fixed"/>
        <w:tblCellMar>
          <w:top w:w="28" w:type="dxa"/>
          <w:left w:w="28" w:type="dxa"/>
          <w:bottom w:w="28" w:type="dxa"/>
          <w:right w:w="28" w:type="dxa"/>
        </w:tblCellMar>
      </w:tblPr>
      <w:tblGrid>
        <w:gridCol w:w="3031"/>
        <w:gridCol w:w="146"/>
        <w:gridCol w:w="401"/>
        <w:gridCol w:w="1054"/>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remaining lease term and discount rate of the Company's operating lease at 300 OKS were 4.16</w:t>
      </w:r>
      <w:r>
        <w:rPr>
          <w:rFonts w:ascii="Times New Roman" w:hAnsi="Times New Roman"/>
          <w:color w:val="000000"/>
          <w:sz w:val="20"/>
        </w:rPr>
        <w:t xml:space="preserve"> </w:t>
      </w:r>
      <w:r>
        <w:rPr>
          <w:rFonts w:ascii="Times New Roman" w:hAnsi="Times New Roman"/>
          <w:color w:val="000000"/>
          <w:sz w:val="18"/>
        </w:rPr>
        <w:t>years and 10.0%, respectively, at December 31, 2025.</w:t>
      </w:r>
    </w:p>
    <w:p>
      <w:pPr>
        <w:pStyle w:val="TextBody"/>
        <w:bidi w:val="0"/>
        <w:spacing w:before="240" w:after="283"/>
        <w:jc w:val="left"/>
        <w:rPr>
          <w:rFonts w:ascii="Times New Roman" w:hAnsi="Times New Roman"/>
          <w:b/>
          <w:color w:val="000000"/>
          <w:sz w:val="18"/>
        </w:rPr>
      </w:pPr>
      <w:r>
        <w:rPr>
          <w:rFonts w:ascii="Times New Roman" w:hAnsi="Times New Roman"/>
          <w:b/>
          <w:color w:val="000000"/>
          <w:sz w:val="18"/>
        </w:rPr>
        <w:t>60 Hampshire Street</w:t>
      </w:r>
    </w:p>
    <w:p>
      <w:pPr>
        <w:pStyle w:val="TextBody"/>
        <w:bidi w:val="0"/>
        <w:spacing w:before="240" w:after="283"/>
        <w:jc w:val="left"/>
        <w:rPr>
          <w:rFonts w:ascii="Times New Roman" w:hAnsi="Times New Roman"/>
          <w:sz w:val="20"/>
        </w:rPr>
      </w:pPr>
      <w:r>
        <w:rPr>
          <w:rFonts w:ascii="Times New Roman" w:hAnsi="Times New Roman"/>
          <w:color w:val="000000"/>
          <w:sz w:val="18"/>
        </w:rPr>
        <w:t>In May 2021, the Company executed an operating lease agreement for 41,474</w:t>
      </w:r>
      <w:r>
        <w:rPr>
          <w:rFonts w:ascii="Times New Roman" w:hAnsi="Times New Roman"/>
          <w:color w:val="000000"/>
          <w:sz w:val="20"/>
        </w:rPr>
        <w:t xml:space="preserve"> </w:t>
      </w:r>
      <w:r>
        <w:rPr>
          <w:rFonts w:ascii="Times New Roman" w:hAnsi="Times New Roman"/>
          <w:color w:val="000000"/>
          <w:sz w:val="18"/>
        </w:rPr>
        <w:t>square feet of office and laboratory space at 60 Hampshire Street, Cambridge, Massachusetts ("60 Hampshire Street"). The Company gained control of the leased space in July 2022 and, accordingly, recorded an operating lease right-of-use asset and liability at such time. The operating lease expires in June 2032</w:t>
      </w:r>
      <w:r>
        <w:rPr>
          <w:rFonts w:ascii="Times New Roman" w:hAnsi="Times New Roman"/>
          <w:color w:val="000000"/>
          <w:sz w:val="20"/>
        </w:rPr>
        <w:t xml:space="preserve"> </w:t>
      </w:r>
      <w:r>
        <w:rPr>
          <w:rFonts w:ascii="Times New Roman" w:hAnsi="Times New Roman"/>
          <w:color w:val="000000"/>
          <w:sz w:val="18"/>
        </w:rPr>
        <w:t>with no renewal options.</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The following table summarizes the presentation of amounts recorded on the Company’s consolidated balance sheets for the operating lease at 60 Hampshire Street as of December 31, 2025 and 2024:</w:t>
      </w:r>
    </w:p>
    <w:tbl>
      <w:tblPr>
        <w:tblW w:w="6940" w:type="dxa"/>
        <w:jc w:val="left"/>
        <w:tblInd w:w="0" w:type="dxa"/>
        <w:tblLayout w:type="fixed"/>
        <w:tblCellMar>
          <w:top w:w="28" w:type="dxa"/>
          <w:left w:w="28" w:type="dxa"/>
          <w:bottom w:w="28" w:type="dxa"/>
          <w:right w:w="28" w:type="dxa"/>
        </w:tblCellMar>
      </w:tblPr>
      <w:tblGrid>
        <w:gridCol w:w="3681"/>
        <w:gridCol w:w="146"/>
        <w:gridCol w:w="299"/>
        <w:gridCol w:w="916"/>
        <w:gridCol w:w="146"/>
        <w:gridCol w:w="146"/>
        <w:gridCol w:w="299"/>
        <w:gridCol w:w="916"/>
        <w:gridCol w:w="391"/>
      </w:tblGrid>
      <w:tr>
        <w:trPr/>
        <w:tc>
          <w:tcPr>
            <w:tcW w:w="3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sz w:val="20"/>
        </w:rPr>
      </w:pPr>
      <w:r>
        <w:rPr>
          <w:rFonts w:ascii="Times New Roman" w:hAnsi="Times New Roman"/>
          <w:color w:val="000000"/>
          <w:sz w:val="18"/>
        </w:rPr>
        <w:t>The following table summarizes the effect of lease costs for the operating lease at 60 Hampshire Street on the Company’s consolidated statements of operations for the years ended December 31, 2025, 2024, and 2023:</w:t>
      </w:r>
      <w:r>
        <w:rPr>
          <w:rFonts w:ascii="Times New Roman" w:hAnsi="Times New Roman"/>
          <w:color w:val="000000"/>
          <w:sz w:val="20"/>
        </w:rPr>
        <w:t xml:space="preserve"> </w:t>
      </w:r>
    </w:p>
    <w:tbl>
      <w:tblPr>
        <w:tblW w:w="5743" w:type="dxa"/>
        <w:jc w:val="left"/>
        <w:tblInd w:w="0" w:type="dxa"/>
        <w:tblLayout w:type="fixed"/>
        <w:tblCellMar>
          <w:top w:w="28" w:type="dxa"/>
          <w:left w:w="28" w:type="dxa"/>
          <w:bottom w:w="28" w:type="dxa"/>
          <w:right w:w="28" w:type="dxa"/>
        </w:tblCellMar>
      </w:tblPr>
      <w:tblGrid>
        <w:gridCol w:w="2701"/>
        <w:gridCol w:w="146"/>
        <w:gridCol w:w="196"/>
        <w:gridCol w:w="511"/>
        <w:gridCol w:w="146"/>
        <w:gridCol w:w="146"/>
        <w:gridCol w:w="196"/>
        <w:gridCol w:w="511"/>
        <w:gridCol w:w="146"/>
        <w:gridCol w:w="146"/>
        <w:gridCol w:w="196"/>
        <w:gridCol w:w="511"/>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0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left"/>
        <w:rPr>
          <w:rFonts w:ascii="Times New Roman" w:hAnsi="Times New Roman"/>
          <w:sz w:val="20"/>
        </w:rPr>
      </w:pPr>
      <w:r>
        <w:rPr>
          <w:rFonts w:ascii="Times New Roman" w:hAnsi="Times New Roman"/>
          <w:color w:val="000000"/>
          <w:sz w:val="18"/>
        </w:rPr>
        <w:t>The Company made cash payments of $5.3</w:t>
      </w:r>
      <w:r>
        <w:rPr>
          <w:rFonts w:ascii="Times New Roman" w:hAnsi="Times New Roman"/>
          <w:color w:val="000000"/>
          <w:sz w:val="20"/>
        </w:rPr>
        <w:t xml:space="preserve"> </w:t>
      </w:r>
      <w:r>
        <w:rPr>
          <w:rFonts w:ascii="Times New Roman" w:hAnsi="Times New Roman"/>
          <w:color w:val="000000"/>
          <w:sz w:val="18"/>
        </w:rPr>
        <w:t>million, $5.1</w:t>
      </w:r>
      <w:r>
        <w:rPr>
          <w:rFonts w:ascii="Times New Roman" w:hAnsi="Times New Roman"/>
          <w:color w:val="000000"/>
          <w:sz w:val="20"/>
        </w:rPr>
        <w:t xml:space="preserve"> </w:t>
      </w:r>
      <w:r>
        <w:rPr>
          <w:rFonts w:ascii="Times New Roman" w:hAnsi="Times New Roman"/>
          <w:color w:val="000000"/>
          <w:sz w:val="18"/>
        </w:rPr>
        <w:t>million, and $5.0</w:t>
      </w:r>
      <w:r>
        <w:rPr>
          <w:rFonts w:ascii="Times New Roman" w:hAnsi="Times New Roman"/>
          <w:color w:val="000000"/>
          <w:sz w:val="20"/>
        </w:rPr>
        <w:t xml:space="preserve"> </w:t>
      </w:r>
      <w:r>
        <w:rPr>
          <w:rFonts w:ascii="Times New Roman" w:hAnsi="Times New Roman"/>
          <w:color w:val="000000"/>
          <w:sz w:val="18"/>
        </w:rPr>
        <w:t>million under the operating lease agreement for 60 Hampshire Street during the years ended December 31, 2025, 2024, and 2023, respectively.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18"/>
        </w:rPr>
      </w:pPr>
      <w:r>
        <w:rPr>
          <w:rFonts w:ascii="Times New Roman" w:hAnsi="Times New Roman"/>
          <w:color w:val="000000"/>
          <w:sz w:val="18"/>
        </w:rPr>
        <w:t>As of December 31, 2025, the minimum lease payments for the Company’s operating lease at 60 Hampshire Street for the next five years and thereafter are expected to be as follows:</w:t>
      </w:r>
    </w:p>
    <w:tbl>
      <w:tblPr>
        <w:tblW w:w="4843" w:type="dxa"/>
        <w:jc w:val="left"/>
        <w:tblInd w:w="0" w:type="dxa"/>
        <w:tblLayout w:type="fixed"/>
        <w:tblCellMar>
          <w:top w:w="28" w:type="dxa"/>
          <w:left w:w="28" w:type="dxa"/>
          <w:bottom w:w="28" w:type="dxa"/>
          <w:right w:w="28" w:type="dxa"/>
        </w:tblCellMar>
      </w:tblPr>
      <w:tblGrid>
        <w:gridCol w:w="3031"/>
        <w:gridCol w:w="146"/>
        <w:gridCol w:w="358"/>
        <w:gridCol w:w="1097"/>
        <w:gridCol w:w="2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 (in thousands)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6,063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9,403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Present value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remaining lease term and discount rate of the Company's operating lease at 60 Hampshire Street were 6.50</w:t>
      </w:r>
      <w:r>
        <w:rPr>
          <w:rFonts w:ascii="Times New Roman" w:hAnsi="Times New Roman"/>
          <w:color w:val="000000"/>
          <w:sz w:val="20"/>
        </w:rPr>
        <w:t xml:space="preserve"> </w:t>
      </w:r>
      <w:r>
        <w:rPr>
          <w:rFonts w:ascii="Times New Roman" w:hAnsi="Times New Roman"/>
          <w:color w:val="000000"/>
          <w:sz w:val="18"/>
        </w:rPr>
        <w:t>years and 8.0%, respectively, at December 31, 2025.</w:t>
      </w:r>
    </w:p>
    <w:p>
      <w:pPr>
        <w:pStyle w:val="TextBody"/>
        <w:bidi w:val="0"/>
        <w:spacing w:before="240" w:after="283"/>
        <w:jc w:val="left"/>
        <w:rPr>
          <w:rFonts w:ascii="Times New Roman" w:hAnsi="Times New Roman"/>
          <w:sz w:val="20"/>
        </w:rPr>
      </w:pPr>
      <w:r>
        <w:rPr>
          <w:rFonts w:ascii="Times New Roman" w:hAnsi="Times New Roman"/>
          <w:color w:val="000000"/>
          <w:sz w:val="18"/>
        </w:rPr>
        <w:t>The remaining lease term and discount rate of the Company's operating lease at 60 Hampshire Street were 7.50</w:t>
      </w:r>
      <w:r>
        <w:rPr>
          <w:rFonts w:ascii="Times New Roman" w:hAnsi="Times New Roman"/>
          <w:color w:val="000000"/>
          <w:sz w:val="20"/>
        </w:rPr>
        <w:t xml:space="preserve"> </w:t>
      </w:r>
      <w:r>
        <w:rPr>
          <w:rFonts w:ascii="Times New Roman" w:hAnsi="Times New Roman"/>
          <w:color w:val="000000"/>
          <w:sz w:val="18"/>
        </w:rPr>
        <w:t>years and 8.0%, respectively, at December 31, 2024.</w:t>
      </w:r>
    </w:p>
    <w:p>
      <w:pPr>
        <w:pStyle w:val="TextBody"/>
        <w:bidi w:val="0"/>
        <w:spacing w:before="240" w:after="283"/>
        <w:jc w:val="left"/>
        <w:rPr>
          <w:rFonts w:ascii="Times New Roman" w:hAnsi="Times New Roman"/>
          <w:sz w:val="20"/>
        </w:rPr>
      </w:pPr>
      <w:r>
        <w:rPr>
          <w:rFonts w:ascii="Times New Roman" w:hAnsi="Times New Roman"/>
          <w:b/>
          <w:color w:val="000000"/>
          <w:sz w:val="18"/>
        </w:rPr>
        <w:t>13. Income Taxes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During the years ended December 31, 2025, 2024, and 2023, the Company recorded no</w:t>
      </w:r>
      <w:r>
        <w:rPr>
          <w:rFonts w:ascii="Times New Roman" w:hAnsi="Times New Roman"/>
          <w:color w:val="000000"/>
          <w:sz w:val="20"/>
        </w:rPr>
        <w:t xml:space="preserve"> </w:t>
      </w:r>
      <w:r>
        <w:rPr>
          <w:rFonts w:ascii="Times New Roman" w:hAnsi="Times New Roman"/>
          <w:color w:val="000000"/>
          <w:sz w:val="18"/>
        </w:rPr>
        <w:t>income tax benefits due to losses incurred and the uncertainty of future taxable income.</w:t>
      </w:r>
    </w:p>
    <w:p>
      <w:pPr>
        <w:pStyle w:val="TextBody"/>
        <w:bidi w:val="0"/>
        <w:spacing w:before="240" w:after="240"/>
        <w:jc w:val="left"/>
        <w:rPr>
          <w:rFonts w:ascii="Times New Roman" w:hAnsi="Times New Roman"/>
          <w:sz w:val="20"/>
        </w:rPr>
      </w:pPr>
      <w:r>
        <w:rPr>
          <w:rFonts w:ascii="Times New Roman" w:hAnsi="Times New Roman"/>
          <w:color w:val="000000"/>
          <w:sz w:val="18"/>
        </w:rPr>
        <w:t>A reconciliation of the expected income tax (benefit) computed using the U.S. Federal statutory income tax rate to the Company’s effective income tax rate is as follows for the years ended December 31, 2025, 2024, and 2023:</w:t>
      </w:r>
      <w:r>
        <w:rPr>
          <w:rFonts w:ascii="Times New Roman" w:hAnsi="Times New Roman"/>
          <w:color w:val="000000"/>
          <w:sz w:val="20"/>
        </w:rPr>
        <w:t xml:space="preserve"> </w:t>
      </w:r>
    </w:p>
    <w:tbl>
      <w:tblPr>
        <w:tblW w:w="9183" w:type="dxa"/>
        <w:jc w:val="left"/>
        <w:tblInd w:w="0" w:type="dxa"/>
        <w:tblLayout w:type="fixed"/>
        <w:tblCellMar>
          <w:top w:w="28" w:type="dxa"/>
          <w:left w:w="28" w:type="dxa"/>
          <w:bottom w:w="28" w:type="dxa"/>
          <w:right w:w="28" w:type="dxa"/>
        </w:tblCellMar>
      </w:tblPr>
      <w:tblGrid>
        <w:gridCol w:w="2581"/>
        <w:gridCol w:w="146"/>
        <w:gridCol w:w="219"/>
        <w:gridCol w:w="741"/>
        <w:gridCol w:w="166"/>
        <w:gridCol w:w="146"/>
        <w:gridCol w:w="751"/>
        <w:gridCol w:w="146"/>
        <w:gridCol w:w="219"/>
        <w:gridCol w:w="741"/>
        <w:gridCol w:w="166"/>
        <w:gridCol w:w="146"/>
        <w:gridCol w:w="751"/>
        <w:gridCol w:w="146"/>
        <w:gridCol w:w="219"/>
        <w:gridCol w:w="741"/>
        <w:gridCol w:w="166"/>
        <w:gridCol w:w="146"/>
        <w:gridCol w:w="846"/>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2023</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Amount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Amount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Amount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Percentage</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U.S. federal statutory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taxes, net of federal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3.8%</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Orphan drug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Nontaxable or 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18"/>
              </w:rPr>
            </w:pPr>
            <w:r>
              <w:rPr>
                <w:rFonts w:ascii="Times New Roman" w:hAnsi="Times New Roman"/>
                <w:color w:val="000000"/>
                <w:sz w:val="18"/>
              </w:rPr>
              <w:t>(1.7)%</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For the years ended December 31, 2025, 2024, and 2023, taxes in California comprised the majority of state taxes, net of federal taxes.</w:t>
      </w:r>
    </w:p>
    <w:p>
      <w:pPr>
        <w:pStyle w:val="TextBody"/>
        <w:bidi w:val="0"/>
        <w:spacing w:before="0" w:after="240"/>
        <w:jc w:val="left"/>
        <w:rPr>
          <w:rFonts w:ascii="Times New Roman" w:hAnsi="Times New Roman"/>
          <w:sz w:val="20"/>
        </w:rPr>
      </w:pPr>
      <w:r>
        <w:rPr>
          <w:rFonts w:ascii="Times New Roman" w:hAnsi="Times New Roman"/>
          <w:color w:val="000000"/>
          <w:sz w:val="18"/>
        </w:rPr>
        <w:t>The Company’s deferred tax assets and liabilities at December 31, 2025 and 2024, consist of the following:</w:t>
      </w:r>
      <w:r>
        <w:rPr>
          <w:rFonts w:ascii="Times New Roman" w:hAnsi="Times New Roman"/>
          <w:color w:val="000000"/>
          <w:sz w:val="20"/>
        </w:rPr>
        <w:t xml:space="preserve"> </w:t>
      </w:r>
    </w:p>
    <w:tbl>
      <w:tblPr>
        <w:tblW w:w="5179" w:type="dxa"/>
        <w:jc w:val="left"/>
        <w:tblInd w:w="0" w:type="dxa"/>
        <w:tblLayout w:type="fixed"/>
        <w:tblCellMar>
          <w:top w:w="28" w:type="dxa"/>
          <w:left w:w="28" w:type="dxa"/>
          <w:bottom w:w="28" w:type="dxa"/>
          <w:right w:w="28" w:type="dxa"/>
        </w:tblCellMar>
      </w:tblPr>
      <w:tblGrid>
        <w:gridCol w:w="2436"/>
        <w:gridCol w:w="146"/>
        <w:gridCol w:w="196"/>
        <w:gridCol w:w="751"/>
        <w:gridCol w:w="166"/>
        <w:gridCol w:w="146"/>
        <w:gridCol w:w="196"/>
        <w:gridCol w:w="751"/>
        <w:gridCol w:w="391"/>
      </w:tblGrid>
      <w:tr>
        <w:trPr/>
        <w:tc>
          <w:tcPr>
            <w:tcW w:w="2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166,311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Capitalized R&amp;D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154,424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445,808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(431,929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The Company has incurred net operating losses ("NOLs") since inception. As of December 31, 2025 and 2024, the Company had federal NOL carryforwards of $923.9</w:t>
      </w:r>
      <w:r>
        <w:rPr>
          <w:rFonts w:ascii="Times New Roman" w:hAnsi="Times New Roman"/>
          <w:color w:val="000000"/>
          <w:sz w:val="20"/>
        </w:rPr>
        <w:t xml:space="preserve"> </w:t>
      </w:r>
      <w:r>
        <w:rPr>
          <w:rFonts w:ascii="Times New Roman" w:hAnsi="Times New Roman"/>
          <w:color w:val="000000"/>
          <w:sz w:val="18"/>
        </w:rPr>
        <w:t>million and $596.3</w:t>
      </w:r>
      <w:r>
        <w:rPr>
          <w:rFonts w:ascii="Times New Roman" w:hAnsi="Times New Roman"/>
          <w:color w:val="000000"/>
          <w:sz w:val="20"/>
        </w:rPr>
        <w:t xml:space="preserve"> </w:t>
      </w:r>
      <w:r>
        <w:rPr>
          <w:rFonts w:ascii="Times New Roman" w:hAnsi="Times New Roman"/>
          <w:color w:val="000000"/>
          <w:sz w:val="18"/>
        </w:rPr>
        <w:t>million, respectively, available to reduce federal taxable income, of which $43.1</w:t>
      </w:r>
      <w:r>
        <w:rPr>
          <w:rFonts w:ascii="Times New Roman" w:hAnsi="Times New Roman"/>
          <w:color w:val="000000"/>
          <w:sz w:val="20"/>
        </w:rPr>
        <w:t xml:space="preserve"> </w:t>
      </w:r>
      <w:r>
        <w:rPr>
          <w:rFonts w:ascii="Times New Roman" w:hAnsi="Times New Roman"/>
          <w:color w:val="000000"/>
          <w:sz w:val="18"/>
        </w:rPr>
        <w:t>million begin to expire in 2035</w:t>
      </w:r>
      <w:r>
        <w:rPr>
          <w:rFonts w:ascii="Times New Roman" w:hAnsi="Times New Roman"/>
          <w:color w:val="000000"/>
          <w:sz w:val="20"/>
        </w:rPr>
        <w:t xml:space="preserve"> </w:t>
      </w:r>
      <w:r>
        <w:rPr>
          <w:rFonts w:ascii="Times New Roman" w:hAnsi="Times New Roman"/>
          <w:color w:val="000000"/>
          <w:sz w:val="18"/>
        </w:rPr>
        <w:t>and $880.8</w:t>
      </w:r>
      <w:r>
        <w:rPr>
          <w:rFonts w:ascii="Times New Roman" w:hAnsi="Times New Roman"/>
          <w:color w:val="000000"/>
          <w:sz w:val="20"/>
        </w:rPr>
        <w:t xml:space="preserve"> </w:t>
      </w:r>
      <w:r>
        <w:rPr>
          <w:rFonts w:ascii="Times New Roman" w:hAnsi="Times New Roman"/>
          <w:color w:val="000000"/>
          <w:sz w:val="18"/>
        </w:rPr>
        <w:t>million do not expire. The Company also had state NOL carryforwards of $625.6</w:t>
      </w:r>
      <w:r>
        <w:rPr>
          <w:rFonts w:ascii="Times New Roman" w:hAnsi="Times New Roman"/>
          <w:color w:val="000000"/>
          <w:sz w:val="20"/>
        </w:rPr>
        <w:t xml:space="preserve"> </w:t>
      </w:r>
      <w:r>
        <w:rPr>
          <w:rFonts w:ascii="Times New Roman" w:hAnsi="Times New Roman"/>
          <w:color w:val="000000"/>
          <w:sz w:val="18"/>
        </w:rPr>
        <w:t>million and $625.2</w:t>
      </w:r>
      <w:r>
        <w:rPr>
          <w:rFonts w:ascii="Times New Roman" w:hAnsi="Times New Roman"/>
          <w:color w:val="000000"/>
          <w:sz w:val="20"/>
        </w:rPr>
        <w:t xml:space="preserve"> </w:t>
      </w:r>
      <w:r>
        <w:rPr>
          <w:rFonts w:ascii="Times New Roman" w:hAnsi="Times New Roman"/>
          <w:color w:val="000000"/>
          <w:sz w:val="18"/>
        </w:rPr>
        <w:t>million as of December 31, 2025 and 2024, respectively, available to reduce state taxable income, which begin to expire in 2035.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also had available federal research and development tax credit carryforwards of $55.9</w:t>
      </w:r>
      <w:r>
        <w:rPr>
          <w:rFonts w:ascii="Times New Roman" w:hAnsi="Times New Roman"/>
          <w:color w:val="000000"/>
          <w:sz w:val="20"/>
        </w:rPr>
        <w:t xml:space="preserve"> </w:t>
      </w:r>
      <w:r>
        <w:rPr>
          <w:rFonts w:ascii="Times New Roman" w:hAnsi="Times New Roman"/>
          <w:color w:val="000000"/>
          <w:sz w:val="18"/>
        </w:rPr>
        <w:t>million and $47.5</w:t>
      </w:r>
      <w:r>
        <w:rPr>
          <w:rFonts w:ascii="Times New Roman" w:hAnsi="Times New Roman"/>
          <w:color w:val="000000"/>
          <w:sz w:val="20"/>
        </w:rPr>
        <w:t xml:space="preserve"> </w:t>
      </w:r>
      <w:r>
        <w:rPr>
          <w:rFonts w:ascii="Times New Roman" w:hAnsi="Times New Roman"/>
          <w:color w:val="000000"/>
          <w:sz w:val="18"/>
        </w:rPr>
        <w:t>million, respectively, available to reduce federal tax liabilities, which begin to expire in 2035.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also had available state research and development tax credit carryforwards of $29.9</w:t>
      </w:r>
      <w:r>
        <w:rPr>
          <w:rFonts w:ascii="Times New Roman" w:hAnsi="Times New Roman"/>
          <w:color w:val="000000"/>
          <w:sz w:val="20"/>
        </w:rPr>
        <w:t xml:space="preserve"> </w:t>
      </w:r>
      <w:r>
        <w:rPr>
          <w:rFonts w:ascii="Times New Roman" w:hAnsi="Times New Roman"/>
          <w:color w:val="000000"/>
          <w:sz w:val="18"/>
        </w:rPr>
        <w:t>million and $27.0</w:t>
      </w:r>
      <w:r>
        <w:rPr>
          <w:rFonts w:ascii="Times New Roman" w:hAnsi="Times New Roman"/>
          <w:color w:val="000000"/>
          <w:sz w:val="20"/>
        </w:rPr>
        <w:t xml:space="preserve"> </w:t>
      </w:r>
      <w:r>
        <w:rPr>
          <w:rFonts w:ascii="Times New Roman" w:hAnsi="Times New Roman"/>
          <w:color w:val="000000"/>
          <w:sz w:val="18"/>
        </w:rPr>
        <w:t>million, respectively, available to reduce state tax liabilities, which being to expire in 2030.</w:t>
      </w:r>
    </w:p>
    <w:p>
      <w:pPr>
        <w:pStyle w:val="TextBody"/>
        <w:bidi w:val="0"/>
        <w:spacing w:before="240" w:after="283"/>
        <w:jc w:val="left"/>
        <w:rPr>
          <w:rFonts w:ascii="Times New Roman" w:hAnsi="Times New Roman"/>
          <w:sz w:val="20"/>
        </w:rPr>
      </w:pPr>
      <w:r>
        <w:rPr>
          <w:rFonts w:ascii="Times New Roman" w:hAnsi="Times New Roman"/>
          <w:color w:val="000000"/>
          <w:sz w:val="18"/>
        </w:rPr>
        <w:t>As of December 31, 2025 and 2024, the Company also had available federal orphan drug tax credit carryforwards of $17.0</w:t>
      </w:r>
      <w:r>
        <w:rPr>
          <w:rFonts w:ascii="Times New Roman" w:hAnsi="Times New Roman"/>
          <w:color w:val="000000"/>
          <w:sz w:val="20"/>
        </w:rPr>
        <w:t xml:space="preserve"> </w:t>
      </w:r>
      <w:r>
        <w:rPr>
          <w:rFonts w:ascii="Times New Roman" w:hAnsi="Times New Roman"/>
          <w:color w:val="000000"/>
          <w:sz w:val="18"/>
        </w:rPr>
        <w:t>million and $19.5</w:t>
      </w:r>
      <w:r>
        <w:rPr>
          <w:rFonts w:ascii="Times New Roman" w:hAnsi="Times New Roman"/>
          <w:color w:val="000000"/>
          <w:sz w:val="20"/>
        </w:rPr>
        <w:t xml:space="preserve"> </w:t>
      </w:r>
      <w:r>
        <w:rPr>
          <w:rFonts w:ascii="Times New Roman" w:hAnsi="Times New Roman"/>
          <w:color w:val="000000"/>
          <w:sz w:val="18"/>
        </w:rPr>
        <w:t>million, respectively, available to reduce federal tax liabilities, which begin to expire in 2042.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Utilization of NOL and research and development credit carryforwards may generally be subject to limitation under Sections 382 and 383 of the Internal Revenue Code of 1986 ("Sections 382 and 383") due to ownership changes that have occurred previously or could occur in the future. Such ownership changes may limit the amount of NOL and research and development credit carryforwards that can be utilized annually to offset any post-ownership change in taxable income and tax, respectively. The most recent Section 382 study was performed by the Company up to December 31, 2025, through which it was noted that a historic ownership change has likely occurred. Nonetheless, the Company has concluded that, as of December 31, 2025, the prospective utilization of NOL and research and development credit carryforwards from inception through December 31, 2025 (and, therefore, the corresponding federal and state deferred tax assets) should not be restricted by Sections 382 and 383, although ownership changes after December 31, 2025 could impact the Company’s ability to utilize such tax attributes in the future.</w:t>
      </w:r>
    </w:p>
    <w:p>
      <w:pPr>
        <w:pStyle w:val="TextBody"/>
        <w:bidi w:val="0"/>
        <w:spacing w:before="240" w:after="283"/>
        <w:jc w:val="left"/>
        <w:rPr>
          <w:rFonts w:ascii="Times New Roman" w:hAnsi="Times New Roman"/>
          <w:sz w:val="20"/>
        </w:rPr>
      </w:pPr>
      <w:r>
        <w:rPr>
          <w:rFonts w:ascii="Times New Roman" w:hAnsi="Times New Roman"/>
          <w:color w:val="000000"/>
          <w:sz w:val="18"/>
        </w:rPr>
        <w:t>The Company recorded a valuation allowance against its deferred tax assets for the years ended December 31, 2025 and 2024, because the Company’s management believes it is more likely than not that such assets will not be realized. The valuation allowance increased by $48.6</w:t>
      </w:r>
      <w:r>
        <w:rPr>
          <w:rFonts w:ascii="Times New Roman" w:hAnsi="Times New Roman"/>
          <w:color w:val="000000"/>
          <w:sz w:val="20"/>
        </w:rPr>
        <w:t xml:space="preserve"> </w:t>
      </w:r>
      <w:r>
        <w:rPr>
          <w:rFonts w:ascii="Times New Roman" w:hAnsi="Times New Roman"/>
          <w:color w:val="000000"/>
          <w:sz w:val="18"/>
        </w:rPr>
        <w:t>million and $132.1</w:t>
      </w:r>
      <w:r>
        <w:rPr>
          <w:rFonts w:ascii="Times New Roman" w:hAnsi="Times New Roman"/>
          <w:color w:val="000000"/>
          <w:sz w:val="20"/>
        </w:rPr>
        <w:t xml:space="preserve"> </w:t>
      </w:r>
      <w:r>
        <w:rPr>
          <w:rFonts w:ascii="Times New Roman" w:hAnsi="Times New Roman"/>
          <w:color w:val="000000"/>
          <w:sz w:val="18"/>
        </w:rPr>
        <w:t>million for the years ended December 31, 2025 and 2024, respectively, primarily as a result of operating losses generated with no corresponding financial statement benefit.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The Company had no</w:t>
      </w:r>
      <w:r>
        <w:rPr>
          <w:rFonts w:ascii="Times New Roman" w:hAnsi="Times New Roman"/>
          <w:color w:val="000000"/>
          <w:sz w:val="20"/>
        </w:rPr>
        <w:t xml:space="preserve"> </w:t>
      </w:r>
      <w:r>
        <w:rPr>
          <w:rFonts w:ascii="Times New Roman" w:hAnsi="Times New Roman"/>
          <w:color w:val="000000"/>
          <w:sz w:val="18"/>
        </w:rPr>
        <w:t>unrecognized tax benefits as of December 31, 2025 and 2024.</w:t>
      </w:r>
    </w:p>
    <w:p>
      <w:pPr>
        <w:pStyle w:val="TextBody"/>
        <w:bidi w:val="0"/>
        <w:spacing w:before="240" w:after="283"/>
        <w:jc w:val="left"/>
        <w:rPr>
          <w:rFonts w:ascii="Times New Roman" w:hAnsi="Times New Roman"/>
          <w:sz w:val="20"/>
        </w:rPr>
      </w:pPr>
      <w:r>
        <w:rPr>
          <w:rFonts w:ascii="Times New Roman" w:hAnsi="Times New Roman"/>
          <w:color w:val="000000"/>
          <w:sz w:val="18"/>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w:t>
      </w:r>
      <w:r>
        <w:rPr>
          <w:rFonts w:ascii="Times New Roman" w:hAnsi="Times New Roman"/>
          <w:color w:val="000000"/>
          <w:sz w:val="20"/>
        </w:rPr>
        <w:t xml:space="preserve"> </w:t>
      </w:r>
      <w:r>
        <w:rPr>
          <w:rFonts w:ascii="Times New Roman" w:hAnsi="Times New Roman"/>
          <w:color w:val="000000"/>
          <w:sz w:val="18"/>
        </w:rPr>
        <w:t>The Company’s tax years are still open under statute from inception to the present.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On July 4, 2025, the One Big Beautiful Bill Act (“OBBB”) was enacted in the U.S. The OBBB includes significant provisions, such as the permanent extension of certain expiring provisions of the Tax Cuts and Jobs Act ("TCJA") and restoration of favorable tax treatment for certain business provisions including the expensing of domestic research and development expenditures. The OBBB did not have a material impact on the Company's consolidated financial statements or footnotes.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18"/>
        </w:rPr>
        <w:t>14. Employee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18"/>
        </w:rPr>
        <w:t>In 2016, the Company established a defined-contribution plan under Section 401(k) of the Internal Revenue Code (the "401(k) Plan"). The 401(k) Plan covers all employees who meet defined minimum age and service requirements and allows participants to defer a portion of their annual compensation on a pre-tax basis. The Company made matching contributions to the 401(k) Plan of $1.9</w:t>
      </w:r>
      <w:r>
        <w:rPr>
          <w:rFonts w:ascii="Times New Roman" w:hAnsi="Times New Roman"/>
          <w:color w:val="000000"/>
          <w:sz w:val="20"/>
        </w:rPr>
        <w:t xml:space="preserve"> </w:t>
      </w:r>
      <w:r>
        <w:rPr>
          <w:rFonts w:ascii="Times New Roman" w:hAnsi="Times New Roman"/>
          <w:color w:val="000000"/>
          <w:sz w:val="18"/>
        </w:rPr>
        <w:t>million, $2.4</w:t>
      </w:r>
      <w:r>
        <w:rPr>
          <w:rFonts w:ascii="Times New Roman" w:hAnsi="Times New Roman"/>
          <w:color w:val="000000"/>
          <w:sz w:val="20"/>
        </w:rPr>
        <w:t xml:space="preserve"> </w:t>
      </w:r>
      <w:r>
        <w:rPr>
          <w:rFonts w:ascii="Times New Roman" w:hAnsi="Times New Roman"/>
          <w:color w:val="000000"/>
          <w:sz w:val="18"/>
        </w:rPr>
        <w:t>million, and $2.6</w:t>
      </w:r>
      <w:r>
        <w:rPr>
          <w:rFonts w:ascii="Times New Roman" w:hAnsi="Times New Roman"/>
          <w:color w:val="000000"/>
          <w:sz w:val="20"/>
        </w:rPr>
        <w:t xml:space="preserve"> </w:t>
      </w:r>
      <w:r>
        <w:rPr>
          <w:rFonts w:ascii="Times New Roman" w:hAnsi="Times New Roman"/>
          <w:color w:val="000000"/>
          <w:sz w:val="18"/>
        </w:rPr>
        <w:t>million for the years ended December 31, 2025, 2024, and 2023, respectively.</w:t>
      </w:r>
    </w:p>
    <w:p>
      <w:pPr>
        <w:pStyle w:val="TextBody"/>
        <w:bidi w:val="0"/>
        <w:spacing w:before="240" w:after="283"/>
        <w:jc w:val="left"/>
        <w:rPr>
          <w:rFonts w:ascii="Times New Roman" w:hAnsi="Times New Roman"/>
          <w:sz w:val="20"/>
        </w:rPr>
      </w:pPr>
      <w:r>
        <w:rPr>
          <w:rFonts w:ascii="Times New Roman" w:hAnsi="Times New Roman"/>
          <w:b/>
          <w:color w:val="000000"/>
          <w:sz w:val="18"/>
        </w:rPr>
        <w:t>15. Subsequent Events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preparing the consolidated financial statements as of December 31, 2025, the Company evaluated subsequent events for recognition and measurement through the filing date of this Annual Report on Form 10-K. The Company concluded no events or transactions have occurred that require disclosure in the accompanying consolidated financial statements, except as otherwise included in the notes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EXHIBIT INDEX</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6"/>
        <w:gridCol w:w="146"/>
        <w:gridCol w:w="9293"/>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3" w:type="dxa"/>
            <w:tcBorders/>
            <w:vAlign w:val="center"/>
          </w:tcPr>
          <w:p>
            <w:pPr>
              <w:pStyle w:val="TableContents"/>
              <w:bidi w:val="0"/>
              <w:spacing w:before="0" w:after="283"/>
              <w:jc w:val="left"/>
              <w:rPr>
                <w:sz w:val="4"/>
                <w:szCs w:val="4"/>
              </w:rPr>
            </w:pPr>
            <w:r>
              <w:rPr>
                <w:sz w:val="4"/>
                <w:szCs w:val="4"/>
              </w:rPr>
            </w:r>
          </w:p>
        </w:tc>
      </w:tr>
      <w:tr>
        <w:trPr/>
        <w:tc>
          <w:tcPr>
            <w:tcW w:w="76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18"/>
                  <w:u w:val="single"/>
                </w:rPr>
                <w:t>Agreement and Plan of Merger dated April 15, 2021 by and among the Registrant, Elixir Merger Sub I, Inc., Elixir Merger Sub II, LLC, ZebiAI Therapeutics, Inc., and Shareholder Representative Services LLC (incorporated by reference to Exhibit 2.1 to the Registrant’s Form 8-K (File No. 001-39385) filed on April 16, 2021).</w:t>
              </w:r>
            </w:hyperlink>
            <w:r>
              <w:rPr>
                <w:rFonts w:ascii="Times New Roman" w:hAnsi="Times New Roman"/>
                <w:color w:val="000000"/>
                <w:sz w:val="18"/>
              </w:rPr>
              <w:t xml:space="preserve">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18"/>
                  <w:u w:val="single"/>
                </w:rPr>
                <w:t>Fourth Amended and Restated Certificate of Incorporation of the Registrant (incorporated by reference to Exhibit 3.1 to the Registrant’s Form 10-K (File No. 001-39385) filed on February 23, 2023).</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18"/>
                  <w:u w:val="single"/>
                </w:rPr>
                <w:t>Amended and Restated Bylaws of the Registrant (incorporated by reference to Exhibit 3.2 to the Registrant’s Form 8-K (File No. 001-39385) filed on July 21,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18"/>
                  <w:u w:val="single"/>
                </w:rPr>
                <w:t>Specimen stock certificate evidencing the shares of common stock (incorporated by reference to Exhibit 4.1 to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18"/>
                  <w:u w:val="single"/>
                </w:rPr>
                <w:t>Description of Securities (incorporated by reference to Exhibit 4.2 to the Registrant's Form 10-K (File No. 001-39385) filed on February 22, 2024).</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18"/>
                  <w:u w:val="single"/>
                </w:rPr>
                <w:t>2016 Stock Option and Grant Plan, and form of award agreements thereunder (incorporated by reference to Exhibit 10.1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18"/>
                  <w:u w:val="single"/>
                </w:rPr>
                <w:t>2020 Stock Option and Incentive Plan, and form of award agreements thereunder (incorporated by reference to Exhibit 10.2 to the Registrant's Form 10-K (File No. 001-39385) filed on February 24, 2022).</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18"/>
                  <w:u w:val="single"/>
                </w:rPr>
                <w:t>2020 Employee Stock Purchase Plan (incorporated by reference to Exhibit 10.3 of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18"/>
                  <w:u w:val="single"/>
                </w:rPr>
                <w:t>Senior Executive Cash Bonus Plan (incorporated by reference to Exhibit 10.4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18"/>
                  <w:u w:val="single"/>
                </w:rPr>
                <w:t>Amended and Restated Non-Employee Director Compensation Policy, effective as of May 8, 2025 (incorporated by reference to Exhibit 10.1 to the Registrant's Form 10-Q (File No. 001-39385) filed on August 7, 2025).</w:t>
              </w:r>
            </w:hyperlink>
            <w:hyperlink r:id="rId18">
              <w:r>
                <w:rPr>
                  <w:rStyle w:val="InternetLink"/>
                  <w:rFonts w:ascii="Times New Roman" w:hAnsi="Times New Roman"/>
                  <w:color w:val="0000FF"/>
                  <w:sz w:val="18"/>
                </w:rPr>
                <w:t xml:space="preserve"> </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18"/>
                  <w:u w:val="single"/>
                </w:rPr>
                <w:t>Form of Indemnification Agreement between the Registrant and each of its directors and executive officers (incorporated by reference to Exhibit 10.6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18"/>
              </w:rPr>
            </w:pPr>
            <w:r>
              <w:rPr>
                <w:rFonts w:ascii="Times New Roman" w:hAnsi="Times New Roman"/>
                <w:color w:val="231F20"/>
                <w:sz w:val="18"/>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18"/>
                  <w:u w:val="single"/>
                </w:rPr>
                <w:t>Form of Amended and Restated Employment Agreement (incorporated by reference to Exhibit 10.8 of the Registrant’s Registration Statement on Form S-1/A (File No. 333-239412) filed on July 9,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18"/>
                  <w:u w:val="single"/>
                </w:rPr>
                <w:t>Amended and Restated Employment Agreement, by and between the Registrant and Sanjiv K. Patel dated March 25, 2020 (incorporated by reference to Exhibit 10.9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18"/>
                  <w:u w:val="single"/>
                </w:rPr>
                <w:t>Amended and Restated Collaboration and License Agreement, by and between the Registrant and D. E. Shaw Research, LLC, dated June 15, 2020 (incorporated by reference to Exhibit 10.10 of the Registrant’s Registration Statement on Form S-1 (File No. 333-239412) filed on June 24, 2020).</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18"/>
                  <w:u w:val="single"/>
                </w:rPr>
                <w:t>Amendment No. AR1 to Amended and Restated Collaboration and License Agreement, by and between the Registrant and D. E. Shaw Research, LLC, dated February 4, 2021 (incorporated by reference to Exhibit 10.10 to the Registrant’s Registration Statement on Form S-1 (File No. 333-255583) filed with the SEC on April 28,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18"/>
                  <w:u w:val="single"/>
                </w:rPr>
                <w:t>Amendment No. AR2 to Amended and Restated Collaboration and License Agreement, by and between the Registrant and D. E. Shaw Research, LLC, dated May 12, 2021 (incorporated by reference to Exhibit 10.4 to the Registrant’s Form 10-Q (File No. 001-39385) filed on May 13, 2021).</w:t>
              </w:r>
            </w:hyperlink>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70"/>
        <w:gridCol w:w="146"/>
        <w:gridCol w:w="9389"/>
      </w:tblGrid>
      <w:tr>
        <w:trPr/>
        <w:tc>
          <w:tcPr>
            <w:tcW w:w="6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89" w:type="dxa"/>
            <w:tcBorders/>
            <w:vAlign w:val="center"/>
          </w:tcPr>
          <w:p>
            <w:pPr>
              <w:pStyle w:val="TableContents"/>
              <w:bidi w:val="0"/>
              <w:spacing w:before="0" w:after="283"/>
              <w:jc w:val="left"/>
              <w:rPr>
                <w:sz w:val="4"/>
                <w:szCs w:val="4"/>
              </w:rPr>
            </w:pPr>
            <w:r>
              <w:rPr>
                <w:sz w:val="4"/>
                <w:szCs w:val="4"/>
              </w:rPr>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18"/>
                  <w:u w:val="single"/>
                </w:rPr>
                <w:t>Amendment No. AR3 to Amended and Restated Collaboration and License Agreement, by and between the</w:t>
              </w:r>
            </w:hyperlink>
            <w:r>
              <w:rPr>
                <w:rFonts w:ascii="Times New Roman" w:hAnsi="Times New Roman"/>
                <w:color w:val="000000"/>
                <w:sz w:val="20"/>
              </w:rPr>
              <w:t xml:space="preserve"> </w:t>
            </w:r>
            <w:hyperlink r:id="rId26">
              <w:r>
                <w:rPr>
                  <w:rStyle w:val="InternetLink"/>
                  <w:rFonts w:ascii="Times New Roman" w:hAnsi="Times New Roman"/>
                  <w:color w:val="0000FF"/>
                  <w:sz w:val="18"/>
                  <w:u w:val="single"/>
                </w:rPr>
                <w:t>Registrant and D.E. Shaw Research, LLC, dated January 27, 2022 (incorporated by reference to Exhibit 10.1 to the Registrant’s Form 10-Q (File No. 001-39385) filed on May 5, 2022).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18"/>
                  <w:u w:val="single"/>
                </w:rPr>
                <w:t>Amendment No. AR4 to Amended and Restated Collaboration and License Agreement, by and between the Registrant and D.E. Shaw Research, LLC, dated March 22, 2023 (incorporated by reference to Exhibit 10.1 to the Registrant's Form 10-Q (File No. 001-39385) filed on August 8, 2023).</w:t>
              </w:r>
            </w:hyperlink>
            <w:hyperlink r:id="rId28">
              <w:r>
                <w:rPr>
                  <w:rStyle w:val="InternetLink"/>
                  <w:rFonts w:ascii="Times New Roman" w:hAnsi="Times New Roman"/>
                  <w:color w:val="0000FF"/>
                  <w:sz w:val="18"/>
                </w:rPr>
                <w:t xml:space="preserve"> </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18"/>
                  <w:u w:val="single"/>
                </w:rPr>
                <w:t>Amendment No. AR5 to Amended and Restated Collaboration and License Agreement, by and between the Registrant and D.E. Shaw Research, LLC, dated August 4, 2023 (incorporated by reference to Exhibit 10.1 to the Registrant's Form 10-Q (File No. 001-39385) filed on November 2, 2023).</w:t>
              </w:r>
            </w:hyperlink>
            <w:hyperlink r:id="rId30">
              <w:r>
                <w:rPr>
                  <w:rStyle w:val="InternetLink"/>
                  <w:rFonts w:ascii="Times New Roman" w:hAnsi="Times New Roman"/>
                  <w:color w:val="0000FF"/>
                  <w:sz w:val="18"/>
                </w:rPr>
                <w:t xml:space="preserve"> </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18"/>
                  <w:u w:val="single"/>
                </w:rPr>
                <w:t>Registration Rights Agreement by and between the Registrant and the stockholders of ZebiAI Therapeutics, Inc. dated April 22, 2021 (incorporated by reference to Exhibit 10.14 to the Registrant’s Registration Statement on Form S-1 (File No. 333-255583) filed on April 28, 2021).</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18"/>
                  <w:u w:val="single"/>
                </w:rPr>
                <w:t>Lease by and between the Registrant and BMR-Hampshire, LLC, dated May 26, 2021 (incorporated by reference to Exhibit 10.5 of the Registrant’s Form 10-Q (File No. 001-39385) filed on August 12, 2021).</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18"/>
                  <w:u w:val="single"/>
                </w:rPr>
                <w:t>Registrant's Insider Trading Policy, dated December 13, 2024 (incorporated by reference to Exhibit 19.1 of the Registrant’s Form 10-K (File No. 001-39385) filed on February 26, 2025).</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21_1.htm">
              <w:r>
                <w:rPr>
                  <w:rStyle w:val="InternetLink"/>
                  <w:rFonts w:ascii="Times New Roman" w:hAnsi="Times New Roman"/>
                  <w:color w:val="0000FF"/>
                  <w:sz w:val="18"/>
                  <w:u w:val="single"/>
                </w:rPr>
                <w:t>List of Subsidiaries of Registrant.</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23_1.htm">
              <w:r>
                <w:rPr>
                  <w:rStyle w:val="InternetLink"/>
                  <w:rFonts w:ascii="Times New Roman" w:hAnsi="Times New Roman"/>
                  <w:color w:val="0000FF"/>
                  <w:sz w:val="18"/>
                  <w:u w:val="single"/>
                </w:rPr>
                <w:t>Consent of Ernst &amp; Young LLP, independent registered public accounting firm.</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18"/>
                  <w:u w:val="single"/>
                </w:rPr>
                <w:t>Power of Attorney (included on signature page).</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1_1.htm">
              <w:r>
                <w:rPr>
                  <w:rStyle w:val="InternetLink"/>
                  <w:rFonts w:ascii="Times New Roman" w:hAnsi="Times New Roman"/>
                  <w:color w:val="0000FF"/>
                  <w:sz w:val="18"/>
                  <w:u w:val="single"/>
                </w:rPr>
                <w:t>Certification of Principal Executive Officer Pursuant to Rules 13a-14(a) or 15d-14(a) under the Securities Exchange Act of 1934, as Adopted Pursuant to Section 302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1_2.htm">
              <w:r>
                <w:rPr>
                  <w:rStyle w:val="InternetLink"/>
                  <w:rFonts w:ascii="Times New Roman" w:hAnsi="Times New Roman"/>
                  <w:color w:val="0000FF"/>
                  <w:sz w:val="18"/>
                  <w:u w:val="single"/>
                </w:rPr>
                <w:t>Certification of Principal Financial Officer Pursuant to Rules 13a-14(a) or 15d-14(a) under the Securities Exchange Act of 1934, as Adopted Pursuant to Section 302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lay-ex32_1.htm">
              <w:r>
                <w:rPr>
                  <w:rStyle w:val="InternetLink"/>
                  <w:rFonts w:ascii="Times New Roman" w:hAnsi="Times New Roman"/>
                  <w:color w:val="0000FF"/>
                  <w:sz w:val="18"/>
                  <w:u w:val="single"/>
                </w:rPr>
                <w:t>Certification of Principal Executive Officer and Principal Financial Officer Pursuant to 18 U.S.C. Section 1350, as Adopted Pursuant to Section 906 of the Sarbanes-Oxley Act of 2002.</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18"/>
                  <w:u w:val="single"/>
                </w:rPr>
                <w:t>Registrant's Compensation Recovery Policy, adopted as of September 29, 2023 (incorporated by reference to Exhibit 97.1 of the Registrant’s Form 10-K (File No. 001-39385) filed on February 22, 2024).</w:t>
              </w:r>
            </w:hyperlink>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Instance Document</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(embedded within the Inline XBRL document)</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Filed herewith.</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The certifications furnished in Exhibit 32.1 hereto are deemed to accompany this Annual Report on Form 10-K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Portions of this exhibit (indicated by asterisks) were omitted in accordance with the rules of Item 601(b)(10) of Regulation S-K.</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 Indicates a management contract or any compensatory plan, contract or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bookmarkStart w:id="43" w:name="signatures"/>
      <w:bookmarkEnd w:id="43"/>
      <w:r>
        <w:rPr>
          <w:rFonts w:ascii="Times New Roman" w:hAnsi="Times New Roman"/>
          <w:b/>
          <w:color w:val="000000"/>
          <w:sz w:val="18"/>
        </w:rPr>
        <w:t>SIGNATURES</w:t>
      </w:r>
    </w:p>
    <w:p>
      <w:pPr>
        <w:pStyle w:val="TextBody"/>
        <w:bidi w:val="0"/>
        <w:spacing w:before="240" w:after="240"/>
        <w:jc w:val="left"/>
        <w:rPr>
          <w:rFonts w:ascii="Times New Roman" w:hAnsi="Times New Roman"/>
          <w:sz w:val="20"/>
        </w:rPr>
      </w:pPr>
      <w:r>
        <w:rPr>
          <w:rFonts w:ascii="Times New Roman" w:hAnsi="Times New Roman"/>
          <w:color w:val="000000"/>
          <w:sz w:val="18"/>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18"/>
        </w:rPr>
        <w:t>.</w:t>
      </w:r>
    </w:p>
    <w:tbl>
      <w:tblPr>
        <w:tblW w:w="5212" w:type="dxa"/>
        <w:jc w:val="left"/>
        <w:tblInd w:w="0" w:type="dxa"/>
        <w:tblLayout w:type="fixed"/>
        <w:tblCellMar>
          <w:top w:w="28" w:type="dxa"/>
          <w:left w:w="28" w:type="dxa"/>
          <w:bottom w:w="28" w:type="dxa"/>
          <w:right w:w="28" w:type="dxa"/>
        </w:tblCellMar>
      </w:tblPr>
      <w:tblGrid>
        <w:gridCol w:w="1861"/>
        <w:gridCol w:w="109"/>
        <w:gridCol w:w="361"/>
        <w:gridCol w:w="2881"/>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b/>
                <w:color w:val="000000"/>
                <w:sz w:val="18"/>
              </w:rPr>
              <w:t>Relay Therapeutics, Inc.</w:t>
            </w:r>
            <w:r>
              <w:rPr>
                <w:rFonts w:ascii="Times New Roman" w:hAnsi="Times New Roman"/>
                <w:color w:val="000000"/>
                <w:sz w:val="18"/>
              </w:rPr>
              <w:t xml:space="preserve">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28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President and Chief Executive Officer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spacing w:before="240" w:after="283"/>
        <w:jc w:val="center"/>
        <w:rPr>
          <w:rFonts w:ascii="Times New Roman" w:hAnsi="Times New Roman"/>
          <w:b/>
          <w:color w:val="000000"/>
          <w:sz w:val="18"/>
        </w:rPr>
      </w:pPr>
      <w:bookmarkStart w:id="44" w:name="poa"/>
      <w:bookmarkEnd w:id="44"/>
      <w:r>
        <w:rPr>
          <w:rFonts w:ascii="Times New Roman" w:hAnsi="Times New Roman"/>
          <w:b/>
          <w:color w:val="000000"/>
          <w:sz w:val="18"/>
        </w:rPr>
        <w:t>POWER OF ATTORNEY AND SIGNATURES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Each person whose individual signature appears below hereby authorizes and appoints Sanjiv K. Patel, M.D. and Soo-Yeun Lim,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w:t>
      </w:r>
    </w:p>
    <w:p>
      <w:pPr>
        <w:pStyle w:val="TextBody"/>
        <w:bidi w:val="0"/>
        <w:spacing w:before="240" w:after="240"/>
        <w:jc w:val="left"/>
        <w:rPr>
          <w:rFonts w:ascii="Times New Roman" w:hAnsi="Times New Roman"/>
          <w:color w:val="000000"/>
          <w:sz w:val="18"/>
        </w:rPr>
      </w:pPr>
      <w:r>
        <w:rPr>
          <w:rFonts w:ascii="Times New Roman" w:hAnsi="Times New Roman"/>
          <w:color w:val="000000"/>
          <w:sz w:val="18"/>
        </w:rPr>
        <w:t>Pursuant to the requirements of the Securities Exchange Act of 1934, as amended, this Report has been signed below by the following persons on behalf of the Registrant in the capacities and on the dates indicated.</w:t>
      </w:r>
    </w:p>
    <w:tbl>
      <w:tblPr>
        <w:tblW w:w="7045" w:type="dxa"/>
        <w:jc w:val="left"/>
        <w:tblInd w:w="0" w:type="dxa"/>
        <w:tblLayout w:type="fixed"/>
        <w:tblCellMar>
          <w:top w:w="28" w:type="dxa"/>
          <w:left w:w="28" w:type="dxa"/>
          <w:bottom w:w="28" w:type="dxa"/>
          <w:right w:w="28" w:type="dxa"/>
        </w:tblCellMar>
      </w:tblPr>
      <w:tblGrid>
        <w:gridCol w:w="1816"/>
        <w:gridCol w:w="146"/>
        <w:gridCol w:w="3466"/>
        <w:gridCol w:w="146"/>
        <w:gridCol w:w="147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Date</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President, 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(Principal Accounting Officer and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Alexis Borisy</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Alexis Borisy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Linda A. Hill</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Linda A. Hill,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Douglas S. Ingram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Douglas S. Ingram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Sekar Kathiresan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Sekar Kathiresan,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Mark Murcko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Mark Murcko,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Claire Mazumdar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Claire Mazumdar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Habib Dable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Habib Dable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/s/ </w:t>
            </w:r>
            <w:r>
              <w:rPr>
                <w:rFonts w:ascii="Times New Roman" w:hAnsi="Times New Roman"/>
                <w:color w:val="000000"/>
                <w:sz w:val="18"/>
              </w:rPr>
              <w:t>Lonnel Coats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February 26, 2026</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Lonnel Coats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rlay-ex21_1.htm"/>
      <w:bookmarkStart w:id="46" w:name="ksrlayex21_1"/>
      <w:bookmarkEnd w:id="45"/>
      <w:bookmarkEnd w:id="46"/>
      <w:r>
        <w:rPr>
          <w:rFonts w:ascii="Times New Roman" w:hAnsi="Times New Roman"/>
          <w:b/>
          <w:color w:val="000000"/>
          <w:sz w:val="20"/>
        </w:rPr>
        <w:t>Exhibit 21.1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w:t>
      </w:r>
    </w:p>
    <w:tbl>
      <w:tblPr>
        <w:tblW w:w="5248" w:type="dxa"/>
        <w:jc w:val="left"/>
        <w:tblInd w:w="0" w:type="dxa"/>
        <w:tblLayout w:type="fixed"/>
        <w:tblCellMar>
          <w:top w:w="28" w:type="dxa"/>
          <w:left w:w="28" w:type="dxa"/>
          <w:bottom w:w="28" w:type="dxa"/>
          <w:right w:w="28" w:type="dxa"/>
        </w:tblCellMar>
      </w:tblPr>
      <w:tblGrid>
        <w:gridCol w:w="2476"/>
        <w:gridCol w:w="146"/>
        <w:gridCol w:w="2626"/>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24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 of Incorporation</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Relay Securities 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Massachusetts</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7" w:name="rlay-ex23_1.htm"/>
      <w:bookmarkStart w:id="48" w:name="ksrlayex23_1"/>
      <w:bookmarkEnd w:id="47"/>
      <w:bookmarkEnd w:id="48"/>
      <w:r>
        <w:rPr>
          <w:rFonts w:ascii="Times New Roman" w:hAnsi="Times New Roman"/>
          <w:b/>
          <w:color w:val="000000"/>
          <w:sz w:val="22"/>
        </w:rPr>
        <w:t>Exhibit 23.1</w:t>
      </w:r>
      <w:r>
        <w:br w:type="page"/>
      </w:r>
    </w:p>
    <w:p>
      <w:pPr>
        <w:pStyle w:val="TextBody"/>
        <w:bidi w:val="0"/>
        <w:spacing w:before="180" w:after="283"/>
        <w:jc w:val="center"/>
        <w:rPr>
          <w:rFonts w:ascii="Times New Roman" w:hAnsi="Times New Roman"/>
          <w:sz w:val="20"/>
        </w:rPr>
      </w:pPr>
      <w:r>
        <w:rPr>
          <w:rFonts w:ascii="Times New Roman" w:hAnsi="Times New Roman"/>
          <w:b/>
          <w:color w:val="000000"/>
          <w:sz w:val="20"/>
        </w:rPr>
        <w:t>CONSENT OF INDEPENDENT REGISTERED PUBLIC ACCOUNTING FIRM</w:t>
      </w:r>
      <w:r>
        <w:rPr>
          <w:rFonts w:ascii="Times New Roman" w:hAnsi="Times New Roman"/>
          <w:color w:val="000000"/>
          <w:sz w:val="20"/>
        </w:rPr>
        <w:t xml:space="preserve"> </w:t>
      </w:r>
    </w:p>
    <w:p>
      <w:pPr>
        <w:pStyle w:val="TextBody"/>
        <w:bidi w:val="0"/>
        <w:spacing w:before="180" w:after="283"/>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 (Form S-8 No. 333-239912) pertaining to the 2016 Stock Option and Grant Plan, 2020 Stock Option and Incentive Plan, and 2020 Employee Stock Purchase Plan of Relay Therapeutics,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Registration Statements (Form S-8 No. 333-254704, No. 333-262974, No. 333-269959, No. 333-277278 and No. 333-285281) pertaining to the 2020 Stock Option and Incentive Plan and 2020 Employee Stock Purchase Plan of Relay Therapeutics, Inc.,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Registration Statements (Form S-3ASR No. 333-258768 and No. 333-281308) of Relay Therapeutics,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our reports dated February 26, 2026, with respect to the consolidated financial statements of Relay Therapeutics, Inc. and the effectiveness of internal control over financial reporting of Relay Therapeutics, Inc. included in this Annual Report (Form 10-K) of Relay Therapeutics, Inc. for the year ended December 31, 2025.</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/s/ Ernst &amp; Young LLP</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Boston, Massachusetts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February 26,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rlay-ex31_1.htm"/>
      <w:bookmarkStart w:id="50" w:name="ksrlayex31_1"/>
      <w:bookmarkEnd w:id="49"/>
      <w:bookmarkEnd w:id="50"/>
      <w:r>
        <w:rPr>
          <w:rFonts w:ascii="Times New Roman" w:hAnsi="Times New Roman"/>
          <w:b/>
          <w:color w:val="000000"/>
          <w:sz w:val="20"/>
        </w:rPr>
        <w:t>Exhibit 31.1</w:t>
      </w:r>
      <w:r>
        <w:br w:type="page"/>
      </w:r>
    </w:p>
    <w:p>
      <w:pPr>
        <w:pStyle w:val="TextBody"/>
        <w:bidi w:val="0"/>
        <w:jc w:val="right"/>
        <w:rPr/>
      </w:pPr>
      <w:r>
        <w:rPr/>
        <w:t> </w:t>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EXECUTIVE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Sanjiv K. Patel,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Annual Report on Form 10-K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50" w:type="dxa"/>
        <w:jc w:val="left"/>
        <w:tblInd w:w="0" w:type="dxa"/>
        <w:tblLayout w:type="fixed"/>
        <w:tblCellMar>
          <w:top w:w="28" w:type="dxa"/>
          <w:left w:w="28" w:type="dxa"/>
          <w:bottom w:w="28" w:type="dxa"/>
          <w:right w:w="28" w:type="dxa"/>
        </w:tblCellMar>
      </w:tblPr>
      <w:tblGrid>
        <w:gridCol w:w="1861"/>
        <w:gridCol w:w="146"/>
        <w:gridCol w:w="361"/>
        <w:gridCol w:w="146"/>
        <w:gridCol w:w="2836"/>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SANJIV K. PATEL</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rlay-ex31_2.htm"/>
      <w:bookmarkStart w:id="52" w:name="ksrlayex31_2"/>
      <w:bookmarkEnd w:id="51"/>
      <w:bookmarkEnd w:id="52"/>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18"/>
        </w:rPr>
      </w:pPr>
      <w:r>
        <w:rPr>
          <w:rFonts w:ascii="Times New Roman" w:hAnsi="Times New Roman"/>
          <w:b/>
          <w:color w:val="000000"/>
          <w:sz w:val="18"/>
        </w:rPr>
        <w:t>CERTIFICATION OF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RULES 13a-14(a) OR 15d-14(a) UNDER THE SECURITIES EXCHANGE ACT OF 1934,</w:t>
      </w:r>
    </w:p>
    <w:p>
      <w:pPr>
        <w:pStyle w:val="TextBody"/>
        <w:bidi w:val="0"/>
        <w:jc w:val="center"/>
        <w:rPr>
          <w:rFonts w:ascii="Times New Roman" w:hAnsi="Times New Roman"/>
          <w:b/>
          <w:color w:val="000000"/>
          <w:sz w:val="18"/>
        </w:rPr>
      </w:pPr>
      <w:r>
        <w:rPr>
          <w:rFonts w:ascii="Times New Roman" w:hAnsi="Times New Roman"/>
          <w:b/>
          <w:color w:val="000000"/>
          <w:sz w:val="18"/>
        </w:rPr>
        <w:t>AS ADOPTED PURSUANT TO SECTION 302 OF THE SARBANES-OXLEY ACT OF 2002</w:t>
      </w:r>
    </w:p>
    <w:p>
      <w:pPr>
        <w:pStyle w:val="TextBody"/>
        <w:bidi w:val="0"/>
        <w:spacing w:before="200" w:after="283"/>
        <w:jc w:val="left"/>
        <w:rPr>
          <w:rFonts w:ascii="Times New Roman" w:hAnsi="Times New Roman"/>
          <w:color w:val="000000"/>
          <w:sz w:val="18"/>
        </w:rPr>
      </w:pPr>
      <w:r>
        <w:rPr>
          <w:rFonts w:ascii="Times New Roman" w:hAnsi="Times New Roman"/>
          <w:color w:val="000000"/>
          <w:sz w:val="18"/>
        </w:rPr>
        <w:t>I, Thomas Catinazzo, certify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 have reviewed this Annual Report on Form 10-K of Relay Therapeutics, Inc.;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7240" w:type="dxa"/>
        <w:jc w:val="left"/>
        <w:tblInd w:w="0" w:type="dxa"/>
        <w:tblLayout w:type="fixed"/>
        <w:tblCellMar>
          <w:top w:w="28" w:type="dxa"/>
          <w:left w:w="28" w:type="dxa"/>
          <w:bottom w:w="28" w:type="dxa"/>
          <w:right w:w="28" w:type="dxa"/>
        </w:tblCellMar>
      </w:tblPr>
      <w:tblGrid>
        <w:gridCol w:w="2041"/>
        <w:gridCol w:w="146"/>
        <w:gridCol w:w="361"/>
        <w:gridCol w:w="146"/>
        <w:gridCol w:w="4546"/>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18"/>
              </w:rPr>
            </w:pPr>
            <w:r>
              <w:rPr>
                <w:rFonts w:ascii="Times New Roman" w:hAnsi="Times New Roman"/>
                <w:color w:val="000000"/>
                <w:sz w:val="18"/>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pPr>
            <w:r>
              <w:rPr/>
              <w:t> </w:t>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THOMAS CATINAZZO</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rlay-ex32_1.htm"/>
      <w:bookmarkStart w:id="54" w:name="ksrlayex32_1"/>
      <w:bookmarkEnd w:id="53"/>
      <w:bookmarkEnd w:id="54"/>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CERTIFICATIONS OF PRINCIPAL EXECUTIVE OFFICER AND PRINCIPAL FINANCIAL OFFICER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Annual Report of Relay Therapeutics, Inc. (the “Company”) on Form 10-K for the year ended December 31, 2025 as filed with the Securities and Exchange Commission on the date hereof (the “Report”), the undersigned hereby certify, pursuant to 18 U.S.C. Section 1350, as adopted pursuant to Section 906 of the Sarbanes-Oxley Act of 2002, that, to the best of their knowledge:</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Report fully complies with the requirements of Section 13(a) or 15(d) of the Securities Exchange Act of 1934, as amended;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The information contained in the Report fairly presents, in all material respects, the financial condition and results of operations of the Company.</w:t>
      </w:r>
    </w:p>
    <w:p>
      <w:pPr>
        <w:pStyle w:val="TextBody"/>
        <w:bidi w:val="0"/>
        <w:jc w:val="left"/>
        <w:rPr/>
      </w:pPr>
      <w:r>
        <w:rPr/>
        <w:t> </w:t>
      </w:r>
    </w:p>
    <w:tbl>
      <w:tblPr>
        <w:tblW w:w="5276" w:type="dxa"/>
        <w:jc w:val="left"/>
        <w:tblInd w:w="0" w:type="dxa"/>
        <w:tblLayout w:type="fixed"/>
        <w:tblCellMar>
          <w:top w:w="28" w:type="dxa"/>
          <w:left w:w="28" w:type="dxa"/>
          <w:bottom w:w="28" w:type="dxa"/>
          <w:right w:w="28" w:type="dxa"/>
        </w:tblCellMar>
      </w:tblPr>
      <w:tblGrid>
        <w:gridCol w:w="1861"/>
        <w:gridCol w:w="109"/>
        <w:gridCol w:w="361"/>
        <w:gridCol w:w="109"/>
        <w:gridCol w:w="2836"/>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SANJIV K. PATEL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Sanjiv K. Patel</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tbl>
      <w:tblPr>
        <w:tblW w:w="6986" w:type="dxa"/>
        <w:jc w:val="left"/>
        <w:tblInd w:w="0" w:type="dxa"/>
        <w:tblLayout w:type="fixed"/>
        <w:tblCellMar>
          <w:top w:w="28" w:type="dxa"/>
          <w:left w:w="28" w:type="dxa"/>
          <w:bottom w:w="28" w:type="dxa"/>
          <w:right w:w="28" w:type="dxa"/>
        </w:tblCellMar>
      </w:tblPr>
      <w:tblGrid>
        <w:gridCol w:w="1861"/>
        <w:gridCol w:w="109"/>
        <w:gridCol w:w="361"/>
        <w:gridCol w:w="109"/>
        <w:gridCol w:w="4546"/>
      </w:tblGrid>
      <w:tr>
        <w:trPr/>
        <w:tc>
          <w:tcPr>
            <w:tcW w:w="1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February 26,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bottom w:val="single" w:sz="5"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/S/ THOMAS CATINAZZO </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Thomas Catinazzo</w:t>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Accounting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s://www.sec.gov/Archives/edgar/data/1812364/000119312521118438/d110953dex21.htm" TargetMode="External"/><Relationship Id="rId9" Type="http://schemas.openxmlformats.org/officeDocument/2006/relationships/hyperlink" Target="https://www.sec.gov/Archives/edgar/data/1812364/000095017023004123/rlay-ex3_1.htm" TargetMode="External"/><Relationship Id="rId10" Type="http://schemas.openxmlformats.org/officeDocument/2006/relationships/hyperlink" Target="https://www.sec.gov/Archives/edgar/data/0001812364/000119312520196383/d29076dex32.htm" TargetMode="External"/><Relationship Id="rId11" Type="http://schemas.openxmlformats.org/officeDocument/2006/relationships/hyperlink" Target="https://www.sec.gov/Archives/edgar/data/0001812364/000119312520190069/d924757dex41.htm" TargetMode="External"/><Relationship Id="rId12" Type="http://schemas.openxmlformats.org/officeDocument/2006/relationships/hyperlink" Target="https://www.sec.gov/Archives/edgar/data/1812364/000095017024018797/rlay-ex4_2.htm" TargetMode="External"/><Relationship Id="rId13" Type="http://schemas.openxmlformats.org/officeDocument/2006/relationships/hyperlink" Target="https://www.sec.gov/Archives/edgar/data/0001812364/000119312520177746/d924757dex101.htm" TargetMode="External"/><Relationship Id="rId14" Type="http://schemas.openxmlformats.org/officeDocument/2006/relationships/hyperlink" Target="https://www.sec.gov/Archives/edgar/data/1812364/000095017022001978/rlay-ex10_2.htm" TargetMode="External"/><Relationship Id="rId15" Type="http://schemas.openxmlformats.org/officeDocument/2006/relationships/hyperlink" Target="https://www.sec.gov/Archives/edgar/data/0001812364/000119312520190069/d924757dex103.htm" TargetMode="External"/><Relationship Id="rId16" Type="http://schemas.openxmlformats.org/officeDocument/2006/relationships/hyperlink" Target="https://www.sec.gov/Archives/edgar/data/0001812364/000119312520177746/d924757dex104.htm" TargetMode="External"/><Relationship Id="rId17" Type="http://schemas.openxmlformats.org/officeDocument/2006/relationships/hyperlink" Target="https://www.sec.gov/Archives/edgar/data/1812364/000095017025105054/rlay-ex10_1.htm" TargetMode="External"/><Relationship Id="rId18" Type="http://schemas.openxmlformats.org/officeDocument/2006/relationships/hyperlink" Target="https://www.sec.gov/Archives/edgar/data/1812364/000095017025105054/rlay-ex10_1.htm" TargetMode="External"/><Relationship Id="rId19" Type="http://schemas.openxmlformats.org/officeDocument/2006/relationships/hyperlink" Target="https://www.sec.gov/Archives/edgar/data/0001812364/000119312520177746/d924757dex106.htm" TargetMode="External"/><Relationship Id="rId20" Type="http://schemas.openxmlformats.org/officeDocument/2006/relationships/hyperlink" Target="https://www.sec.gov/Archives/edgar/data/0001812364/000119312520190069/d924757dex108.htm" TargetMode="External"/><Relationship Id="rId21" Type="http://schemas.openxmlformats.org/officeDocument/2006/relationships/hyperlink" Target="https://www.sec.gov/Archives/edgar/data/0001812364/000119312520177746/d924757dex109.htm" TargetMode="External"/><Relationship Id="rId22" Type="http://schemas.openxmlformats.org/officeDocument/2006/relationships/hyperlink" Target="https://www.sec.gov/Archives/edgar/data/0001812364/000119312520177746/d924757dex1010.htm" TargetMode="External"/><Relationship Id="rId23" Type="http://schemas.openxmlformats.org/officeDocument/2006/relationships/hyperlink" Target="https://www.sec.gov/Archives/edgar/data/0001812364/000119312521137130/d132252dex1010.htm" TargetMode="External"/><Relationship Id="rId24" Type="http://schemas.openxmlformats.org/officeDocument/2006/relationships/hyperlink" Target="https://www.sec.gov/Archives/edgar/data/0001812364/000156459021027601/rlay-ex104_188.htm" TargetMode="External"/><Relationship Id="rId25" Type="http://schemas.openxmlformats.org/officeDocument/2006/relationships/hyperlink" Target="https://www.sec.gov/Archives/edgar/data/1812364/000095017022007873/rlay-ex10_1.htm" TargetMode="External"/><Relationship Id="rId26" Type="http://schemas.openxmlformats.org/officeDocument/2006/relationships/hyperlink" Target="https://www.sec.gov/Archives/edgar/data/1812364/000095017022007873/rlay-ex10_1.htm" TargetMode="External"/><Relationship Id="rId27" Type="http://schemas.openxmlformats.org/officeDocument/2006/relationships/hyperlink" Target="https://www.sec.gov/Archives/edgar/data/1812364/000095017023039874/rlay-ex10_1.htm" TargetMode="External"/><Relationship Id="rId28" Type="http://schemas.openxmlformats.org/officeDocument/2006/relationships/hyperlink" Target="https://www.sec.gov/Archives/edgar/data/1812364/000095017023039874/rlay-ex10_1.htm" TargetMode="External"/><Relationship Id="rId29" Type="http://schemas.openxmlformats.org/officeDocument/2006/relationships/hyperlink" Target="https://www.sec.gov/Archives/edgar/data/1812364/000095017023058237/rlay-ex10_1.htm" TargetMode="External"/><Relationship Id="rId30" Type="http://schemas.openxmlformats.org/officeDocument/2006/relationships/hyperlink" Target="https://www.sec.gov/Archives/edgar/data/1812364/000095017023058237/rlay-ex10_1.htm" TargetMode="External"/><Relationship Id="rId31" Type="http://schemas.openxmlformats.org/officeDocument/2006/relationships/hyperlink" Target="https://www.sec.gov/Archives/edgar/data/0001812364/000119312521137130/d132252dex1014.htm" TargetMode="External"/><Relationship Id="rId32" Type="http://schemas.openxmlformats.org/officeDocument/2006/relationships/hyperlink" Target="https://www.sec.gov/Archives/edgar/data/0001812364/000156459021043999/rlay-ex105_91.htm" TargetMode="External"/><Relationship Id="rId33" Type="http://schemas.openxmlformats.org/officeDocument/2006/relationships/hyperlink" Target="https://www.sec.gov/Archives/edgar/data/1812364/000095017025027756/rlay-ex19_1.htm" TargetMode="External"/><Relationship Id="rId34" Type="http://schemas.openxmlformats.org/officeDocument/2006/relationships/hyperlink" Target="https://www.sec.gov/Archives/edgar/data/1812364/000095017024018797/rlay-ex97_1.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96348</Words>
  <Characters>541148</Characters>
  <CharactersWithSpaces>638104</CharactersWithSpaces>
  <Paragraphs>8110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