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Catinazzo Thomas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RELAY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 HAMPSHIRE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CAMBRIDGE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02139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Relay Therapeutics, Inc.</w:t>
              </w:r>
            </w:hyperlink>
            <w:r>
              <w:rPr/>
              <w:t xml:space="preserve"> [ </w:t>
            </w:r>
            <w:r>
              <w:rPr>
                <w:rFonts w:ascii="Times;serif" w:hAnsi="Times;serif"/>
                <w:color w:val="0000FF"/>
                <w:sz w:val="24"/>
                <w:shd w:fill="FFFFFF" w:val="clear"/>
              </w:rPr>
              <w:t>RLAY</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07/28/2026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64"/>
        <w:gridCol w:w="905"/>
        <w:gridCol w:w="774"/>
        <w:gridCol w:w="601"/>
        <w:gridCol w:w="348"/>
        <w:gridCol w:w="888"/>
        <w:gridCol w:w="454"/>
        <w:gridCol w:w="755"/>
        <w:gridCol w:w="1195"/>
        <w:gridCol w:w="997"/>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6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9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6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8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6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07/28/2026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1,459</w:t>
            </w:r>
            <w:r>
              <w:rPr>
                <w:rFonts w:ascii="Times;serif" w:hAnsi="Times;serif"/>
                <w:color w:val="008000"/>
                <w:position w:val="7"/>
                <w:sz w:val="16"/>
                <w:sz w:val="20"/>
                <w:shd w:fill="FFFFFF" w:val="clear"/>
              </w:rPr>
              <w:t>(1)</w:t>
            </w:r>
          </w:p>
        </w:tc>
        <w:tc>
          <w:tcPr>
            <w:tcW w:w="4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18.61</w:t>
            </w:r>
          </w:p>
        </w:tc>
        <w:tc>
          <w:tcPr>
            <w:tcW w:w="119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158,285</w:t>
            </w:r>
            <w:r>
              <w:rPr>
                <w:rFonts w:ascii="Times;serif" w:hAnsi="Times;serif"/>
                <w:color w:val="008000"/>
                <w:position w:val="7"/>
                <w:sz w:val="16"/>
                <w:sz w:val="20"/>
                <w:shd w:fill="FFFFFF" w:val="clear"/>
              </w:rPr>
              <w:t>(2)</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Sale of shares to cover the reporting person's income tax withholding obligations upon the vesting of 3,269 shares of restricted stock units ("RSUs") on July 27, 2026. The reporting person had no discretion with respect to such sale, which was transacted in accordance with the Issuer's policies regarding the vesting of RSUs.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6,538 shares underlying RSUs.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Soo-Yeun Lim,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07/30/2026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18261" TargetMode="External"/><Relationship Id="rId5" Type="http://schemas.openxmlformats.org/officeDocument/2006/relationships/hyperlink" Target="http://www.sec.gov/cgi-bin/browse-edgar?action=getcompany&amp;CIK=000181236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625</Words>
  <Characters>3421</Characters>
  <CharactersWithSpaces>3977</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