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lay-20260630.htm"/>
      <w:bookmarkStart w:id="1" w:name="ksrlay20260630"/>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7"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001-39385</w:t>
      </w:r>
    </w:p>
    <w:p>
      <w:pPr>
        <w:pStyle w:val="TextBody"/>
        <w:pBdr>
          <w:bottom w:val="single" w:sz="7" w:space="1" w:color="000000"/>
        </w:pBdr>
        <w:bidi w:val="0"/>
        <w:jc w:val="center"/>
        <w:rPr/>
      </w:pPr>
      <w:r>
        <w:rPr/>
        <w:t> </w:t>
      </w:r>
    </w:p>
    <w:p>
      <w:pPr>
        <w:pStyle w:val="TextBody"/>
        <w:bidi w:val="0"/>
        <w:spacing w:before="80" w:after="283"/>
        <w:jc w:val="center"/>
        <w:rPr>
          <w:rFonts w:ascii="Times New Roman" w:hAnsi="Times New Roman"/>
          <w:b/>
          <w:color w:val="000000"/>
          <w:sz w:val="43"/>
        </w:rPr>
      </w:pPr>
      <w:r>
        <w:rPr>
          <w:rFonts w:ascii="Times New Roman" w:hAnsi="Times New Roman"/>
          <w:b/>
          <w:color w:val="000000"/>
          <w:sz w:val="43"/>
        </w:rPr>
        <w:t>RELAY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7" w:space="1" w:color="000000"/>
        </w:pBdr>
        <w:bidi w:val="0"/>
        <w:jc w:val="center"/>
        <w:rPr/>
      </w:pPr>
      <w:r>
        <w:rPr/>
        <w:t> </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47-3923475</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60 Hampshire Street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Cambridge, MA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02139</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(617) 370-8837</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7" w:space="1" w:color="000000"/>
        </w:pBdr>
        <w:bidi w:val="0"/>
        <w:jc w:val="center"/>
        <w:rPr/>
      </w:pPr>
      <w:r>
        <w:rPr/>
        <w:t>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6401" w:type="dxa"/>
        <w:jc w:val="left"/>
        <w:tblInd w:w="0" w:type="dxa"/>
        <w:tblLayout w:type="fixed"/>
        <w:tblCellMar>
          <w:top w:w="28" w:type="dxa"/>
          <w:left w:w="28" w:type="dxa"/>
          <w:bottom w:w="28" w:type="dxa"/>
          <w:right w:w="28" w:type="dxa"/>
        </w:tblCellMar>
      </w:tblPr>
      <w:tblGrid>
        <w:gridCol w:w="3436"/>
        <w:gridCol w:w="109"/>
        <w:gridCol w:w="826"/>
        <w:gridCol w:w="109"/>
        <w:gridCol w:w="1921"/>
      </w:tblGrid>
      <w:tr>
        <w:trPr/>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RLAY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1666"/>
        <w:gridCol w:w="109"/>
        <w:gridCol w:w="316"/>
        <w:gridCol w:w="109"/>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219,141,631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18"/>
        </w:rPr>
      </w:pPr>
      <w:r>
        <w:rPr>
          <w:rFonts w:ascii="Times New Roman" w:hAnsi="Times New Roman"/>
          <w:b/>
          <w:color w:val="000000"/>
          <w:sz w:val="18"/>
        </w:rPr>
        <w:t>Table of Contents</w:t>
      </w:r>
    </w:p>
    <w:tbl>
      <w:tblPr>
        <w:tblW w:w="8275" w:type="dxa"/>
        <w:jc w:val="left"/>
        <w:tblInd w:w="0" w:type="dxa"/>
        <w:tblLayout w:type="fixed"/>
        <w:tblCellMar>
          <w:top w:w="28" w:type="dxa"/>
          <w:left w:w="28" w:type="dxa"/>
          <w:bottom w:w="28" w:type="dxa"/>
          <w:right w:w="28" w:type="dxa"/>
        </w:tblCellMar>
      </w:tblPr>
      <w:tblGrid>
        <w:gridCol w:w="856"/>
        <w:gridCol w:w="266"/>
        <w:gridCol w:w="6676"/>
        <w:gridCol w:w="146"/>
        <w:gridCol w:w="331"/>
      </w:tblGrid>
      <w:tr>
        <w:trPr/>
        <w:tc>
          <w:tcPr>
            <w:tcW w:w="8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Page</w:t>
            </w:r>
          </w:p>
        </w:tc>
      </w:tr>
      <w:tr>
        <w:trPr/>
        <w:tc>
          <w:tcPr>
            <w:tcW w:w="8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PART I.</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120" w:after="283"/>
              <w:ind w:left="0" w:right="0" w:firstLine="180"/>
              <w:jc w:val="left"/>
              <w:rPr/>
            </w:pPr>
            <w:hyperlink w:anchor="part_ifinancial_information">
              <w:r>
                <w:rPr>
                  <w:rStyle w:val="InternetLink"/>
                  <w:rFonts w:ascii="Times New Roman" w:hAnsi="Times New Roman"/>
                  <w:color w:val="0563C1"/>
                  <w:sz w:val="18"/>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1.</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_financial_statements">
              <w:r>
                <w:rPr>
                  <w:rStyle w:val="InternetLink"/>
                  <w:rFonts w:ascii="Times New Roman" w:hAnsi="Times New Roman"/>
                  <w:color w:val="0563C1"/>
                  <w:sz w:val="18"/>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balance_sheets">
              <w:r>
                <w:rPr>
                  <w:rStyle w:val="InternetLink"/>
                  <w:rFonts w:ascii="Times New Roman" w:hAnsi="Times New Roman"/>
                  <w:color w:val="0563C1"/>
                  <w:sz w:val="18"/>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operations_compr">
              <w:r>
                <w:rPr>
                  <w:rStyle w:val="InternetLink"/>
                  <w:rFonts w:ascii="Times New Roman" w:hAnsi="Times New Roman"/>
                  <w:color w:val="0563C1"/>
                  <w:sz w:val="18"/>
                  <w:u w:val="single"/>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convertible_pref">
              <w:r>
                <w:rPr>
                  <w:rStyle w:val="InternetLink"/>
                  <w:rFonts w:ascii="Times New Roman" w:hAnsi="Times New Roman"/>
                  <w:color w:val="0563C1"/>
                  <w:sz w:val="18"/>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onsolidated_statements_cash_flows">
              <w:r>
                <w:rPr>
                  <w:rStyle w:val="InternetLink"/>
                  <w:rFonts w:ascii="Times New Roman" w:hAnsi="Times New Roman"/>
                  <w:color w:val="0563C1"/>
                  <w:sz w:val="18"/>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notes_to_consolidated_financial_statemen">
              <w:r>
                <w:rPr>
                  <w:rStyle w:val="InternetLink"/>
                  <w:rFonts w:ascii="Times New Roman" w:hAnsi="Times New Roman"/>
                  <w:color w:val="0563C1"/>
                  <w:sz w:val="18"/>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managements_discussion_and_analysis">
              <w:r>
                <w:rPr>
                  <w:rStyle w:val="InternetLink"/>
                  <w:rFonts w:ascii="Times New Roman" w:hAnsi="Times New Roman"/>
                  <w:color w:val="0563C1"/>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3.</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3_quantitative_qualitative_disclosu">
              <w:r>
                <w:rPr>
                  <w:rStyle w:val="InternetLink"/>
                  <w:rFonts w:ascii="Times New Roman" w:hAnsi="Times New Roman"/>
                  <w:color w:val="0563C1"/>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4.</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4_controls_and_procedure">
              <w:r>
                <w:rPr>
                  <w:rStyle w:val="InternetLink"/>
                  <w:rFonts w:ascii="Times New Roman" w:hAnsi="Times New Roman"/>
                  <w:color w:val="0563C1"/>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part_ii_or_information">
              <w:r>
                <w:rPr>
                  <w:rStyle w:val="InternetLink"/>
                  <w:rFonts w:ascii="Times New Roman" w:hAnsi="Times New Roman"/>
                  <w:color w:val="0563C1"/>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1.</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_legal_proceedings">
              <w:r>
                <w:rPr>
                  <w:rStyle w:val="InternetLink"/>
                  <w:rFonts w:ascii="Times New Roman" w:hAnsi="Times New Roman"/>
                  <w:color w:val="0563C1"/>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1A.</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a_risk_factors">
              <w:r>
                <w:rPr>
                  <w:rStyle w:val="InternetLink"/>
                  <w:rFonts w:ascii="Times New Roman" w:hAnsi="Times New Roman"/>
                  <w:color w:val="0563C1"/>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2_unregistered_sales_equity_securit">
              <w:r>
                <w:rPr>
                  <w:rStyle w:val="InternetLink"/>
                  <w:rFonts w:ascii="Times New Roman" w:hAnsi="Times New Roman"/>
                  <w:color w:val="000080"/>
                  <w:sz w:val="18"/>
                  <w:u w:val="single"/>
                </w:rPr>
                <w:t>Unregistered Sales of Equity Securities and Use of Proceed</w:t>
              </w:r>
            </w:hyperlink>
            <w:r>
              <w:rPr>
                <w:rFonts w:ascii="Times New Roman" w:hAnsi="Times New Roman"/>
                <w:color w:val="0563C1"/>
                <w:sz w:val="18"/>
                <w:u w:val="single"/>
              </w:rPr>
              <w: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5.</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5_other_information">
              <w:r>
                <w:rPr>
                  <w:rStyle w:val="InternetLink"/>
                  <w:rFonts w:ascii="Times New Roman" w:hAnsi="Times New Roman"/>
                  <w:color w:val="0563C1"/>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Item 6.</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676"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exhibits">
              <w:r>
                <w:rPr>
                  <w:rStyle w:val="InternetLink"/>
                  <w:rFonts w:ascii="Times New Roman" w:hAnsi="Times New Roman"/>
                  <w:color w:val="0563C1"/>
                  <w:sz w:val="18"/>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r>
      <w:tr>
        <w:trPr/>
        <w:tc>
          <w:tcPr>
            <w:tcW w:w="779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563C1"/>
                  <w:sz w:val="18"/>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18"/>
        </w:rPr>
        <w:t>Summary of the Material Risks Associated with Our Business</w:t>
      </w:r>
      <w:r>
        <w:rPr>
          <w:rFonts w:ascii="Times New Roman" w:hAnsi="Times New Roman"/>
          <w:caps/>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never successfully completed any large-scale, pivotal clinical trials, and we may be unable to do so for any product candidates we develop. Clinical product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If we experience delays or difficulties in the enrollment of patients in clinical trials, our receipt of necessary regulatory approvals could be delayed or prevented.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current or future clinical trials or those of future collaborators or licensees may reveal significant adverse events not seen in our preclinical or nonclinical studies or early clinical data and may result in a safety profile that would inhibit regulatory approval or market acceptance of any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face substantial competition, which may result in others discovering, developing or commercializing products before or more successfully than we do.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relied on, and expect to continue to rely on, third parties to conduct our current and future clinical trials of our product candidates, as well as investigator-sponsored clinical trials of our product candidates and any investigational products.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will need to raise substantial additional funding. If we are unable to raise capital when needed, we would be forced to delay, reduce or eliminate some of our product development programs or commercialization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This Quarterly Report on Form 10-Q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implied or express statements about: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safety and efficacy of our product candidates and the therapeutic implications of clinical and preclinical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manufacture of our drug substances, delivery vehicles, and product candidates for preclinical use, for clinical trials, and, on a larger scale, for commercial use,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relationships with our third-party strategic collaborators and licensees and their ability to continue research and development and commercialization activities relating to our development candidates and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funding for our operations necessary to complete further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plans to seek regulatory approval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pricing and reimbursement of our product candidates,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implementation of our business model and strategic plans for our business,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protection for intellectual property rights covering our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estimates of our future expenses, revenues, capital requirements, and our needs for additional financing;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potential benefits of strategic collaboration and/or license agreements with collaborators and/or licensees with development, regulatory, and commercialization expertise;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agreements with third parties in connection with the commercialization of product candidates and any other approved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size and growth potential of the markets for our product candidates, and our ability to serve those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financial performance;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rate and degree of market acceptance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regulatory developments in the United States and foreign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contract with third-party suppliers and manufacturers and their ability to perform adequately;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produce our products or product candidates with advantages in turnaround times or manufacturing cost;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competing therapies that are or may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and retain key scientific, clinical, or management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laws and regulations on our business and programs;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relating to our competitors and our industry;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risks and uncertainties, including those listed under the caption "Risk Factors."</w:t>
      </w:r>
    </w:p>
    <w:p>
      <w:pPr>
        <w:pStyle w:val="TextBody"/>
        <w:bidi w:val="0"/>
        <w:spacing w:before="240" w:after="283"/>
        <w:jc w:val="left"/>
        <w:rPr>
          <w:rFonts w:ascii="Times New Roman" w:hAnsi="Times New Roman"/>
          <w:sz w:val="20"/>
        </w:rPr>
      </w:pPr>
      <w:r>
        <w:rPr>
          <w:rFonts w:ascii="Times New Roman" w:hAnsi="Times New Roman"/>
          <w:color w:val="000000"/>
          <w:sz w:val="18"/>
        </w:rPr>
        <w:t>In some cases, you can identify forward-looking statements by terminology such as "may," "can," "should," "expects," "intends," "plans," "anticipates," "believes," "estimates," "forecasts," "goal," "likely," "predicts," "potential," "projects," "will," "might," "could," "continue,"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those listed below under the section 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or the SEC, as exhibits hereto completely and with the understanding that our actual future results may be materially different from any future results expressed or implied by these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and elsewhere in this Quarterly Report on Form 10-Q.</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 w:name="part_ifinancial_information"/>
      <w:bookmarkEnd w:id="2"/>
      <w:r>
        <w:rPr>
          <w:rFonts w:ascii="Times New Roman" w:hAnsi="Times New Roman"/>
          <w:b/>
          <w:color w:val="000000"/>
          <w:sz w:val="18"/>
        </w:rPr>
        <w:t>PART I—FINANCIAL INFORMATION</w:t>
      </w:r>
    </w:p>
    <w:p>
      <w:pPr>
        <w:pStyle w:val="TextBody"/>
        <w:bidi w:val="0"/>
        <w:spacing w:before="220" w:after="283"/>
        <w:jc w:val="left"/>
        <w:rPr>
          <w:rFonts w:ascii="Times New Roman" w:hAnsi="Times New Roman"/>
          <w:b/>
          <w:color w:val="000000"/>
          <w:sz w:val="18"/>
        </w:rPr>
      </w:pPr>
      <w:bookmarkStart w:id="3" w:name="item_1_financial_statements"/>
      <w:bookmarkEnd w:id="3"/>
      <w:r>
        <w:rPr>
          <w:rFonts w:ascii="Times New Roman" w:hAnsi="Times New Roman"/>
          <w:b/>
          <w:color w:val="000000"/>
          <w:sz w:val="18"/>
        </w:rPr>
        <w:t>Item 1. Financial Statements.</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color w:val="000000"/>
          <w:sz w:val="18"/>
        </w:rPr>
      </w:pPr>
      <w:bookmarkStart w:id="4" w:name="consolidated_balance_sheets"/>
      <w:bookmarkEnd w:id="4"/>
      <w:r>
        <w:rPr>
          <w:rFonts w:ascii="Times New Roman" w:hAnsi="Times New Roman"/>
          <w:color w:val="000000"/>
          <w:sz w:val="18"/>
        </w:rPr>
        <w:t>Condensed Consolidated Balance Sheets</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amounts)</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9827" w:type="dxa"/>
        <w:jc w:val="left"/>
        <w:tblInd w:w="0" w:type="dxa"/>
        <w:tblLayout w:type="fixed"/>
        <w:tblCellMar>
          <w:top w:w="28" w:type="dxa"/>
          <w:left w:w="28" w:type="dxa"/>
          <w:bottom w:w="28" w:type="dxa"/>
          <w:right w:w="28" w:type="dxa"/>
        </w:tblCellMar>
      </w:tblPr>
      <w:tblGrid>
        <w:gridCol w:w="6681"/>
        <w:gridCol w:w="146"/>
        <w:gridCol w:w="196"/>
        <w:gridCol w:w="886"/>
        <w:gridCol w:w="166"/>
        <w:gridCol w:w="146"/>
        <w:gridCol w:w="220"/>
        <w:gridCol w:w="995"/>
        <w:gridCol w:w="391"/>
      </w:tblGrid>
      <w:tr>
        <w:trPr/>
        <w:tc>
          <w:tcPr>
            <w:tcW w:w="6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578,279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Undesignated 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 xml:space="preserve">shares authorized </w:t>
              <w:br/>
              <w:t>  as of June 30, 2026 and December 31, 2025; no</w:t>
            </w:r>
            <w:r>
              <w:rPr>
                <w:rFonts w:ascii="Times New Roman" w:hAnsi="Times New Roman"/>
                <w:color w:val="000000"/>
                <w:sz w:val="20"/>
              </w:rPr>
              <w:t> </w:t>
            </w:r>
            <w:r>
              <w:rPr>
                <w:rFonts w:ascii="Times New Roman" w:hAnsi="Times New Roman"/>
                <w:color w:val="000000"/>
                <w:sz w:val="18"/>
              </w:rPr>
              <w:t>shares issued and outstanding</w:t>
              <w:br/>
              <w:t>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450,000,000</w:t>
            </w:r>
            <w:r>
              <w:rPr>
                <w:rFonts w:ascii="Times New Roman" w:hAnsi="Times New Roman"/>
                <w:color w:val="000000"/>
                <w:sz w:val="20"/>
              </w:rPr>
              <w:t> </w:t>
            </w:r>
            <w:r>
              <w:rPr>
                <w:rFonts w:ascii="Times New Roman" w:hAnsi="Times New Roman"/>
                <w:color w:val="000000"/>
                <w:sz w:val="18"/>
              </w:rPr>
              <w:t>and 300,000,000</w:t>
            </w:r>
            <w:r>
              <w:rPr>
                <w:rFonts w:ascii="Times New Roman" w:hAnsi="Times New Roman"/>
                <w:color w:val="000000"/>
                <w:sz w:val="20"/>
              </w:rPr>
              <w:t> </w:t>
            </w:r>
            <w:r>
              <w:rPr>
                <w:rFonts w:ascii="Times New Roman" w:hAnsi="Times New Roman"/>
                <w:color w:val="000000"/>
                <w:sz w:val="18"/>
              </w:rPr>
              <w:t>shares authorized as of</w:t>
              <w:br/>
              <w:t>   June 30, 2026, and December 31, 2025, respectively; 218,531,200</w:t>
            </w:r>
            <w:r>
              <w:rPr>
                <w:rFonts w:ascii="Times New Roman" w:hAnsi="Times New Roman"/>
                <w:color w:val="000000"/>
                <w:sz w:val="20"/>
              </w:rPr>
              <w:t> </w:t>
            </w:r>
            <w:r>
              <w:rPr>
                <w:rFonts w:ascii="Times New Roman" w:hAnsi="Times New Roman"/>
                <w:color w:val="000000"/>
                <w:sz w:val="18"/>
              </w:rPr>
              <w:t>and 173,868,949</w:t>
              <w:br/>
              <w:t>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(2,014,769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color w:val="000000"/>
          <w:sz w:val="18"/>
        </w:rPr>
      </w:pPr>
      <w:bookmarkStart w:id="5" w:name="consolidated_statements_operations_compr"/>
      <w:bookmarkEnd w:id="5"/>
      <w:r>
        <w:rPr>
          <w:rFonts w:ascii="Times New Roman" w:hAnsi="Times New Roman"/>
          <w:color w:val="000000"/>
          <w:sz w:val="18"/>
        </w:rPr>
        <w:t>Condensed Consolidated Statements of Operations and Comprehensive Loss</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data)</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724"/>
        <w:gridCol w:w="146"/>
        <w:gridCol w:w="196"/>
        <w:gridCol w:w="1006"/>
        <w:gridCol w:w="166"/>
        <w:gridCol w:w="146"/>
        <w:gridCol w:w="196"/>
        <w:gridCol w:w="1006"/>
        <w:gridCol w:w="166"/>
        <w:gridCol w:w="146"/>
        <w:gridCol w:w="196"/>
        <w:gridCol w:w="1006"/>
        <w:gridCol w:w="166"/>
        <w:gridCol w:w="146"/>
        <w:gridCol w:w="196"/>
        <w:gridCol w:w="1006"/>
        <w:gridCol w:w="59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202,849,466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171,264,622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191,412,839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170,254,500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holding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sz w:val="20"/>
        </w:rPr>
      </w:pPr>
      <w:bookmarkStart w:id="6" w:name="consolidated_statements_convertible_pref"/>
      <w:bookmarkEnd w:id="6"/>
      <w:r>
        <w:rPr>
          <w:rFonts w:ascii="Times New Roman" w:hAnsi="Times New Roman"/>
          <w:color w:val="000000"/>
          <w:sz w:val="18"/>
        </w:rPr>
        <w:t>Condensed Consolidated Statements of</w:t>
      </w:r>
      <w:r>
        <w:rPr>
          <w:rFonts w:ascii="Times New Roman" w:hAnsi="Times New Roman"/>
          <w:color w:val="000000"/>
          <w:sz w:val="20"/>
        </w:rPr>
        <w:t xml:space="preserve"> </w:t>
      </w:r>
      <w:r>
        <w:rPr>
          <w:rFonts w:ascii="Times New Roman" w:hAnsi="Times New Roman"/>
          <w:color w:val="000000"/>
          <w:sz w:val="18"/>
        </w:rPr>
        <w:t>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data)</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542"/>
        <w:gridCol w:w="146"/>
        <w:gridCol w:w="146"/>
        <w:gridCol w:w="1006"/>
        <w:gridCol w:w="146"/>
        <w:gridCol w:w="146"/>
        <w:gridCol w:w="213"/>
        <w:gridCol w:w="409"/>
        <w:gridCol w:w="146"/>
        <w:gridCol w:w="146"/>
        <w:gridCol w:w="196"/>
        <w:gridCol w:w="826"/>
        <w:gridCol w:w="146"/>
        <w:gridCol w:w="146"/>
        <w:gridCol w:w="260"/>
        <w:gridCol w:w="761"/>
        <w:gridCol w:w="166"/>
        <w:gridCol w:w="146"/>
        <w:gridCol w:w="196"/>
        <w:gridCol w:w="886"/>
        <w:gridCol w:w="166"/>
        <w:gridCol w:w="146"/>
        <w:gridCol w:w="199"/>
        <w:gridCol w:w="705"/>
        <w:gridCol w:w="214"/>
      </w:tblGrid>
      <w:tr>
        <w:trPr/>
        <w:tc>
          <w:tcPr>
            <w:tcW w:w="2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173,868,949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at-the-market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14,141,569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189,209,453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642,183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at-the-market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follow-on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26,354,167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218,531,200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890,009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2"/>
        <w:gridCol w:w="146"/>
        <w:gridCol w:w="146"/>
        <w:gridCol w:w="1006"/>
        <w:gridCol w:w="146"/>
        <w:gridCol w:w="146"/>
        <w:gridCol w:w="213"/>
        <w:gridCol w:w="409"/>
        <w:gridCol w:w="146"/>
        <w:gridCol w:w="146"/>
        <w:gridCol w:w="196"/>
        <w:gridCol w:w="826"/>
        <w:gridCol w:w="146"/>
        <w:gridCol w:w="146"/>
        <w:gridCol w:w="283"/>
        <w:gridCol w:w="738"/>
        <w:gridCol w:w="166"/>
        <w:gridCol w:w="146"/>
        <w:gridCol w:w="196"/>
        <w:gridCol w:w="886"/>
        <w:gridCol w:w="166"/>
        <w:gridCol w:w="146"/>
        <w:gridCol w:w="199"/>
        <w:gridCol w:w="705"/>
        <w:gridCol w:w="214"/>
      </w:tblGrid>
      <w:tr>
        <w:trPr/>
        <w:tc>
          <w:tcPr>
            <w:tcW w:w="2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167,755,715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777,792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(77,065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170,483,872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721,081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171,692,132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2,551,383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(1,885,730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665,658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color w:val="000000"/>
          <w:sz w:val="18"/>
        </w:rPr>
      </w:pPr>
      <w:bookmarkStart w:id="7" w:name="consolidated_statements_cash_flows"/>
      <w:bookmarkEnd w:id="7"/>
      <w:r>
        <w:rPr>
          <w:rFonts w:ascii="Times New Roman" w:hAnsi="Times New Roman"/>
          <w:color w:val="000000"/>
          <w:sz w:val="18"/>
        </w:rPr>
        <w:t>Condensed Consolidated Statements of Cash Flows</w:t>
      </w:r>
    </w:p>
    <w:p>
      <w:pPr>
        <w:pStyle w:val="TextBody"/>
        <w:bidi w:val="0"/>
        <w:jc w:val="center"/>
        <w:rPr>
          <w:rFonts w:ascii="Times New Roman" w:hAnsi="Times New Roman"/>
          <w:color w:val="000000"/>
          <w:sz w:val="18"/>
        </w:rPr>
      </w:pPr>
      <w:r>
        <w:rPr>
          <w:rFonts w:ascii="Times New Roman" w:hAnsi="Times New Roman"/>
          <w:color w:val="000000"/>
          <w:sz w:val="18"/>
        </w:rPr>
        <w:t>(In thousands)</w:t>
      </w:r>
    </w:p>
    <w:p>
      <w:pPr>
        <w:pStyle w:val="TextBody"/>
        <w:bidi w:val="0"/>
        <w:spacing w:before="0" w:after="240"/>
        <w:jc w:val="center"/>
        <w:rPr>
          <w:rFonts w:ascii="Times New Roman" w:hAnsi="Times New Roman"/>
          <w:color w:val="000000"/>
          <w:sz w:val="18"/>
        </w:rPr>
      </w:pPr>
      <w:r>
        <w:rPr>
          <w:rFonts w:ascii="Times New Roman" w:hAnsi="Times New Roman"/>
          <w:color w:val="000000"/>
          <w:sz w:val="18"/>
        </w:rPr>
        <w:t>(Unaudited)</w:t>
      </w:r>
    </w:p>
    <w:tbl>
      <w:tblPr>
        <w:tblW w:w="8709" w:type="dxa"/>
        <w:jc w:val="left"/>
        <w:tblInd w:w="0" w:type="dxa"/>
        <w:tblLayout w:type="fixed"/>
        <w:tblCellMar>
          <w:top w:w="28" w:type="dxa"/>
          <w:left w:w="28" w:type="dxa"/>
          <w:bottom w:w="28" w:type="dxa"/>
          <w:right w:w="28" w:type="dxa"/>
        </w:tblCellMar>
      </w:tblPr>
      <w:tblGrid>
        <w:gridCol w:w="5946"/>
        <w:gridCol w:w="146"/>
        <w:gridCol w:w="196"/>
        <w:gridCol w:w="751"/>
        <w:gridCol w:w="166"/>
        <w:gridCol w:w="146"/>
        <w:gridCol w:w="196"/>
        <w:gridCol w:w="751"/>
        <w:gridCol w:w="411"/>
      </w:tblGrid>
      <w:tr>
        <w:trPr/>
        <w:tc>
          <w:tcPr>
            <w:tcW w:w="5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amortization of premiums and discounts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and sales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at-the-market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follow-on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Periodic change in additions of property and equipment within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Periodic change in costs to obtain license agreement within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Reconciliation of Cash, Cash Equivalents, and Restricted Cash from Balance Sheets to Statement of Cash Flows</w:t>
      </w:r>
    </w:p>
    <w:tbl>
      <w:tblPr>
        <w:tblW w:w="7579" w:type="dxa"/>
        <w:jc w:val="left"/>
        <w:tblInd w:w="0" w:type="dxa"/>
        <w:tblLayout w:type="fixed"/>
        <w:tblCellMar>
          <w:top w:w="28" w:type="dxa"/>
          <w:left w:w="28" w:type="dxa"/>
          <w:bottom w:w="28" w:type="dxa"/>
          <w:right w:w="28" w:type="dxa"/>
        </w:tblCellMar>
      </w:tblPr>
      <w:tblGrid>
        <w:gridCol w:w="5176"/>
        <w:gridCol w:w="146"/>
        <w:gridCol w:w="196"/>
        <w:gridCol w:w="691"/>
        <w:gridCol w:w="146"/>
        <w:gridCol w:w="146"/>
        <w:gridCol w:w="196"/>
        <w:gridCol w:w="69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per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Relay Therapeutics,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color w:val="000000"/>
          <w:sz w:val="18"/>
        </w:rPr>
        <w:t>Notes to Condensed Consolidated</w:t>
      </w:r>
      <w:r>
        <w:rPr>
          <w:rFonts w:ascii="Times New Roman" w:hAnsi="Times New Roman"/>
          <w:color w:val="000000"/>
          <w:sz w:val="20"/>
        </w:rPr>
        <w:t xml:space="preserve"> </w:t>
      </w:r>
      <w:r>
        <w:rPr>
          <w:rFonts w:ascii="Times New Roman" w:hAnsi="Times New Roman"/>
          <w:color w:val="000000"/>
          <w:sz w:val="18"/>
        </w:rPr>
        <w:t>Financial Statements</w:t>
      </w:r>
    </w:p>
    <w:p>
      <w:pPr>
        <w:pStyle w:val="TextBody"/>
        <w:bidi w:val="0"/>
        <w:jc w:val="center"/>
        <w:rPr>
          <w:rFonts w:ascii="Times New Roman" w:hAnsi="Times New Roman"/>
          <w:color w:val="000000"/>
          <w:sz w:val="18"/>
        </w:rPr>
      </w:pPr>
      <w:r>
        <w:rPr>
          <w:rFonts w:ascii="Times New Roman" w:hAnsi="Times New Roman"/>
          <w:color w:val="000000"/>
          <w:sz w:val="18"/>
        </w:rPr>
        <w:t>(In thousands, except share and per share data)</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1. Nature of Business and Basis of Presentation</w:t>
      </w:r>
    </w:p>
    <w:p>
      <w:pPr>
        <w:pStyle w:val="TextBody"/>
        <w:bidi w:val="0"/>
        <w:jc w:val="left"/>
        <w:rPr>
          <w:rFonts w:ascii="Times New Roman" w:hAnsi="Times New Roman"/>
          <w:sz w:val="20"/>
        </w:rPr>
      </w:pPr>
      <w:r>
        <w:rPr>
          <w:rFonts w:ascii="Times New Roman" w:hAnsi="Times New Roman"/>
          <w:color w:val="000000"/>
          <w:sz w:val="18"/>
        </w:rPr>
        <w:t>Relay Therapeutics, Inc. (the "Company") was incorporated in Delaware on May 4, 2015 and is headquartered in Cambridge, Massachusetts. The Company is a clinical-stage, small molecule precision medicine company developing potentially life-changing therapies for patients living with cancer and genetic disease. The Company’s Dynamo® platform integrates an array of leading-edge computational and experimental approaches designed to drug protein targets that have previously been intractable or inadequately addressed. The Company’s focus is on enhancing small molecule therapeutic discovery in targeted oncology and genetic disease indications. The Company’s lead product candidate, zovegalisib (RLY-2608), is in clinical development. The Company has also initiated a clinical trial studying its NRAS-selective inhibitor, RLY-8161, in patients with NRAS-mutant melanoma and other NRAS-mutant solid tumors. Additionally, the Company is advancing its non-inhibitory chaperone for Fabry disease as well as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devoted substantially all of its resources to developing its product candidates by integrating its computational and experimental approaches, building its intellectual property portfolio, business planning, raising capital and providing general and administrative support for these operations.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incurred net operating losses since inception and had an accumulated deficit of $2.2</w:t>
      </w:r>
      <w:r>
        <w:rPr>
          <w:rFonts w:ascii="Times New Roman" w:hAnsi="Times New Roman"/>
          <w:color w:val="000000"/>
          <w:sz w:val="20"/>
        </w:rPr>
        <w:t xml:space="preserve"> </w:t>
      </w:r>
      <w:r>
        <w:rPr>
          <w:rFonts w:ascii="Times New Roman" w:hAnsi="Times New Roman"/>
          <w:color w:val="000000"/>
          <w:sz w:val="18"/>
        </w:rPr>
        <w:t>billion as of June 30, 2026. The Company expects that its existing cash, cash equivalents, and investments as of June 30, 2026</w:t>
      </w:r>
      <w:r>
        <w:rPr>
          <w:rFonts w:ascii="Times New Roman" w:hAnsi="Times New Roman"/>
          <w:color w:val="000000"/>
          <w:sz w:val="20"/>
        </w:rPr>
        <w:t xml:space="preserve"> </w:t>
      </w:r>
      <w:r>
        <w:rPr>
          <w:rFonts w:ascii="Times New Roman" w:hAnsi="Times New Roman"/>
          <w:color w:val="000000"/>
          <w:sz w:val="18"/>
        </w:rPr>
        <w:t>will enable it to fund its planned operating expenses and capital expenditures for at least one year from the date of the issuance of these condensed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 Significant Accounting Policies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Basis of Presentation</w:t>
      </w:r>
    </w:p>
    <w:p>
      <w:pPr>
        <w:pStyle w:val="TextBody"/>
        <w:bidi w:val="0"/>
        <w:spacing w:before="240" w:after="283"/>
        <w:jc w:val="left"/>
        <w:rPr>
          <w:rFonts w:ascii="Times New Roman" w:hAnsi="Times New Roman"/>
          <w:sz w:val="20"/>
        </w:rPr>
      </w:pPr>
      <w:r>
        <w:rPr>
          <w:rFonts w:ascii="Times New Roman" w:hAnsi="Times New Roman"/>
          <w:color w:val="000000"/>
          <w:sz w:val="18"/>
        </w:rPr>
        <w:t>The accompanying condensed consolidated financial statements have been prepared in conformity with accounting principles generally accepted in the United States of America ("GAAP") and pursuant to the rules and regulations of the U.S. Securities and Exchange Commission ("SEC") for reporting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condensed consolidated financial statements include the accounts of Relay Therapeutics, Inc. and its wholly-owned subsidiary, Relay Therapeutics Securities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intercompany balances and transactions have been eliminated.</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Unaudited Interim Financial Information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accompanying condensed consolidated balance sheet as of June 30, 2026, the condensed consolidated statements of operations and comprehensive loss for the three and six months ended June 30, 2026 and 2025, the condensed consolidated statements of stockholders’ equity for the three and six months ended June 30, 2026 and 2025, and the condensed consolidated statements of cash flows for the six months ended June 30, 2026 and 2025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condensed consolidated financial position as of June 30, 2026, the condensed consolidated results of its operations for the three and six months ended June 30, 2026 and 2025, and condensed consolidated cash flows for the six months ended June 30, 2026 and 2025. The condensed consolidated financial data and other information disclosed in these notes related to the three and six months ended June 30, 2026 and 2025 are unaudited. The condensed consolidated results for the three and six months ended June 30, 2026 are not necessarily indicative of results to be expected for the year ending December 31, 2026, any other interim periods, or any future year or period.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Use of Estimates</w:t>
      </w:r>
    </w:p>
    <w:p>
      <w:pPr>
        <w:pStyle w:val="TextBody"/>
        <w:bidi w:val="0"/>
        <w:spacing w:before="240" w:after="283"/>
        <w:jc w:val="left"/>
        <w:rPr>
          <w:rFonts w:ascii="Times New Roman" w:hAnsi="Times New Roman"/>
          <w:sz w:val="20"/>
        </w:rPr>
      </w:pPr>
      <w:r>
        <w:rPr>
          <w:rFonts w:ascii="Times New Roman" w:hAnsi="Times New Roman"/>
          <w:color w:val="000000"/>
          <w:sz w:val="18"/>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determination of the transaction price and standalone selling price of performance obligations under Financial Accounting Standards Board ("FASB") Accounting Standards Codification ("ASC") Topic 606, Revenue from Contracts with Customers ("ASC 606"), the accrual of research and development expenses, the valuation of equity instruments, and the incremental borrowing rate for determining operating lease assets and liabilities. Estimates are periodically reviewed in light of changes in circumstances, facts, and experience.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Recently Issued Accounting Pronouncements Not Yet Adopted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November 2024, the FASB issued ASU 2024-03, Income Statement - Reporting Comprehensive Income - Expense Disaggregation Disclosures (Subtopic 220-40), the objective of which is to improve disclosures around an entity's expenses. In particular, the standard will require disclosure of additional information about specific expense categories in the notes to the financial statements on an annual and interim basis. ASU 2024-03 is effective for years beginning after December 15, 2026, as well as for interim periods beginning after December 15, 2027, with early adoption permitted. The Company is currently evaluating the impact of the standard on the presentation of its condensed consolidated financial statements and footnotes.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3. Segment Information</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chief operating decision maker (the "CODM") is the President and Chief Executive Officer</w:t>
      </w:r>
      <w:r>
        <w:rPr>
          <w:rFonts w:ascii="Times New Roman" w:hAnsi="Times New Roman"/>
          <w:color w:val="000000"/>
          <w:sz w:val="20"/>
        </w:rPr>
        <w:t xml:space="preserve"> </w:t>
      </w:r>
      <w:r>
        <w:rPr>
          <w:rFonts w:ascii="Times New Roman" w:hAnsi="Times New Roman"/>
          <w:color w:val="000000"/>
          <w:sz w:val="18"/>
        </w:rPr>
        <w:t>and the Company views its operations as one segment, which is using innovative experimental and computational approaches on protein motion for making medicines to drug protein targets that have previously been intractable or inadequately addressed. The factors used in determining the Company’s segments include the nature of the Company’s operating activities, the organizational and reporting structure, and the type of information provided to and reviewed by the Company’s CODM to allocate resources and evaluate financial performance.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measure of segment assets is reported on the Company’s condensed consolidated balance sheets as total condensed consolidated assets. The Company only operates in the United States and all tangible assets, consisting of property and equipment and operating lease right-of-use assets, are held in the United States.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Company’s CODM uses condensed consolidated net loss to evaluate the Company’s expenditures and monitor budget-to-actual results. In connection therewith, the review of budget-to-actual results is used in assessing performance of the Company’s one operating segment, as well as in establishing resource allocations across the Company.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illustrates information about segment revenue, significant segment expenses, and segment net loss.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4"/>
        <w:gridCol w:w="146"/>
        <w:gridCol w:w="196"/>
        <w:gridCol w:w="661"/>
        <w:gridCol w:w="166"/>
        <w:gridCol w:w="146"/>
        <w:gridCol w:w="196"/>
        <w:gridCol w:w="661"/>
        <w:gridCol w:w="166"/>
        <w:gridCol w:w="146"/>
        <w:gridCol w:w="196"/>
        <w:gridCol w:w="751"/>
        <w:gridCol w:w="166"/>
        <w:gridCol w:w="146"/>
        <w:gridCol w:w="196"/>
        <w:gridCol w:w="751"/>
        <w:gridCol w:w="611"/>
      </w:tblGrid>
      <w:tr>
        <w:trPr/>
        <w:tc>
          <w:tcPr>
            <w:tcW w:w="4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Employee related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in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to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or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expense categories and amounts in the table above align with the segment-level information regularly provided to the CODM.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"Employee related expenses" within research and development expenses excludes stock compensation expense.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"Other expenses" within research and development expenses excludes depreciation expense.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 "General and administrative expenses" excludes stock compensation expense and depreciation expense.</w:t>
      </w:r>
    </w:p>
    <w:p>
      <w:pPr>
        <w:pStyle w:val="TextBody"/>
        <w:bidi w:val="0"/>
        <w:spacing w:before="240" w:after="283"/>
        <w:jc w:val="left"/>
        <w:rPr>
          <w:rFonts w:ascii="Times New Roman" w:hAnsi="Times New Roman"/>
          <w:sz w:val="20"/>
        </w:rPr>
      </w:pPr>
      <w:r>
        <w:rPr>
          <w:rFonts w:ascii="Times New Roman" w:hAnsi="Times New Roman"/>
          <w:b/>
          <w:color w:val="000000"/>
          <w:sz w:val="18"/>
        </w:rPr>
        <w:t>4. Fair Value Measurements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present information about the Company’s financial assets measured at fair value on a recurring basis and indicate the level of the fair value hierarchy utilized to determine such fair values:</w:t>
      </w:r>
    </w:p>
    <w:tbl>
      <w:tblPr>
        <w:tblW w:w="6512" w:type="dxa"/>
        <w:jc w:val="left"/>
        <w:tblInd w:w="0" w:type="dxa"/>
        <w:tblLayout w:type="fixed"/>
        <w:tblCellMar>
          <w:top w:w="28" w:type="dxa"/>
          <w:left w:w="28" w:type="dxa"/>
          <w:bottom w:w="28" w:type="dxa"/>
          <w:right w:w="28" w:type="dxa"/>
        </w:tblCellMar>
      </w:tblPr>
      <w:tblGrid>
        <w:gridCol w:w="1896"/>
        <w:gridCol w:w="146"/>
        <w:gridCol w:w="196"/>
        <w:gridCol w:w="691"/>
        <w:gridCol w:w="146"/>
        <w:gridCol w:w="146"/>
        <w:gridCol w:w="196"/>
        <w:gridCol w:w="691"/>
        <w:gridCol w:w="146"/>
        <w:gridCol w:w="146"/>
        <w:gridCol w:w="196"/>
        <w:gridCol w:w="346"/>
        <w:gridCol w:w="146"/>
        <w:gridCol w:w="146"/>
        <w:gridCol w:w="196"/>
        <w:gridCol w:w="691"/>
        <w:gridCol w:w="391"/>
      </w:tblGrid>
      <w:tr>
        <w:trPr/>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1896"/>
        <w:gridCol w:w="146"/>
        <w:gridCol w:w="196"/>
        <w:gridCol w:w="601"/>
        <w:gridCol w:w="146"/>
        <w:gridCol w:w="146"/>
        <w:gridCol w:w="196"/>
        <w:gridCol w:w="691"/>
        <w:gridCol w:w="146"/>
        <w:gridCol w:w="146"/>
        <w:gridCol w:w="196"/>
        <w:gridCol w:w="346"/>
        <w:gridCol w:w="146"/>
        <w:gridCol w:w="146"/>
        <w:gridCol w:w="196"/>
        <w:gridCol w:w="691"/>
        <w:gridCol w:w="391"/>
      </w:tblGrid>
      <w:tr>
        <w:trPr/>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 determining the fair value of its investments at each date presented above, the Company relied on quoted prices for similar securities in active markets or using other inputs that are observable or can be corroborated by observable market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5. Investments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fair value of available-for-sale investments by type of security was as follows:</w:t>
      </w:r>
    </w:p>
    <w:tbl>
      <w:tblPr>
        <w:tblW w:w="8811"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71"/>
        <w:gridCol w:w="480"/>
        <w:gridCol w:w="146"/>
        <w:gridCol w:w="146"/>
        <w:gridCol w:w="196"/>
        <w:gridCol w:w="571"/>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393,637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789,745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95"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57"/>
        <w:gridCol w:w="494"/>
        <w:gridCol w:w="146"/>
        <w:gridCol w:w="146"/>
        <w:gridCol w:w="271"/>
        <w:gridCol w:w="480"/>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358,363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summarize the Company's available-for-sale debt securities in an unrealized loss position, aggregated by major security type and length of time in a continuous unrealized loss position:</w:t>
      </w:r>
    </w:p>
    <w:tbl>
      <w:tblPr>
        <w:tblW w:w="8527"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196"/>
        <w:gridCol w:w="571"/>
        <w:gridCol w:w="166"/>
        <w:gridCol w:w="146"/>
        <w:gridCol w:w="266"/>
        <w:gridCol w:w="469"/>
        <w:gridCol w:w="146"/>
        <w:gridCol w:w="146"/>
        <w:gridCol w:w="271"/>
        <w:gridCol w:w="480"/>
        <w:gridCol w:w="146"/>
        <w:gridCol w:w="146"/>
        <w:gridCol w:w="196"/>
        <w:gridCol w:w="691"/>
        <w:gridCol w:w="146"/>
        <w:gridCol w:w="146"/>
        <w:gridCol w:w="196"/>
        <w:gridCol w:w="571"/>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8335" w:type="dxa"/>
        <w:jc w:val="left"/>
        <w:tblInd w:w="0" w:type="dxa"/>
        <w:tblLayout w:type="fixed"/>
        <w:tblCellMar>
          <w:top w:w="28" w:type="dxa"/>
          <w:left w:w="28" w:type="dxa"/>
          <w:bottom w:w="28" w:type="dxa"/>
          <w:right w:w="28" w:type="dxa"/>
        </w:tblCellMar>
      </w:tblPr>
      <w:tblGrid>
        <w:gridCol w:w="1696"/>
        <w:gridCol w:w="146"/>
        <w:gridCol w:w="196"/>
        <w:gridCol w:w="601"/>
        <w:gridCol w:w="146"/>
        <w:gridCol w:w="146"/>
        <w:gridCol w:w="325"/>
        <w:gridCol w:w="426"/>
        <w:gridCol w:w="166"/>
        <w:gridCol w:w="146"/>
        <w:gridCol w:w="204"/>
        <w:gridCol w:w="531"/>
        <w:gridCol w:w="146"/>
        <w:gridCol w:w="146"/>
        <w:gridCol w:w="271"/>
        <w:gridCol w:w="480"/>
        <w:gridCol w:w="166"/>
        <w:gridCol w:w="146"/>
        <w:gridCol w:w="196"/>
        <w:gridCol w:w="601"/>
        <w:gridCol w:w="146"/>
        <w:gridCol w:w="146"/>
        <w:gridCol w:w="325"/>
        <w:gridCol w:w="426"/>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As summarized in the tables immediately above, the Company held 102</w:t>
      </w:r>
      <w:r>
        <w:rPr>
          <w:rFonts w:ascii="Times New Roman" w:hAnsi="Times New Roman"/>
          <w:color w:val="000000"/>
          <w:sz w:val="20"/>
        </w:rPr>
        <w:t xml:space="preserve"> </w:t>
      </w:r>
      <w:r>
        <w:rPr>
          <w:rFonts w:ascii="Times New Roman" w:hAnsi="Times New Roman"/>
          <w:color w:val="000000"/>
          <w:sz w:val="18"/>
        </w:rPr>
        <w:t>and 8</w:t>
      </w:r>
      <w:r>
        <w:rPr>
          <w:rFonts w:ascii="Times New Roman" w:hAnsi="Times New Roman"/>
          <w:color w:val="000000"/>
          <w:sz w:val="20"/>
        </w:rPr>
        <w:t xml:space="preserve"> </w:t>
      </w:r>
      <w:r>
        <w:rPr>
          <w:rFonts w:ascii="Times New Roman" w:hAnsi="Times New Roman"/>
          <w:color w:val="000000"/>
          <w:sz w:val="18"/>
        </w:rPr>
        <w:t>debt securities that were in an unrealized loss position as of June 30, 2026 and December 31, 2025, respectively. The unrealized losses at June 30, 2026 and December 31, 2025</w:t>
      </w:r>
      <w:r>
        <w:rPr>
          <w:rFonts w:ascii="Times New Roman" w:hAnsi="Times New Roman"/>
          <w:color w:val="000000"/>
          <w:sz w:val="20"/>
        </w:rPr>
        <w:t xml:space="preserve"> </w:t>
      </w:r>
      <w:r>
        <w:rPr>
          <w:rFonts w:ascii="Times New Roman" w:hAnsi="Times New Roman"/>
          <w:color w:val="000000"/>
          <w:sz w:val="18"/>
        </w:rPr>
        <w:t>were attributable to changes in interest rates and do not represent credit losses. The Company does not intend to sell these securities and it is not more likely than not that it will be required to sell them before recovery of their amortized cost basis.</w:t>
      </w:r>
    </w:p>
    <w:p>
      <w:pPr>
        <w:pStyle w:val="TextBody"/>
        <w:bidi w:val="0"/>
        <w:jc w:val="left"/>
        <w:rPr>
          <w:rFonts w:ascii="Times New Roman" w:hAnsi="Times New Roman"/>
          <w:b/>
          <w:color w:val="000000"/>
          <w:sz w:val="18"/>
        </w:rPr>
      </w:pPr>
      <w:r>
        <w:rPr>
          <w:rFonts w:ascii="Times New Roman" w:hAnsi="Times New Roman"/>
          <w:b/>
          <w:color w:val="000000"/>
          <w:sz w:val="18"/>
        </w:rPr>
        <w:t>6. Common Stock</w:t>
      </w:r>
    </w:p>
    <w:p>
      <w:pPr>
        <w:pStyle w:val="TextBody"/>
        <w:bidi w:val="0"/>
        <w:spacing w:before="240" w:after="283"/>
        <w:jc w:val="left"/>
        <w:rPr>
          <w:rFonts w:ascii="Times New Roman" w:hAnsi="Times New Roman"/>
          <w:sz w:val="20"/>
        </w:rPr>
      </w:pPr>
      <w:r>
        <w:rPr>
          <w:rFonts w:ascii="Times New Roman" w:hAnsi="Times New Roman"/>
          <w:color w:val="000000"/>
          <w:sz w:val="18"/>
        </w:rPr>
        <w:t>In June 2026, the stockholders approved a second amendment to the Company's Fourth Amended and Restated Certificate of Incorporation, as amended, to increase the number of authorized shares of common stock from 300,000,000</w:t>
      </w:r>
      <w:r>
        <w:rPr>
          <w:rFonts w:ascii="Times New Roman" w:hAnsi="Times New Roman"/>
          <w:color w:val="000000"/>
          <w:sz w:val="20"/>
        </w:rPr>
        <w:t xml:space="preserve"> </w:t>
      </w:r>
      <w:r>
        <w:rPr>
          <w:rFonts w:ascii="Times New Roman" w:hAnsi="Times New Roman"/>
          <w:color w:val="000000"/>
          <w:sz w:val="18"/>
        </w:rPr>
        <w:t>to 450,000,000.</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Each share of common stock entitles the stockholder to one vote on all matters submitted to a vote of the Company’s stockholders.</w:t>
      </w:r>
      <w:r>
        <w:rPr>
          <w:rFonts w:ascii="Times New Roman" w:hAnsi="Times New Roman"/>
          <w:color w:val="000000"/>
          <w:sz w:val="20"/>
        </w:rPr>
        <w:t xml:space="preserve"> </w:t>
      </w:r>
      <w:r>
        <w:rPr>
          <w:rFonts w:ascii="Times New Roman" w:hAnsi="Times New Roman"/>
          <w:color w:val="000000"/>
          <w:sz w:val="18"/>
        </w:rPr>
        <w:t>Common stockholders are entitled to receive dividends, as may be declared by the Company’s board of directors. As of June 30, 2026, no</w:t>
      </w:r>
      <w:r>
        <w:rPr>
          <w:rFonts w:ascii="Times New Roman" w:hAnsi="Times New Roman"/>
          <w:color w:val="000000"/>
          <w:sz w:val="20"/>
        </w:rPr>
        <w:t xml:space="preserve"> </w:t>
      </w:r>
      <w:r>
        <w:rPr>
          <w:rFonts w:ascii="Times New Roman" w:hAnsi="Times New Roman"/>
          <w:color w:val="000000"/>
          <w:sz w:val="18"/>
        </w:rPr>
        <w:t>dividends had been declared.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At-the-Market Offerings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the Company entered into a</w:t>
      </w:r>
      <w:r>
        <w:rPr>
          <w:rFonts w:ascii="Times New Roman" w:hAnsi="Times New Roman"/>
          <w:color w:val="000000"/>
          <w:sz w:val="20"/>
        </w:rPr>
        <w:t xml:space="preserve"> </w:t>
      </w:r>
      <w:r>
        <w:rPr>
          <w:rFonts w:ascii="Times New Roman" w:hAnsi="Times New Roman"/>
          <w:color w:val="000000"/>
          <w:sz w:val="18"/>
        </w:rPr>
        <w:t>sales agreement (the “2024 Sales Agreement”) with TD Securities (USA) LLC (“TD Securities”), pursuant to which the Company may offer and sell shares of its common stock having aggregate gross proceeds of up to $250.0</w:t>
      </w:r>
      <w:r>
        <w:rPr>
          <w:rFonts w:ascii="Times New Roman" w:hAnsi="Times New Roman"/>
          <w:color w:val="000000"/>
          <w:sz w:val="20"/>
        </w:rPr>
        <w:t xml:space="preserve"> </w:t>
      </w:r>
      <w:r>
        <w:rPr>
          <w:rFonts w:ascii="Times New Roman" w:hAnsi="Times New Roman"/>
          <w:color w:val="000000"/>
          <w:sz w:val="18"/>
        </w:rPr>
        <w:t>million from time to time in “at-the-market” offerings through TD Securities, as the Company’s sales agent.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no</w:t>
      </w:r>
      <w:r>
        <w:rPr>
          <w:rFonts w:ascii="Times New Roman" w:hAnsi="Times New Roman"/>
          <w:color w:val="000000"/>
          <w:sz w:val="20"/>
        </w:rPr>
        <w:t xml:space="preserve"> </w:t>
      </w:r>
      <w:r>
        <w:rPr>
          <w:rFonts w:ascii="Times New Roman" w:hAnsi="Times New Roman"/>
          <w:color w:val="000000"/>
          <w:sz w:val="18"/>
        </w:rPr>
        <w:t>shares of common stock had been sold under the 2024 Sales Agreement.</w:t>
      </w:r>
    </w:p>
    <w:p>
      <w:pPr>
        <w:pStyle w:val="TextBody"/>
        <w:bidi w:val="0"/>
        <w:spacing w:before="240" w:after="283"/>
        <w:jc w:val="left"/>
        <w:rPr>
          <w:rFonts w:ascii="Times New Roman" w:hAnsi="Times New Roman"/>
          <w:sz w:val="20"/>
        </w:rPr>
      </w:pPr>
      <w:r>
        <w:rPr>
          <w:rFonts w:ascii="Times New Roman" w:hAnsi="Times New Roman"/>
          <w:color w:val="000000"/>
          <w:sz w:val="18"/>
        </w:rPr>
        <w:t>During the three months ended March 31, 2026, the Company</w:t>
      </w:r>
      <w:r>
        <w:rPr>
          <w:rFonts w:ascii="Times New Roman" w:hAnsi="Times New Roman"/>
          <w:color w:val="000000"/>
          <w:sz w:val="20"/>
        </w:rPr>
        <w:t xml:space="preserve"> </w:t>
      </w:r>
      <w:r>
        <w:rPr>
          <w:rFonts w:ascii="Times New Roman" w:hAnsi="Times New Roman"/>
          <w:color w:val="000000"/>
          <w:sz w:val="18"/>
        </w:rPr>
        <w:t>sold 14,141,569</w:t>
      </w:r>
      <w:r>
        <w:rPr>
          <w:rFonts w:ascii="Times New Roman" w:hAnsi="Times New Roman"/>
          <w:color w:val="000000"/>
          <w:sz w:val="20"/>
        </w:rPr>
        <w:t xml:space="preserve"> </w:t>
      </w:r>
      <w:r>
        <w:rPr>
          <w:rFonts w:ascii="Times New Roman" w:hAnsi="Times New Roman"/>
          <w:color w:val="000000"/>
          <w:sz w:val="18"/>
        </w:rPr>
        <w:t>shares of common stock under the 2024 Sales Agreement, from which the Company received $140.4</w:t>
      </w:r>
      <w:r>
        <w:rPr>
          <w:rFonts w:ascii="Times New Roman" w:hAnsi="Times New Roman"/>
          <w:color w:val="000000"/>
          <w:sz w:val="20"/>
        </w:rPr>
        <w:t xml:space="preserve"> </w:t>
      </w:r>
      <w:r>
        <w:rPr>
          <w:rFonts w:ascii="Times New Roman" w:hAnsi="Times New Roman"/>
          <w:color w:val="000000"/>
          <w:sz w:val="18"/>
        </w:rPr>
        <w:t>million in gross proceeds. In connection therewith, $3.3</w:t>
      </w:r>
      <w:r>
        <w:rPr>
          <w:rFonts w:ascii="Times New Roman" w:hAnsi="Times New Roman"/>
          <w:color w:val="000000"/>
          <w:sz w:val="20"/>
        </w:rPr>
        <w:t xml:space="preserve"> </w:t>
      </w:r>
      <w:r>
        <w:rPr>
          <w:rFonts w:ascii="Times New Roman" w:hAnsi="Times New Roman"/>
          <w:color w:val="000000"/>
          <w:sz w:val="18"/>
        </w:rPr>
        <w:t>million in commissions were paid to TD Securities, yielding $137.1</w:t>
      </w:r>
      <w:r>
        <w:rPr>
          <w:rFonts w:ascii="Times New Roman" w:hAnsi="Times New Roman"/>
          <w:color w:val="000000"/>
          <w:sz w:val="20"/>
        </w:rPr>
        <w:t xml:space="preserve"> </w:t>
      </w:r>
      <w:r>
        <w:rPr>
          <w:rFonts w:ascii="Times New Roman" w:hAnsi="Times New Roman"/>
          <w:color w:val="000000"/>
          <w:sz w:val="18"/>
        </w:rPr>
        <w:t>million in net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three months ended June 30, 2026, the Company sold 1,865,000</w:t>
      </w:r>
      <w:r>
        <w:rPr>
          <w:rFonts w:ascii="Times New Roman" w:hAnsi="Times New Roman"/>
          <w:color w:val="000000"/>
          <w:sz w:val="20"/>
        </w:rPr>
        <w:t xml:space="preserve"> </w:t>
      </w:r>
      <w:r>
        <w:rPr>
          <w:rFonts w:ascii="Times New Roman" w:hAnsi="Times New Roman"/>
          <w:color w:val="000000"/>
          <w:sz w:val="18"/>
        </w:rPr>
        <w:t>shares of common stock under the 2024 Sales Agreement, from which the Company received $22.6</w:t>
      </w:r>
      <w:r>
        <w:rPr>
          <w:rFonts w:ascii="Times New Roman" w:hAnsi="Times New Roman"/>
          <w:color w:val="000000"/>
          <w:sz w:val="20"/>
        </w:rPr>
        <w:t xml:space="preserve"> </w:t>
      </w:r>
      <w:r>
        <w:rPr>
          <w:rFonts w:ascii="Times New Roman" w:hAnsi="Times New Roman"/>
          <w:color w:val="000000"/>
          <w:sz w:val="18"/>
        </w:rPr>
        <w:t>million in gross proceeds. In connection therewith, $0.5</w:t>
      </w:r>
      <w:r>
        <w:rPr>
          <w:rFonts w:ascii="Times New Roman" w:hAnsi="Times New Roman"/>
          <w:color w:val="000000"/>
          <w:sz w:val="20"/>
        </w:rPr>
        <w:t xml:space="preserve"> </w:t>
      </w:r>
      <w:r>
        <w:rPr>
          <w:rFonts w:ascii="Times New Roman" w:hAnsi="Times New Roman"/>
          <w:color w:val="000000"/>
          <w:sz w:val="18"/>
        </w:rPr>
        <w:t>million in commissions were paid to TD Securities, yielding $22.1</w:t>
      </w:r>
      <w:r>
        <w:rPr>
          <w:rFonts w:ascii="Times New Roman" w:hAnsi="Times New Roman"/>
          <w:color w:val="000000"/>
          <w:sz w:val="20"/>
        </w:rPr>
        <w:t xml:space="preserve"> </w:t>
      </w:r>
      <w:r>
        <w:rPr>
          <w:rFonts w:ascii="Times New Roman" w:hAnsi="Times New Roman"/>
          <w:color w:val="000000"/>
          <w:sz w:val="18"/>
        </w:rPr>
        <w:t>million in net proceeds.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Follow-On Offering</w:t>
      </w:r>
    </w:p>
    <w:p>
      <w:pPr>
        <w:pStyle w:val="TextBody"/>
        <w:bidi w:val="0"/>
        <w:spacing w:before="240" w:after="283"/>
        <w:jc w:val="left"/>
        <w:rPr>
          <w:rFonts w:ascii="Times New Roman" w:hAnsi="Times New Roman"/>
          <w:sz w:val="20"/>
        </w:rPr>
      </w:pPr>
      <w:r>
        <w:rPr>
          <w:rFonts w:ascii="Times New Roman" w:hAnsi="Times New Roman"/>
          <w:color w:val="000000"/>
          <w:sz w:val="18"/>
        </w:rPr>
        <w:t>In May 2026, the Company completed a public offering of 26,354,167</w:t>
      </w:r>
      <w:r>
        <w:rPr>
          <w:rFonts w:ascii="Times New Roman" w:hAnsi="Times New Roman"/>
          <w:color w:val="000000"/>
          <w:sz w:val="20"/>
        </w:rPr>
        <w:t xml:space="preserve"> </w:t>
      </w:r>
      <w:r>
        <w:rPr>
          <w:rFonts w:ascii="Times New Roman" w:hAnsi="Times New Roman"/>
          <w:color w:val="000000"/>
          <w:sz w:val="18"/>
        </w:rPr>
        <w:t>shares of common stock, which share amount includes the exercise in full of the underwriters' option to purchase an additional 3,437,500</w:t>
      </w:r>
      <w:r>
        <w:rPr>
          <w:rFonts w:ascii="Times New Roman" w:hAnsi="Times New Roman"/>
          <w:color w:val="000000"/>
          <w:sz w:val="20"/>
        </w:rPr>
        <w:t xml:space="preserve"> </w:t>
      </w:r>
      <w:r>
        <w:rPr>
          <w:rFonts w:ascii="Times New Roman" w:hAnsi="Times New Roman"/>
          <w:color w:val="000000"/>
          <w:sz w:val="18"/>
        </w:rPr>
        <w:t>shares, at an offering price of $12.00</w:t>
      </w:r>
      <w:r>
        <w:rPr>
          <w:rFonts w:ascii="Times New Roman" w:hAnsi="Times New Roman"/>
          <w:color w:val="000000"/>
          <w:sz w:val="20"/>
        </w:rPr>
        <w:t xml:space="preserve"> </w:t>
      </w:r>
      <w:r>
        <w:rPr>
          <w:rFonts w:ascii="Times New Roman" w:hAnsi="Times New Roman"/>
          <w:color w:val="000000"/>
          <w:sz w:val="18"/>
        </w:rPr>
        <w:t>per share. The Company received proceeds of $296.8</w:t>
      </w:r>
      <w:r>
        <w:rPr>
          <w:rFonts w:ascii="Times New Roman" w:hAnsi="Times New Roman"/>
          <w:color w:val="000000"/>
          <w:sz w:val="20"/>
        </w:rPr>
        <w:t xml:space="preserve"> </w:t>
      </w:r>
      <w:r>
        <w:rPr>
          <w:rFonts w:ascii="Times New Roman" w:hAnsi="Times New Roman"/>
          <w:color w:val="000000"/>
          <w:sz w:val="18"/>
        </w:rPr>
        <w:t>million, which was net of $19.4</w:t>
      </w:r>
      <w:r>
        <w:rPr>
          <w:rFonts w:ascii="Times New Roman" w:hAnsi="Times New Roman"/>
          <w:color w:val="000000"/>
          <w:sz w:val="20"/>
        </w:rPr>
        <w:t xml:space="preserve"> </w:t>
      </w:r>
      <w:r>
        <w:rPr>
          <w:rFonts w:ascii="Times New Roman" w:hAnsi="Times New Roman"/>
          <w:color w:val="000000"/>
          <w:sz w:val="18"/>
        </w:rPr>
        <w:t>million in underwriting discounts and other offering expenses.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7. Net Loss per Share</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computation of basic and diluted net loss per share of the Company:</w:t>
      </w:r>
    </w:p>
    <w:tbl>
      <w:tblPr>
        <w:tblW w:w="10205" w:type="dxa"/>
        <w:jc w:val="left"/>
        <w:tblInd w:w="0" w:type="dxa"/>
        <w:tblLayout w:type="fixed"/>
        <w:tblCellMar>
          <w:top w:w="28" w:type="dxa"/>
          <w:left w:w="28" w:type="dxa"/>
          <w:bottom w:w="28" w:type="dxa"/>
          <w:right w:w="28" w:type="dxa"/>
        </w:tblCellMar>
      </w:tblPr>
      <w:tblGrid>
        <w:gridCol w:w="4104"/>
        <w:gridCol w:w="146"/>
        <w:gridCol w:w="196"/>
        <w:gridCol w:w="1006"/>
        <w:gridCol w:w="166"/>
        <w:gridCol w:w="146"/>
        <w:gridCol w:w="196"/>
        <w:gridCol w:w="1006"/>
        <w:gridCol w:w="166"/>
        <w:gridCol w:w="146"/>
        <w:gridCol w:w="196"/>
        <w:gridCol w:w="1006"/>
        <w:gridCol w:w="166"/>
        <w:gridCol w:w="146"/>
        <w:gridCol w:w="196"/>
        <w:gridCol w:w="1006"/>
        <w:gridCol w:w="211"/>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except share and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202,849,466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171,264,622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191,412,839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170,254,500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For the three and six months ended June 30, 2026 and 2025, the weighted-average number of shares of common stock outstanding used to calculate both basic and diluted net loss per share is the same. In computing diluted net loss per share for the three and six months ended June 30, 2026 and 2025, the Company excluded the following potentially dilutive securities, as the effect would be anti-dilutive and reduce the net loss per share calculated for each period.</w:t>
      </w:r>
    </w:p>
    <w:tbl>
      <w:tblPr>
        <w:tblW w:w="6249" w:type="dxa"/>
        <w:jc w:val="left"/>
        <w:tblInd w:w="0" w:type="dxa"/>
        <w:tblLayout w:type="fixed"/>
        <w:tblCellMar>
          <w:top w:w="28" w:type="dxa"/>
          <w:left w:w="28" w:type="dxa"/>
          <w:bottom w:w="28" w:type="dxa"/>
          <w:right w:w="28" w:type="dxa"/>
        </w:tblCellMar>
      </w:tblPr>
      <w:tblGrid>
        <w:gridCol w:w="3496"/>
        <w:gridCol w:w="146"/>
        <w:gridCol w:w="146"/>
        <w:gridCol w:w="916"/>
        <w:gridCol w:w="146"/>
        <w:gridCol w:w="146"/>
        <w:gridCol w:w="146"/>
        <w:gridCol w:w="91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24,660,624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20,536,224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and 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4,549,719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27,457,374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25,085,943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amounts in the table above are presented based on amounts outstanding at each period end.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8. License Agreements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Elevar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the Company and Elevar Therapeutics, Inc. ("Elevar") entered into the Exclusive License Agreement (as amended from time to time, the "Elevar Agreement"), pursuant to which Elevar was granted exclusive global development and commercialization rights for lirafugratinib (RLY-4008), the Company's selective oral small molecule inhibitor of fibroblast growth factor receptor 2 ("FGFR2"). Upon execution of the Elevar Agreement, Elevar is responsible for all further development activities and global commercialization for lirafugratinib in FGFR2-driven cholangiocarcinoma and FGFR2-altered other solid tumors.</w:t>
      </w:r>
    </w:p>
    <w:p>
      <w:pPr>
        <w:pStyle w:val="TextBody"/>
        <w:bidi w:val="0"/>
        <w:spacing w:before="240" w:after="283"/>
        <w:jc w:val="left"/>
        <w:rPr>
          <w:rFonts w:ascii="Times New Roman" w:hAnsi="Times New Roman"/>
          <w:sz w:val="20"/>
        </w:rPr>
      </w:pPr>
      <w:r>
        <w:rPr>
          <w:rFonts w:ascii="Times New Roman" w:hAnsi="Times New Roman"/>
          <w:color w:val="000000"/>
          <w:sz w:val="18"/>
        </w:rPr>
        <w:t>As of June 30, 2026, consideration to the Company under the Elevar Agreement totaled $18.7</w:t>
      </w:r>
      <w:r>
        <w:rPr>
          <w:rFonts w:ascii="Times New Roman" w:hAnsi="Times New Roman"/>
          <w:color w:val="000000"/>
          <w:sz w:val="20"/>
        </w:rPr>
        <w:t xml:space="preserve"> </w:t>
      </w:r>
      <w:r>
        <w:rPr>
          <w:rFonts w:ascii="Times New Roman" w:hAnsi="Times New Roman"/>
          <w:color w:val="000000"/>
          <w:sz w:val="18"/>
        </w:rPr>
        <w:t>million, consisting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$5.0 million upon execution;</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$3.7 million upon transfer of active pharmaceutical ingredient and other materials;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$10.0 million in milestone payments.</w:t>
      </w:r>
    </w:p>
    <w:p>
      <w:pPr>
        <w:pStyle w:val="TextBody"/>
        <w:bidi w:val="0"/>
        <w:spacing w:before="120" w:after="283"/>
        <w:jc w:val="left"/>
        <w:rPr>
          <w:rFonts w:ascii="Times New Roman" w:hAnsi="Times New Roman"/>
          <w:sz w:val="20"/>
        </w:rPr>
      </w:pPr>
      <w:r>
        <w:rPr>
          <w:rFonts w:ascii="Times New Roman" w:hAnsi="Times New Roman"/>
          <w:color w:val="000000"/>
          <w:sz w:val="18"/>
        </w:rPr>
        <w:t>The Company is also eligible to receive up to $485.0</w:t>
      </w:r>
      <w:r>
        <w:rPr>
          <w:rFonts w:ascii="Times New Roman" w:hAnsi="Times New Roman"/>
          <w:color w:val="000000"/>
          <w:sz w:val="20"/>
        </w:rPr>
        <w:t xml:space="preserve"> </w:t>
      </w:r>
      <w:r>
        <w:rPr>
          <w:rFonts w:ascii="Times New Roman" w:hAnsi="Times New Roman"/>
          <w:color w:val="000000"/>
          <w:sz w:val="18"/>
        </w:rPr>
        <w:t>million in regulatory and commercial milestone payments, as well as tiered royalties.</w:t>
      </w:r>
    </w:p>
    <w:p>
      <w:pPr>
        <w:pStyle w:val="TextBody"/>
        <w:bidi w:val="0"/>
        <w:spacing w:before="240" w:after="283"/>
        <w:jc w:val="left"/>
        <w:rPr>
          <w:rFonts w:ascii="Times New Roman" w:hAnsi="Times New Roman"/>
          <w:sz w:val="20"/>
        </w:rPr>
      </w:pPr>
      <w:r>
        <w:rPr>
          <w:rFonts w:ascii="Times New Roman" w:hAnsi="Times New Roman"/>
          <w:color w:val="000000"/>
          <w:sz w:val="18"/>
        </w:rPr>
        <w:t>During the three months ended June 30, 2026 and 2025, the Company recognized $0.4</w:t>
      </w:r>
      <w:r>
        <w:rPr>
          <w:rFonts w:ascii="Times New Roman" w:hAnsi="Times New Roman"/>
          <w:color w:val="000000"/>
          <w:sz w:val="20"/>
        </w:rPr>
        <w:t xml:space="preserve"> </w:t>
      </w:r>
      <w:r>
        <w:rPr>
          <w:rFonts w:ascii="Times New Roman" w:hAnsi="Times New Roman"/>
          <w:color w:val="000000"/>
          <w:sz w:val="18"/>
        </w:rPr>
        <w:t>million and $0.7</w:t>
      </w:r>
      <w:r>
        <w:rPr>
          <w:rFonts w:ascii="Times New Roman" w:hAnsi="Times New Roman"/>
          <w:color w:val="000000"/>
          <w:sz w:val="20"/>
        </w:rPr>
        <w:t xml:space="preserve"> </w:t>
      </w:r>
      <w:r>
        <w:rPr>
          <w:rFonts w:ascii="Times New Roman" w:hAnsi="Times New Roman"/>
          <w:color w:val="000000"/>
          <w:sz w:val="18"/>
        </w:rPr>
        <w:t>million, respectively, of license and other revenue from the Elevar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six months ended June 30, 2026 and 2025, the Company recognized $3.4</w:t>
      </w:r>
      <w:r>
        <w:rPr>
          <w:rFonts w:ascii="Times New Roman" w:hAnsi="Times New Roman"/>
          <w:color w:val="000000"/>
          <w:sz w:val="20"/>
        </w:rPr>
        <w:t xml:space="preserve"> </w:t>
      </w:r>
      <w:r>
        <w:rPr>
          <w:rFonts w:ascii="Times New Roman" w:hAnsi="Times New Roman"/>
          <w:color w:val="000000"/>
          <w:sz w:val="18"/>
        </w:rPr>
        <w:t>million and $8.4</w:t>
      </w:r>
      <w:r>
        <w:rPr>
          <w:rFonts w:ascii="Times New Roman" w:hAnsi="Times New Roman"/>
          <w:color w:val="000000"/>
          <w:sz w:val="20"/>
        </w:rPr>
        <w:t xml:space="preserve"> </w:t>
      </w:r>
      <w:r>
        <w:rPr>
          <w:rFonts w:ascii="Times New Roman" w:hAnsi="Times New Roman"/>
          <w:color w:val="000000"/>
          <w:sz w:val="18"/>
        </w:rPr>
        <w:t>million, respectively, of license and other revenue from the Elevar Agreement.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9. Commitments and Contingencies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Intellectual Property License</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a Collaboration and License Agreement with D. E. Shaw Research, LLC ("D. E. Shaw Research"), pursuant to which the Company and D.E. Shaw Research jointly conducted research efforts with the goal of identifying and developing product candidates (as amended from time to time, the “DESRES Agreement”). The initial research term of the DESRES Agreement expired on August 16, 2025. The DESRES Agreement continues on a target-by-target basis until all payment obligations have expired.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 the three months ended June 30, 2026 and 2025, the Company recorded research and development expenses of $0</w:t>
      </w:r>
      <w:r>
        <w:rPr>
          <w:rFonts w:ascii="Times New Roman" w:hAnsi="Times New Roman"/>
          <w:color w:val="000000"/>
          <w:sz w:val="20"/>
        </w:rPr>
        <w:t xml:space="preserve"> </w:t>
      </w:r>
      <w:r>
        <w:rPr>
          <w:rFonts w:ascii="Times New Roman" w:hAnsi="Times New Roman"/>
          <w:color w:val="000000"/>
          <w:sz w:val="18"/>
        </w:rPr>
        <w:t>and $2.3</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condensed consolidated statement of operations and comprehensive loss.</w:t>
      </w:r>
    </w:p>
    <w:p>
      <w:pPr>
        <w:pStyle w:val="TextBody"/>
        <w:bidi w:val="0"/>
        <w:spacing w:before="240" w:after="283"/>
        <w:jc w:val="left"/>
        <w:rPr>
          <w:rFonts w:ascii="Times New Roman" w:hAnsi="Times New Roman"/>
          <w:sz w:val="20"/>
        </w:rPr>
      </w:pPr>
      <w:r>
        <w:rPr>
          <w:rFonts w:ascii="Times New Roman" w:hAnsi="Times New Roman"/>
          <w:color w:val="000000"/>
          <w:sz w:val="18"/>
        </w:rPr>
        <w:t>For the six months ended June 30, 2026 and 2025, the Company recorded research and development expenses of $0.1</w:t>
      </w:r>
      <w:r>
        <w:rPr>
          <w:rFonts w:ascii="Times New Roman" w:hAnsi="Times New Roman"/>
          <w:color w:val="000000"/>
          <w:sz w:val="20"/>
        </w:rPr>
        <w:t xml:space="preserve"> </w:t>
      </w:r>
      <w:r>
        <w:rPr>
          <w:rFonts w:ascii="Times New Roman" w:hAnsi="Times New Roman"/>
          <w:color w:val="000000"/>
          <w:sz w:val="18"/>
        </w:rPr>
        <w:t>million and $7.4</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condensed consolidated statement of operations and comprehensive loss.</w:t>
      </w:r>
    </w:p>
    <w:p>
      <w:pPr>
        <w:pStyle w:val="TextBody"/>
        <w:bidi w:val="0"/>
        <w:spacing w:before="240" w:after="283"/>
        <w:jc w:val="left"/>
        <w:rPr>
          <w:rFonts w:ascii="Times New Roman" w:hAnsi="Times New Roman"/>
          <w:sz w:val="20"/>
        </w:rPr>
      </w:pPr>
      <w:r>
        <w:rPr>
          <w:rFonts w:ascii="Times New Roman" w:hAnsi="Times New Roman"/>
          <w:color w:val="000000"/>
          <w:sz w:val="18"/>
        </w:rPr>
        <w:t>As of June 30, 2026 and December 31, 2025, the Company had accrued expense and accounts payable balances of $0</w:t>
      </w:r>
      <w:r>
        <w:rPr>
          <w:rFonts w:ascii="Times New Roman" w:hAnsi="Times New Roman"/>
          <w:color w:val="000000"/>
          <w:sz w:val="20"/>
        </w:rPr>
        <w:t xml:space="preserve"> </w:t>
      </w:r>
      <w:r>
        <w:rPr>
          <w:rFonts w:ascii="Times New Roman" w:hAnsi="Times New Roman"/>
          <w:color w:val="000000"/>
          <w:sz w:val="18"/>
        </w:rPr>
        <w:t>and $0.6</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condensed consolidated balance sheets.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Arrangements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certain other research and license arrangements and other collaborations with third parties, which provide the Company with specified research and/or development services.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10. Subsequent Events</w:t>
      </w:r>
    </w:p>
    <w:p>
      <w:pPr>
        <w:pStyle w:val="TextBody"/>
        <w:bidi w:val="0"/>
        <w:spacing w:before="240" w:after="283"/>
        <w:jc w:val="left"/>
        <w:rPr>
          <w:rFonts w:ascii="Times New Roman" w:hAnsi="Times New Roman"/>
          <w:sz w:val="20"/>
        </w:rPr>
      </w:pPr>
      <w:r>
        <w:rPr>
          <w:rFonts w:ascii="Times New Roman" w:hAnsi="Times New Roman"/>
          <w:color w:val="000000"/>
          <w:sz w:val="18"/>
        </w:rPr>
        <w:t>In preparing the condensed consolidated interim financial statements as of June 30, 2026</w:t>
      </w:r>
      <w:r>
        <w:rPr>
          <w:rFonts w:ascii="Times New Roman" w:hAnsi="Times New Roman"/>
          <w:color w:val="000000"/>
          <w:sz w:val="20"/>
        </w:rPr>
        <w:t xml:space="preserve"> </w:t>
      </w:r>
      <w:r>
        <w:rPr>
          <w:rFonts w:ascii="Times New Roman" w:hAnsi="Times New Roman"/>
          <w:color w:val="000000"/>
          <w:sz w:val="18"/>
        </w:rPr>
        <w:t>and for the three months then ended, the Company evaluated subsequent events for recognition and measurement purposes. The Company concluded that no events or transactions have occurred that require disclosure in the accompanying condensed consolidated financial statements, except as otherwise described in the notes above.</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managements_discussion_and_analysis"/>
      <w:bookmarkEnd w:id="9"/>
      <w:r>
        <w:rPr>
          <w:rFonts w:ascii="Times New Roman" w:hAnsi="Times New Roman"/>
          <w:b/>
          <w:color w:val="000000"/>
          <w:sz w:val="18"/>
        </w:rPr>
        <w:t>Item 2.</w:t>
      </w:r>
      <w:r>
        <w:rPr>
          <w:rFonts w:ascii="Times New Roman" w:hAnsi="Times New Roman"/>
          <w:color w:val="000000"/>
          <w:sz w:val="20"/>
        </w:rPr>
        <w:t xml:space="preserve"> </w:t>
      </w:r>
      <w:r>
        <w:rPr>
          <w:rFonts w:ascii="Times New Roman" w:hAnsi="Times New Roman"/>
          <w:b/>
          <w:color w:val="000000"/>
          <w:sz w:val="18"/>
        </w:rPr>
        <w:t>Management’s Discussion and Analysis of Financial Condition and Results of Operations</w:t>
      </w:r>
      <w:r>
        <w:rPr>
          <w:rFonts w:ascii="Times New Roman" w:hAnsi="Times New Roman"/>
          <w:i/>
          <w:color w:val="000000"/>
          <w:sz w:val="18"/>
        </w:rPr>
        <w: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You should read the following discussion and analysis of our financial condition and results of operations together with our condensed consolidated financial statements and the related notes included elsewhere in this Quarterly Report on Form 10-Q. This discussion and other parts of this Quarterly Report on Form 10-Q contain forward-looking statements that involve risks and uncertainties, such as statements of our plans, objectives, expectations, and intentions.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18"/>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We are a clinical-stage, small molecule precision medicine company developing potentially life-changing therapies for patients living with cancer and genetic disease. Our Dynamo® platform integrates an array of leading-edge computational and experimental approaches designed to drug protein targets that have previously been intractable or inadequately addressed.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advancing a pipeline of medicine candidates to address targets in precision oncology and genetic disease, including zovegalisib (RLY-2608), our lead product candidate discussed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Zovegalisib (RLY-2608).</w:t>
      </w:r>
      <w:r>
        <w:rPr>
          <w:rFonts w:ascii="Times New Roman" w:hAnsi="Times New Roman"/>
          <w:color w:val="000000"/>
          <w:sz w:val="20"/>
        </w:rPr>
        <w:t xml:space="preserve"> </w:t>
      </w:r>
      <w:r>
        <w:rPr>
          <w:rFonts w:ascii="Times New Roman" w:hAnsi="Times New Roman"/>
          <w:color w:val="000000"/>
          <w:sz w:val="18"/>
        </w:rPr>
        <w:t>Zovegalisib is the first known allosteric, pan-mutant and isoform-selective phosphoinositide 3 kinase alpha, or PI3Kα, inhibitor in clinical development. It is the lead program in our efforts to discover and develop mutant selective inhibitors of PI3Kα.</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Breast Cancer and Solid Tumors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ReDiscover Trials</w:t>
      </w:r>
      <w:r>
        <w:rPr>
          <w:rFonts w:ascii="Times New Roman" w:hAnsi="Times New Roman"/>
          <w:color w:val="000000"/>
          <w:sz w:val="18"/>
        </w:rPr>
        <w:t>. In December 2021, we dosed the first patient in a first-in-human clinical trial for zovegalisib, or the ReDiscover Trial. Since then, we have predominantly focused on evaluating zovegalisib in combination with other therapies for patients with HR+, HER2–, PI3Kα-mutated, locally advanced or metastatic breast cancer. In the second quarter of 2025, we initiated a global Phase 3 registrational study, or the ReDiscover-2 Trial, which is designed to evaluate the safety and efficacy of zovegalisib plus fulvestrant in PI3Kα-mutated, HR+/HER2- advanced breast cancer patients previously treated with a cyclin dependent kinase 4/6, or CDK4/6, inhibitor. The comparator arm in the ReDiscover-2 Trial is capivasertib plus fulvestrant. 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 We are also advancing triplet combination arms with zovegalisib, fulvestrant and CDK 4/6 inhibitors, or atirmociclib, the investigative selective-CDK4 inhibitor from Pfizer Inc., or Pfizer, to support a potential future trial in frontline breast cancer. In April 2026, we announced that we selected atirmociclib as our go-forward triplet combination partner.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Clinical Data</w:t>
      </w:r>
      <w:r>
        <w:rPr>
          <w:rFonts w:ascii="Times New Roman" w:hAnsi="Times New Roman"/>
          <w:color w:val="000000"/>
          <w:sz w:val="18"/>
        </w:rPr>
        <w:t>. In June 2025, we announced updated interim clinical data for the zovegalisib plus fulvestrant arm of the ReDiscover Trial from patients receiving the 600mg twice daily, or BID, fasted dose and in December 2025, we announced an efficacy subset analysis of interim clinical data for zovegalisib at the same dose. In March 2026, we announced interim clinical data from the ReDiscover Trial of zovegalisib in combination with fulvestrant at the 400mg BID fed dose, which is the recommended Phase 3 dose in the ReDiscover-2 Trial. In April 2026, we announced interim clinical data for the zovegalisib plus atirmociclib triplet combination. We believe that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Vascular Anomalies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ReInspire Trial</w:t>
      </w:r>
      <w:r>
        <w:rPr>
          <w:rFonts w:ascii="Times New Roman" w:hAnsi="Times New Roman"/>
          <w:color w:val="000000"/>
          <w:sz w:val="18"/>
        </w:rPr>
        <w:t>. In the first quarter of 2025, we initiated the global Phase 1/2 clinical trial for zovegalisib in patients with PIK3CA-related overgrowth spectrum, or PROS, and vascular anomalies driven by PIK3CA mutations, or the ReInspire Trial. Enrollment is continuing in this clinical trial.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Clinical Data.</w:t>
      </w:r>
      <w:r>
        <w:rPr>
          <w:color w:val="000000"/>
        </w:rPr>
        <w:t xml:space="preserve"> </w:t>
      </w:r>
      <w:r>
        <w:rPr>
          <w:rFonts w:ascii="Times New Roman" w:hAnsi="Times New Roman"/>
          <w:color w:val="000000"/>
          <w:sz w:val="18"/>
        </w:rPr>
        <w:t>In May 2026, we announced initial clinical data from the ReInspire Trial, which we believe demonstrate that zovegalisib has potential for differentiated safety and efficacy in patients with PIK3CA-driven vascular anomalies.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programs mentioned above, we have initiated a clinical trial studying RLY-8161, our NRAS-selective inhibitor, in patients with NRAS-mutant melanoma and other NRAS-mutant solid tumors. In our research pipeline, we are advancing our non-inhibitory chaperone for Fabry disease, as well as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were incorporated in May 2015. We have devoted substantially all of our resources to developing our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 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May 2026, we completed a public offering, or the May 2026 Offering, of 26,354,167 shares of common stock, which share amount includes the exercise in full of the underwriters' option to purchase an additional 3,437,500 shares, at an offering price of $12.00 per share. We received proceeds of $296.8 million, which was net of $19.4 million in underwriting discounts and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we and Elevar Therapeutics, Inc., or Elevar, entered into an exclusive global licensing agreement, or the Elevar Agreement, pursuant to which Elevar was granted global development and commercialization rights for lirafugratinib. Under the terms of the Elevar Agreement, we received $5.0 million upon execution, $3.7 million upon transfer of active pharmaceutical ingredient and other materials, and $10.0 million in milestone payments as of June 30, 2026. We are eligible to receive up to $485.0 million in regulatory and commercial milestone payments, as well as tiered royalties.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2024, we completed a public offering, or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we entered into a sales agreement, or the 2024 Sales Agreement, with TD Securities (USA) LLC, or TD Securities, pursuant to which we may offer and sell shares of our common stock having aggregate gross proceeds of up to $250.0 million from time to time in “at-the-market” offerings through TD Securities, as our sales agent. As of June 30, 2026, we sold 16,006,569 shares of common stock under the 2024 Sales Agreement, from which we received $163.0 million in gross proceeds. In connection therewith, we paid $3.8 million in commissions to TD Securities, yielding $159.2 million in net proceeds.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this Quarterly Report on Form 10-Q. We do not believe that such factors had a material adverse impact on our results of operations during the three and six months ended June 30, 2026.</w:t>
      </w:r>
    </w:p>
    <w:p>
      <w:pPr>
        <w:pStyle w:val="TextBody"/>
        <w:bidi w:val="0"/>
        <w:jc w:val="left"/>
        <w:rPr>
          <w:rFonts w:ascii="Times New Roman" w:hAnsi="Times New Roman"/>
          <w:sz w:val="20"/>
        </w:rPr>
      </w:pPr>
      <w:r>
        <w:rPr>
          <w:rFonts w:ascii="Times New Roman" w:hAnsi="Times New Roman"/>
          <w:color w:val="000000"/>
          <w:sz w:val="18"/>
        </w:rPr>
        <w:t>Since our inception, we have incurred significant operating losses on an aggregate basis. Our ability to generate product revenue sufficient to achieve profitability will depend on the successful development and eventual commercialization of one or more of our current or future product candidates. Our net losses were $157.0 million and $147.4 million for the six months ended June 30, 2026 and 2025, respectively. As of June 30, 2026 we had an accumulated deficit of $2.2 billion. These losses have resulted primarily from costs incurred in connection with research and development activities, licensing and patent investment, and general and administrative costs associated with our operations. We expect to continue to incur significant expenses</w:t>
      </w:r>
      <w:r>
        <w:rPr>
          <w:rFonts w:ascii="Times New Roman" w:hAnsi="Times New Roman"/>
          <w:color w:val="231F20"/>
          <w:sz w:val="18"/>
        </w:rPr>
        <w:t>, including the costs of operating as a public company,</w:t>
      </w:r>
      <w:r>
        <w:rPr>
          <w:rFonts w:ascii="Times New Roman" w:hAnsi="Times New Roman"/>
          <w:color w:val="000000"/>
          <w:sz w:val="20"/>
        </w:rPr>
        <w:t xml:space="preserve"> </w:t>
      </w:r>
      <w:r>
        <w:rPr>
          <w:rFonts w:ascii="Times New Roman" w:hAnsi="Times New Roman"/>
          <w:color w:val="000000"/>
          <w:sz w:val="18"/>
        </w:rPr>
        <w:t xml:space="preserve">and </w:t>
      </w:r>
      <w:r>
        <w:rPr>
          <w:rFonts w:ascii="Times New Roman" w:hAnsi="Times New Roman"/>
          <w:color w:val="231F20"/>
          <w:sz w:val="18"/>
        </w:rPr>
        <w:t xml:space="preserve">generate significant </w:t>
      </w:r>
      <w:r>
        <w:rPr>
          <w:rFonts w:ascii="Times New Roman" w:hAnsi="Times New Roman"/>
          <w:color w:val="000000"/>
          <w:sz w:val="18"/>
        </w:rPr>
        <w:t>operating losses for at least the next several years.</w:t>
      </w:r>
    </w:p>
    <w:p>
      <w:pPr>
        <w:pStyle w:val="TextBody"/>
        <w:bidi w:val="0"/>
        <w:spacing w:before="240" w:after="283"/>
        <w:jc w:val="left"/>
        <w:rPr>
          <w:rFonts w:ascii="Times New Roman" w:hAnsi="Times New Roman"/>
          <w:sz w:val="20"/>
        </w:rPr>
      </w:pPr>
      <w:r>
        <w:rPr>
          <w:rFonts w:ascii="Times New Roman" w:hAnsi="Times New Roman"/>
          <w:color w:val="000000"/>
          <w:sz w:val="18"/>
        </w:rPr>
        <w:t>We anticipate that our expenses will increase substantially if and as we: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our current and future clinical trials of our lead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additional preclinical research and development of our early-stage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initiate and continue research and preclinical and clinical development of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seek to 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pursue marketing approvals for any of our product candidates that successfully complete clinical trials,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establish a sales, marketing, and distribution infrastructure to commercialize any products for which we may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require the manufacture of larger quantities of our product candidates for clinical development and potentially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obtain, maintain, expand, and protect our intellectual property portfolio;</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acquire or in-license other drugs and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hire and retain additional clinical, regulatory, quality,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build out new facilities or expand existing facilities to support our ongoing development activity;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add operational, financial, and management information systems and personnel, including personnel to support our drug development, any future commercialization efforts, and our operations as a public company.</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if we obtain marketing approval for any of our product candidates, we expect to incur significant commercialization expenses related to product manufacturing, marketing, sales and distribution.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color w:val="000000"/>
          <w:sz w:val="18"/>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We believe our cash, cash equivalents, and investments of $910.9 million as of June 30, 2026 will enable us to fund our operating expenses and capital expenditure requirements into 2029.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Components of our 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our revenue primarily consists of amounts recognized under license agreements with third parties.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salaries, benefits, and other employee costs, including stock compensation expense, for personnel engaged in research and development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outside consultants, including their fees, stock compensation, and related travel expenses;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expenses incurred under agreements with contract research organizations, or CROs, contract manufacturing organizations, or CMOs, and other vendors that conduct our clinical trials and preclinical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acquiring, developing, and manufacturing clinical trial materials, and lab supplies;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related to compliance with regulatory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impairment of any intangible assets capitalized upon the acquisition of in-process research and development assets;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facility costs, depreciation, and other expenses, which include direct and allocated expenses for rent and maintenance of facilities, insurance, and other supplies.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do not allocate certain internal costs, facilities, or overhead costs to specific development programs.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other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Two of our product candidates are in clinical development. We also have earlier stage programs across both precision oncology and genetic diseases. Costs incurred for these programs include costs incurred to support our discovery research and translational science efforts up to the initiation of first-in-human clinical development. Platform research and other research and development activities include costs that are not specifically allocated to active product candidates, including facilities costs, depreciation expense, and other costs. Employee expenses include salary, wages, stock compensation, and other costs related to our personnel, which are not allocated to specific programs or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determine with certainty the duration and costs of future clinical trials and future development costs, if, when, or to what extent we will generate revenue from the commercialization and sale of any of our product candidates for which we obtain marketing approval or our other research and development costs. We may never succeed in obtaining marketing approval for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duration, costs, and timing of clinical trials and development of our product candidates will depend on a variety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rate of progress, expense, and results of our preclinical development activities, any future clinical trials of our lead product candidate, or other product candidates and other research and development activities that we may conduct;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uncertainties in clinical trial design and patient enrollment or drop out or discontinuation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an appropriate safety and efficacy profile with IND-enabling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and completion of future clinical trial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additional studies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expense of filing, prosecuting, defending, and enforcing any patent claims and other intellectual property rights;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maintaining a continued acceptable safety profile of our product candidates following approval, if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for the foreseeable future as we continue to conduct clinical trials of our lead product candidate, initiate clinical trials for our other product candidates, as well as identify and develop additional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primarily consist of salaries and other employee costs, including stock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 facility-related expenses, which include depreciation costs and allocated expenses for rent and maintenance of facilities.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to continue to incur significant general and administrative expenses in the future and as we continue our research and development activities, as well as other activities related to the potential commercialization of our product candidates.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sz w:val="20"/>
        </w:rPr>
      </w:pPr>
      <w:r>
        <w:rPr>
          <w:rFonts w:ascii="Times New Roman" w:hAnsi="Times New Roman"/>
          <w:color w:val="000000"/>
          <w:sz w:val="18"/>
        </w:rPr>
        <w:t>Other Income, Net primarily consists of interest income related to interest earned on our cash, cash equivalents, and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in 2015, we have not recorded any U.S. federal or state income tax benefits for the net losses we have incurred in any year or for our earned research and development tax credits, due to our uncertainty of realizing a benefit from such items.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Comparison of the three months ended June 30, 2026 and 2025</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our results of operations for the three months ended June 30, 2026 and 2025:</w:t>
      </w:r>
    </w:p>
    <w:tbl>
      <w:tblPr>
        <w:tblW w:w="6833" w:type="dxa"/>
        <w:jc w:val="left"/>
        <w:tblInd w:w="0" w:type="dxa"/>
        <w:tblLayout w:type="fixed"/>
        <w:tblCellMar>
          <w:top w:w="28" w:type="dxa"/>
          <w:left w:w="28" w:type="dxa"/>
          <w:bottom w:w="28" w:type="dxa"/>
          <w:right w:w="28" w:type="dxa"/>
        </w:tblCellMar>
      </w:tblPr>
      <w:tblGrid>
        <w:gridCol w:w="2901"/>
        <w:gridCol w:w="146"/>
        <w:gridCol w:w="196"/>
        <w:gridCol w:w="661"/>
        <w:gridCol w:w="166"/>
        <w:gridCol w:w="146"/>
        <w:gridCol w:w="196"/>
        <w:gridCol w:w="661"/>
        <w:gridCol w:w="166"/>
        <w:gridCol w:w="146"/>
        <w:gridCol w:w="196"/>
        <w:gridCol w:w="661"/>
        <w:gridCol w:w="5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June 30, 2026 the Company recognized $0.4 million of revenue from the Elevar Agreement, specifically upon transfer of active pharmaceutical ingredient and other materials.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three months ended June 30, 2025, the Company recognized $0.7 million of revenue from the Elevar Agreement, specifically upon transfer of active pharmaceutical ingredient and other materials.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three months ended June 30, 2026 and 2025:</w:t>
      </w:r>
    </w:p>
    <w:tbl>
      <w:tblPr>
        <w:tblW w:w="8058" w:type="dxa"/>
        <w:jc w:val="left"/>
        <w:tblInd w:w="0" w:type="dxa"/>
        <w:tblLayout w:type="fixed"/>
        <w:tblCellMar>
          <w:top w:w="28" w:type="dxa"/>
          <w:left w:w="28" w:type="dxa"/>
          <w:bottom w:w="28" w:type="dxa"/>
          <w:right w:w="28" w:type="dxa"/>
        </w:tblCellMar>
      </w:tblPr>
      <w:tblGrid>
        <w:gridCol w:w="4726"/>
        <w:gridCol w:w="146"/>
        <w:gridCol w:w="196"/>
        <w:gridCol w:w="601"/>
        <w:gridCol w:w="146"/>
        <w:gridCol w:w="146"/>
        <w:gridCol w:w="196"/>
        <w:gridCol w:w="601"/>
        <w:gridCol w:w="146"/>
        <w:gridCol w:w="146"/>
        <w:gridCol w:w="196"/>
        <w:gridCol w:w="60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$76.5 million for the three months ended June 30, 2026 compared to $63.9 million for the three months ended June 30, 2025. The increase of $12.6 million was primarily due to increases in costs across ongoing clinical trials for zovegalisib, partially offset by the impact from strategic choices made to streamline the research organization prior to 2026.</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General and Administrative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General and administrative expenses were $14.7 million for the three months ended June 30, 2026 compared to $13.6 million for the three months ended June 30, 2025. The increase of $1.1 million was primarily due to increased legal expenses, offset by decreases in employee compensation costs, including stock compensation expense.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$7.1 million for the three months ended June 30, 2026 compared to $6.5 million for the three months ended June 30, 2025. The increase of $0.6 million was primarily a result of changes in the amounts invested between periods, as well as fluctuations in interest rates.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Comparison of the six months ended June 30, 2026 and 2025</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our results of operations for the six months ended June 30, 2026 and 2025:</w:t>
      </w:r>
    </w:p>
    <w:tbl>
      <w:tblPr>
        <w:tblW w:w="6943" w:type="dxa"/>
        <w:jc w:val="left"/>
        <w:tblInd w:w="0" w:type="dxa"/>
        <w:tblLayout w:type="fixed"/>
        <w:tblCellMar>
          <w:top w:w="28" w:type="dxa"/>
          <w:left w:w="28" w:type="dxa"/>
          <w:bottom w:w="28" w:type="dxa"/>
          <w:right w:w="28" w:type="dxa"/>
        </w:tblCellMar>
      </w:tblPr>
      <w:tblGrid>
        <w:gridCol w:w="2901"/>
        <w:gridCol w:w="146"/>
        <w:gridCol w:w="196"/>
        <w:gridCol w:w="751"/>
        <w:gridCol w:w="166"/>
        <w:gridCol w:w="146"/>
        <w:gridCol w:w="196"/>
        <w:gridCol w:w="751"/>
        <w:gridCol w:w="166"/>
        <w:gridCol w:w="146"/>
        <w:gridCol w:w="196"/>
        <w:gridCol w:w="571"/>
        <w:gridCol w:w="6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2026 the Company recognized $3.4 million of revenue from the Elevar Agreement, specifically upon receipt of certain milestone payments, as well as upon transfer of active pharmaceutical ingredient and other materials.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2025, the Company recognized $8.4 million of revenue from the Elevar Agreement, specifically in connection with the completion of each of our performance obligations thereunder in the period.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six months ended June 30, 2026 and 2025:</w:t>
      </w:r>
    </w:p>
    <w:tbl>
      <w:tblPr>
        <w:tblW w:w="8298" w:type="dxa"/>
        <w:jc w:val="left"/>
        <w:tblInd w:w="0" w:type="dxa"/>
        <w:tblLayout w:type="fixed"/>
        <w:tblCellMar>
          <w:top w:w="28" w:type="dxa"/>
          <w:left w:w="28" w:type="dxa"/>
          <w:bottom w:w="28" w:type="dxa"/>
          <w:right w:w="28" w:type="dxa"/>
        </w:tblCellMar>
      </w:tblPr>
      <w:tblGrid>
        <w:gridCol w:w="4726"/>
        <w:gridCol w:w="146"/>
        <w:gridCol w:w="196"/>
        <w:gridCol w:w="691"/>
        <w:gridCol w:w="146"/>
        <w:gridCol w:w="146"/>
        <w:gridCol w:w="196"/>
        <w:gridCol w:w="691"/>
        <w:gridCol w:w="146"/>
        <w:gridCol w:w="146"/>
        <w:gridCol w:w="196"/>
        <w:gridCol w:w="66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$147.0 million for the six months ended June 30, 2026 compared to $137.7 million for the six months ended June 30, 2025. The increase of $9.3 million was primarily due to increases in costs across ongoing clinical trials for zovegalisib, partially offset by the impact from strategic choices made to streamline the research organization prior to 2026.</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General and Administrative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General and administrative expenses were $25.7 million for the six months ended June 30, 2026 compared to $32.4 million for the six months ended June 30, 2025. The decrease of $6.6 million was primarily due to decreases in employee compensation costs, including stock compensation expense, and costs to obtain the Elevar Agreement, which were expensed during the six months ended June 30, 2025.</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$12.4 million for the six months ended June 30, 2026 compared to $14.3 million for the six months ended June 30, 2025. The decrease of $1.9 million was primarily a result of changes in the amounts invested between periods, as well as fluctuations in interest rates.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June 30, 2026, we had cash, cash equivalents, and investments of $910.9 million.</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May 2026, we completed the May 2026 Offering of 26,354,167 shares of common stock, which share amount includes the exercise in full of the underwriters' option to purchase an additional 3,437,500 shares, at an offering price of $12.00 per share. We received proceeds of $296.8 million, which was net of $19.4 million in underwriting discounts and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we entered into the Elevar Agreement, pursuant to which Elevar was granted global development and commercialization rights for lirafugratinib. As of June 30, 2026, we had received $5.0 million in upfront consideration, $3.7 million in conjunction with transfer of active pharmaceutical ingredient and other materials, and $10.0 million in milestone payments pursuant to the Elevar Agreement.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2024, we completed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we filed a universal shelf registration statement on Form S-3ASR with the SEC, or the 2024 Shelf, to register for sale an amount of our common stock, preferred stock, debt securities, warrants and/or units in one or more offerings, which became effective upon filing with the SEC (File No. 333-281308).</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we entered into the 2024 Sales Agreement with TD Securities, pursuant to which we may offer and sell shares of our common stock having aggregate gross proceeds of up to $250.0 million from time to time in “at-the-market” offerings through TD Securities, as our sales agent. As of June 30, 2026, we sold 16,006,569 shares of common stock under the 2024 Sales Agreement, from which we received $163.0 million in gross proceeds. In connection therewith, we paid $3.8 million in commissions to TD Securities, yielding $159.2 million in net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our sources and uses of cash for each of the periods presented:</w:t>
      </w:r>
      <w:r>
        <w:rPr>
          <w:rFonts w:ascii="Times New Roman" w:hAnsi="Times New Roman"/>
          <w:color w:val="000000"/>
          <w:sz w:val="20"/>
        </w:rPr>
        <w:t xml:space="preserve"> </w:t>
      </w:r>
    </w:p>
    <w:tbl>
      <w:tblPr>
        <w:tblW w:w="7499" w:type="dxa"/>
        <w:jc w:val="left"/>
        <w:tblInd w:w="0" w:type="dxa"/>
        <w:tblLayout w:type="fixed"/>
        <w:tblCellMar>
          <w:top w:w="28" w:type="dxa"/>
          <w:left w:w="28" w:type="dxa"/>
          <w:bottom w:w="28" w:type="dxa"/>
          <w:right w:w="28" w:type="dxa"/>
        </w:tblCellMar>
      </w:tblPr>
      <w:tblGrid>
        <w:gridCol w:w="4936"/>
        <w:gridCol w:w="146"/>
        <w:gridCol w:w="196"/>
        <w:gridCol w:w="751"/>
        <w:gridCol w:w="166"/>
        <w:gridCol w:w="146"/>
        <w:gridCol w:w="196"/>
        <w:gridCol w:w="75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Operating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2026, we used $105.2 million of cash on operating activities, primarily resulting from our net loss of $157.0 million, offset by non-cash charges of $19.2 million and cash provided by changes in our operating assets and liabilities of $32.6 million.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2025, we used $128.5 million of cash on operating activities, primarily resulting from our net loss of $147.4 million and cash used to fund changes in our operating assets and liabilities of $17.0 million, offset by non-cash charges of $36.0 million.</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2026, net cash used in investing activities was $320.1 million, consisting of $320.1 million in net purchases of investments.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2025, net cash used in investing activities was $117.6 million, consisting of $118.0 million in proceeds from net maturities and sales of investments, offset by $0.4 million for the acquisition of property and equipment.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Financing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2026, net cash provided by financing activities was $462.5 million, consisting of $456.0 million in net proceeds from at-the-market and follow-on offerings, as well as $6.5 million from the exercise of stock options and purchases under our 2020 Employee Stock Purchase Plan, or ESPP.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six months ended June 30, 2025, net cash provided by financing activities was $0.7 million, consisting of $0.7 million in purchases under our ESPP.</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Funding Requirements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to continue to incur significant expenses in connection with our ongoing clinical development activities related to our product candidates and the ongoing preclinical development activities of our other programs. In addition, we continue to incur additional costs associated with operating as a public company.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June 30, 2026, we had cash, cash equivalents, and investments of $910.9 million. We believe that our existing cash, cash equivalents, and investments will enable us to fund our operating expenses and capital expenditure requirements into 2029. We have based this estimate on assumptions that may prove to be wrong, and we could exhaust our available capital resources sooner than we expect.</w:t>
      </w:r>
    </w:p>
    <w:p>
      <w:pPr>
        <w:pStyle w:val="TextBody"/>
        <w:bidi w:val="0"/>
        <w:spacing w:before="240" w:after="283"/>
        <w:jc w:val="left"/>
        <w:rPr>
          <w:rFonts w:ascii="Times New Roman" w:hAnsi="Times New Roman"/>
          <w:sz w:val="20"/>
        </w:rPr>
      </w:pPr>
      <w:r>
        <w:rPr>
          <w:rFonts w:ascii="Times New Roman" w:hAnsi="Times New Roman"/>
          <w:color w:val="000000"/>
          <w:sz w:val="18"/>
        </w:rPr>
        <w:t>Because of the numerous risks and uncertainties associated with the development of our product candidates, as well as our preclinical programs, and because the extent to which we may enter into collaborations with third parties for the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public health epidemics or outbreaks of infectious disease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licenses or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licenses or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license or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license or collaboration agreements, if any;</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if and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pStyle w:val="TextBody"/>
        <w:bidi w:val="0"/>
        <w:spacing w:before="240" w:after="283"/>
        <w:jc w:val="left"/>
        <w:rPr>
          <w:rFonts w:ascii="Times New Roman" w:hAnsi="Times New Roman"/>
          <w:sz w:val="20"/>
        </w:rPr>
      </w:pPr>
      <w:r>
        <w:rPr>
          <w:rFonts w:ascii="Times New Roman" w:hAnsi="Times New Roman"/>
          <w:color w:val="000000"/>
          <w:sz w:val="18"/>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Contractual Obligations and Commitments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were no material changes to our contractual obligations and commitments during the three months ended June 30, 2026. For more information on our contractual obligations and commitments, please refer to "Management’s Discussion and Analysis of Financial Condition and Results of Operations" in our Annual Report on Form 10-K for the year ended December 31, 2025, as well as Note 9, Commitments and Contingencies, of the notes to our condensed consolidated financial statements included elsewhere in this Quarterly Report on Form 10-Q.</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Critical Accounting Policies and Use of Estimates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management’s discussion and analysis of financial condition and results of operations is based on our financial statements, which have been prepared in accordance with generally accepted accounting principles in the United States, or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a discussion of our critical accounting estimates, see "Management’s Discussion and Analysis of Financial Condition and Results of Operations" in our Annual Report on Form 10-K for the year ended December 31, 2025 filed with the SEC on February 26, 2026, the notes to our audited financial statements appearing in our Annual Report on Form 10-K, and the notes to the financial statements appearing elsewhere in this Quarterly Report on Form 10-Q. There have been no material changes to these critical accounting policies and estimates through June 30, 2026 from those discussed in our Annual Report on Form 10-K for the year ended December 31, 2025.</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Recently Issued and Adopted Accounting Pronouncements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description of recently issued accounting pronouncements that may potentially impact our financial position and results of operations is disclosed in Note 2 to our condensed consolidated financial statements included elsewhere in this Quarterly Report on Form 10-Q.</w:t>
      </w:r>
    </w:p>
    <w:p>
      <w:pPr>
        <w:pStyle w:val="TextBody"/>
        <w:bidi w:val="0"/>
        <w:spacing w:before="240" w:after="283"/>
        <w:jc w:val="left"/>
        <w:rPr>
          <w:rFonts w:ascii="Times New Roman" w:hAnsi="Times New Roman"/>
          <w:b/>
          <w:color w:val="000000"/>
          <w:sz w:val="18"/>
        </w:rPr>
      </w:pPr>
      <w:bookmarkStart w:id="10" w:name="item_3_quantitative_qualitative_disclosu"/>
      <w:bookmarkEnd w:id="10"/>
      <w:r>
        <w:rPr>
          <w:rFonts w:ascii="Times New Roman" w:hAnsi="Times New Roman"/>
          <w:b/>
          <w:color w:val="000000"/>
          <w:sz w:val="18"/>
        </w:rPr>
        <w:t>Item 3. Quantitative and Qualitative Disclosures About Market Risk.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Interest rate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exposed to market risk related to changes in interest rates of our investment portfolio of cash equivalents and short-term investments. As of June 30, 2026, our cash equivalents consisted of money market funds. As of June 30, 2026, our investments consisted of investments in U.S. treasury bills and United States agency securities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in federal interest rates. The potential change in fair value for interest rate sensitive instruments has been assessed on a hypothetical 100 basis point adverse movement across all maturities. As of June 30, 2026, we estimate that such hypothetical 100 basis point adverse movement would not result in a material impact on our condensed consolidated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June 30, 2026, we had no debt outstanding and, therefore, are not exposed to interest rate risk with respect to debt.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Foreign currency exchange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We estimate that a 10% increase or decrease in current exchange rates would not have a material effect on our financial results for the three and six months ended June 30, 2026 and 2025. While we have not engaged in the hedging of our foreign currency transactions to date, we are evaluating the costs and benefits of initiating such a program and may in the future hedge selected significant transactions denominated in currencies other than the U.S. dollar if and/or as we expand our international operations and our risk grows.</w:t>
      </w:r>
    </w:p>
    <w:p>
      <w:pPr>
        <w:pStyle w:val="TextBody"/>
        <w:bidi w:val="0"/>
        <w:spacing w:before="240" w:after="283"/>
        <w:jc w:val="left"/>
        <w:rPr>
          <w:rFonts w:ascii="Times New Roman" w:hAnsi="Times New Roman"/>
          <w:b/>
          <w:color w:val="000000"/>
          <w:sz w:val="18"/>
        </w:rPr>
      </w:pPr>
      <w:bookmarkStart w:id="11" w:name="item_4_controls_and_procedure"/>
      <w:bookmarkEnd w:id="11"/>
      <w:r>
        <w:rPr>
          <w:rFonts w:ascii="Times New Roman" w:hAnsi="Times New Roman"/>
          <w:b/>
          <w:color w:val="000000"/>
          <w:sz w:val="18"/>
        </w:rPr>
        <w:t>Item 4.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Evaluation of Disclosure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2026, our disclosure controls and procedures were effective.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Changes in Internal Control Over Financial Reporting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has been no change in our internal control over financial reporting (as defined in Rules 13a-15(f) and 15d-15(f) under the Exchange Act) that occurred during the fiscal quarter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bookmarkStart w:id="12" w:name="part_ii_or_information"/>
      <w:bookmarkEnd w:id="12"/>
      <w:r>
        <w:rPr>
          <w:rFonts w:ascii="Times New Roman" w:hAnsi="Times New Roman"/>
          <w:b/>
          <w:color w:val="000000"/>
          <w:sz w:val="18"/>
        </w:rPr>
        <w:t>PART II—OTHER INFORMATION</w:t>
      </w:r>
    </w:p>
    <w:p>
      <w:pPr>
        <w:pStyle w:val="TextBody"/>
        <w:bidi w:val="0"/>
        <w:spacing w:before="240" w:after="283"/>
        <w:jc w:val="left"/>
        <w:rPr>
          <w:rFonts w:ascii="Times New Roman" w:hAnsi="Times New Roman"/>
          <w:b/>
          <w:color w:val="000000"/>
          <w:sz w:val="18"/>
        </w:rPr>
      </w:pPr>
      <w:bookmarkStart w:id="13" w:name="item_1_legal_proceedings"/>
      <w:bookmarkEnd w:id="13"/>
      <w:r>
        <w:rPr>
          <w:rFonts w:ascii="Times New Roman" w:hAnsi="Times New Roman"/>
          <w:b/>
          <w:color w:val="000000"/>
          <w:sz w:val="18"/>
        </w:rPr>
        <w:t>Item 1. Legal Proceedings.</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On December 18, 2024, David Hayes, or the Plaintiff, an alleged Relay Therapeutics stockholder, derivatively and on behalf of us as a nominal defendant, filed a complaint in the Court of Chancery of the State of Delaware, or the Court, captioned </w:t>
      </w:r>
      <w:r>
        <w:rPr>
          <w:rFonts w:ascii="Times New Roman" w:hAnsi="Times New Roman"/>
          <w:i/>
          <w:color w:val="000000"/>
          <w:sz w:val="18"/>
        </w:rPr>
        <w:t>Hayes v. Borisy, et al.</w:t>
      </w:r>
      <w:r>
        <w:rPr>
          <w:rFonts w:ascii="Times New Roman" w:hAnsi="Times New Roman"/>
          <w:color w:val="000000"/>
          <w:sz w:val="20"/>
        </w:rPr>
        <w:t xml:space="preserve"> </w:t>
      </w:r>
      <w:r>
        <w:rPr>
          <w:rFonts w:ascii="Times New Roman" w:hAnsi="Times New Roman"/>
          <w:color w:val="000000"/>
          <w:sz w:val="18"/>
        </w:rPr>
        <w:t>(C.A. No. 2024-1309-PAF), or the Derivative Complaint, against certain of our directors and officers, or the Defendants. The Derivative Complaint alleges that, in 2021, 2022, and 2023, the Defendants awarded the members of our Board of Directors excessive compensation. The Derivative Complaint asserts claims for breach of fiduciary duty, unjust enrichment, waste of corporate assets, and breach of fiduciary duty of disclosure. The Derivative Complaint seeks a judgment against the Defendants declaring that Plaintiff may maintain the action on behalf of us and that he is an adequate representative of us; awarding to us the damages sustained as a result of the breaches of fiduciary duty and unjust enrichment alleged against the Defendants; directing us to take all necessary actions to reform and improve an effective system of corporate governance and internal procedures; awarding us restitution from the Defendants; ordering the Defendants to disgorge and pay to us or cancel all profits, benefits, and other compensation obtained; awarding Plaintiff costs and disbursements of the action, including reasonable attorneys’, accountants’, and experts’ fees, costs, and expenses; and granting such other relief that the Court deems just and proper. On January 24, 2025, we, as nominal defendants, and the Defendants separately answered the complaint. The case is now in discovery. We are unable to predict the outcome, or the reasonably possible loss or range of loss, if any, related to this matter.</w:t>
      </w:r>
    </w:p>
    <w:p>
      <w:pPr>
        <w:pStyle w:val="TextBody"/>
        <w:bidi w:val="0"/>
        <w:spacing w:before="240" w:after="283"/>
        <w:jc w:val="left"/>
        <w:rPr>
          <w:rFonts w:ascii="Times New Roman" w:hAnsi="Times New Roman"/>
          <w:b/>
          <w:color w:val="000000"/>
          <w:sz w:val="18"/>
        </w:rPr>
      </w:pPr>
      <w:bookmarkStart w:id="14" w:name="item_1a_risk_factors"/>
      <w:bookmarkEnd w:id="14"/>
      <w:r>
        <w:rPr>
          <w:rFonts w:ascii="Times New Roman" w:hAnsi="Times New Roman"/>
          <w:b/>
          <w:color w:val="000000"/>
          <w:sz w:val="18"/>
        </w:rPr>
        <w:t>Item 1A. Risk Factors.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in our common stock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materially harm our business, financial condition, results of operations and growth prospects and could result in a complete loss of your investment. Consequently, you should not consider the following to be a complete discussion of all potential risks or uncertainties.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never successfully completed any large-scale, pivotal clinical trials, and we may be unable to do so for any product candidates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not yet demonstrated our ability to successfully complete any large-scale, pivotal clinical trials, obtain regulatory approvals, manufacture a commercial scale product, or arrange for a third party to do so on our behalf, or conduct sales and marketing activities necessary for successful commercialization. We have two product candidates in clinical development. We may not be able to file investigational new drug applications, or INDs, for any of our preclinical product candidates on the timelines we expect, if at all. For example, we may experience manufacturing delays or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expect. Successful completion of our clinical trials is a prerequisite to submitting a new drug application, or NDA, to the FDA and a Marketing Authorization Application, or MAA, to the EMA for each product candidate and, consequently, the ultimate approval and commercial marketing of each product candidate. While we have active clinical trials for our lead product candidate, zovegalisib, and RLY-8161, we do not know whether any of our current clinical trials will be completed on schedule, if at all, or whether any of our future clinical trials will begin on time or be completed on schedule, if at all.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delayed in obtaining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not obtain marketing approval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approval for indications or patient populations that are not as broad as intended or desired;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subject to post-marketing requirements;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the product removed from the market after obtaining marketing approval. </w:t>
      </w:r>
    </w:p>
    <w:p>
      <w:pPr>
        <w:pStyle w:val="TextBody"/>
        <w:bidi w:val="0"/>
        <w:spacing w:before="240" w:after="283"/>
        <w:jc w:val="left"/>
        <w:rPr>
          <w:rFonts w:ascii="Times New Roman" w:hAnsi="Times New Roman"/>
          <w:sz w:val="20"/>
        </w:rPr>
      </w:pPr>
      <w:r>
        <w:rPr>
          <w:rFonts w:ascii="Times New Roman" w:hAnsi="Times New Roman"/>
          <w:b/>
          <w:i/>
          <w:color w:val="000000"/>
          <w:sz w:val="18"/>
        </w:rPr>
        <w:t>Clinical product development involves a lengthy and expensive process, with an uncertain outcome.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 marketing approval of their product candidates. Our preclinical and other nonclinical studies and future clinical trials may not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publish interim, top-line or preliminary data from our clinical trials. Interim data from clinical trials are subject to the risk that one or more of the clinical outcomes may materially change as more participants enroll and as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regulators or institutional review boards, or IRBs, or ethics committees may not authorize us or our investigators to commence a clinical trial or conduct a clinical trial at a prospective trial site;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existing clinical trial sites may drop out of the clinical trial, which may require that we add new clinical trial sites or investigators;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clinical trials of our product candidates may produce negative or inconclusive results, and we may decide, or regulators may require us, to conduct additional nonclinical studies or clinical trials or we may decide to abandon product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third-party contractors may fail to comply with regulatory requirements or meet their contractual obligations to us in a timely manner, or at all, or may deviate from the clinical trial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clinical trials of our product candidates may be greater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adequately project the timing and quantity of our product candidates or any other materials necessary to conduct clinical trials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supply or quality of our product candidates, other therapies used in our clinical trials or any other materials necessary to conduct clinical trials of our product candidates may be insufficient or inadequate or not available in a reasonable timeframe, and any transfer of manufacturing activities may require unforeseen manufacturing or formulation changes;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product candidates may have undesirable side effects or other unexpected characteristics, causing us or our investigators, regulators or IRBs or ethics committees to suspend or terminate the clinical trials, or reports may arise from nonclinical studies or clinical testing of other therapies that raise safety or efficacy concerns about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18"/>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a suspension or termination or clinical hold due to a number of factors, including failure to conduct the clinical trial in accordance with regulatory requirements or our clinical protocols, inspection of the clinical trial 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costs will also increase if we experience delays in preclinical studies, clinical trials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Any delays in our preclinical or current or future clinical development programs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have applied, and intend to continue applying,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or other disease is either severe enough or not too advanced to include them in a study. Additionally, the process of finding patients may prove costly. Where our clinical trials involve multiple combination arms, our ability to enroll eligible patients may be limited or may result in slower enrollment than we anticipate. We also may not be able to identify, recruit and enroll a sufficient number of patients to complete our clinical studies because of the perceived risks and benefits of the product candidates under study or any of the other therapies used in combination with such product candidates,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engaged and may continue to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 timelines. The FDA has indicated that if we continue zovegalisib in a specific biomarker-defined population, a companion diagnostic device will be required to ensure its safe and effective use. If any of our future third-party companion diagnostic partners is unable or unwilling to obtain or maintain regulatory approval for a companion diagnostic for any of our product candidates, regulatory approval for such product candidates, if obtained at all, may be delayed.</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Clinical trial enrollment may be affected by other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severity or rarity of the disease under investigation;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eligibility criteria for the clinical trial in question;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availability of an appropriate genomic screening test;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perceived risks and benefits of the product candidate under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resources and efforts required to facilitate timely enrollment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approved products that treat the same indications as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patient referral practices of physicians;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ability to monitor patients adequately during and after treatment;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proximity and availability of clinical trial sites for prospective patients;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factors we may not be able to control that may limit patients, principal investigators or staff or clinical site availability, such as uncertain geopolitical conditions or current or future pandemics. </w:t>
      </w:r>
    </w:p>
    <w:p>
      <w:pPr>
        <w:pStyle w:val="TextBody"/>
        <w:bidi w:val="0"/>
        <w:spacing w:before="240" w:after="283"/>
        <w:jc w:val="left"/>
        <w:rPr>
          <w:rFonts w:ascii="Times New Roman" w:hAnsi="Times New Roman"/>
          <w:sz w:val="20"/>
        </w:rPr>
      </w:pPr>
      <w:r>
        <w:rPr>
          <w:rFonts w:ascii="Times New Roman" w:hAnsi="Times New Roman"/>
          <w:color w:val="000000"/>
          <w:sz w:val="18"/>
        </w:rPr>
        <w:t>Additionally, for certain of our current and future clinical trials, we have and may utilize, an "open-label" trial design. An "open-label" clinical trial is one where both the patient and investigator know whether the patient is receiving the investigational product candidate or either an active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blinded trial.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other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or future clinical trials or those of future collaborators or licensees may reveal significant adverse events not seen in our preclinical or other nonclinical studies or early clinical data and may result in a safety profile that would inhibit regulatory approval or market acceptance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indicative of results obtained when such trials are completed.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or other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developing certain product candidates and may develop future product candidates, in combination with one or more cancer or other therapies. The uncertainty resulting from the use of our product candidates in combination with other therapies may make it difficult to accurately predict side effects in future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 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If used in combination with other therapies in the future, our product candidates could exacerbate adverse events associated with those therapies, as well as result in adverse events from drug-drug interaction.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pStyle w:val="TextBody"/>
        <w:bidi w:val="0"/>
        <w:spacing w:before="240" w:after="283"/>
        <w:jc w:val="left"/>
        <w:rPr>
          <w:rFonts w:ascii="Times New Roman" w:hAnsi="Times New Roman"/>
          <w:sz w:val="20"/>
        </w:rPr>
      </w:pPr>
      <w:r>
        <w:rPr>
          <w:rFonts w:ascii="Times New Roman" w:hAnsi="Times New Roman"/>
          <w:color w:val="000000"/>
          <w:sz w:val="18"/>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as part of our research efforts, we develop various protein models and make predictions as to how molecules might move, with subsequent validation efforts in our and our CROs’ labs. There can be no assurance that we will find potential additional targets using this approach, that any such targets will be tractable, that preclinical development of any of our research programs will be successful or that any clinical validations will be successful. Our research programs may initially show promise in identifying potential indications and/or product candidates, yet fail to yield results for clinical development for a number of reasons,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research methodology used may not be successful in identifying potential indications and/or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product candidates may, after further study, be shown to have harmful adverse effects or other characteristics that indicate they are unlikely to be effective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before="240" w:after="283"/>
        <w:jc w:val="left"/>
        <w:rPr>
          <w:rFonts w:ascii="Times New Roman" w:hAnsi="Times New Roman"/>
          <w:sz w:val="20"/>
        </w:rPr>
      </w:pPr>
      <w:r>
        <w:rPr>
          <w:rFonts w:ascii="Times New Roman" w:hAnsi="Times New Roman"/>
          <w:color w:val="000000"/>
          <w:sz w:val="18"/>
        </w:rPr>
        <w:t>Our early-stage discovery programs and preclinical development programs may not reach clinical development on the timelines we expect or ever. 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Accordingly, there can be no assurance that we will ever be able to identify additional therapeutic opportunities for our product candidates or to develop suitable potential product candidates through internal research programs or in collaboration with third parties, which could materially adversely affect our future growth and prospects. We may focus our efforts and resources on potential product candidates or other potential programs that ultimately prove to be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intend to develop our lead product candidate, may develop other current product candidates and potentially future product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develop zovegalisib and may develop our other current product candidates and future product candidates, for use in combination with one or more currently approved cancer or other therapies. Even if any product candidate we develop was to receive marketing approval or be commercialized for use in combination with other existing therapies, we would continue to bear the risks that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FDA or similar regulatory authorities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evaluating zovegalisib and may in the future evaluate other current product candidates or any future product candidates in combination with one or more cancer or other therapies that have not yet been approved for marketing by the FDA or similar regulatory authorities. For example, in June 2024, we entered into a clinical trial collaboration with Pfizer to evaluate atirmociclib, Pfizer’s investigative selective-CDK4 inhibitor, in combination with zovegalisib and fulvestrant in patients with PI3Kα-mutated, HR+, HER2- metastatic breast cancer and are evaluating this combination in our ReDiscover Trial. Additionally, in April 2026, we entered into a supply agreement with Pfizer pursuant to which Pfizer has agreed to supply atirmociclib and palbociclib for use in our planned Phase 3 trial evaluating zovegalisib in combination with atirmociclib and aromatase inhibitor, subject to regulatory feedback. We will not be able to market and sell any of our product candidates we develop in combination with any such unapproved therapies that do not ultimately obtain marketing approval. In addition, unapproved therapies face the same risks described with respect to our product candidates currently in development and clinical trials, including the potential for serious adverse effects, supply and/or manufacturing issues, delay in their clinical trials, and lack of FDA approval.</w:t>
      </w:r>
    </w:p>
    <w:p>
      <w:pPr>
        <w:pStyle w:val="TextBody"/>
        <w:bidi w:val="0"/>
        <w:spacing w:before="240" w:after="283"/>
        <w:jc w:val="left"/>
        <w:rPr>
          <w:rFonts w:ascii="Times New Roman" w:hAnsi="Times New Roman"/>
          <w:sz w:val="20"/>
        </w:rPr>
      </w:pPr>
      <w:r>
        <w:rPr>
          <w:rFonts w:ascii="Times New Roman" w:hAnsi="Times New Roman"/>
          <w:color w:val="000000"/>
          <w:sz w:val="18"/>
        </w:rPr>
        <w:t>The uncertainty resulting from the use of our product candidates in combination with other approved or unapproved therapies may make it difficult to accurately predict side effects in current or future clinical trials. If the FDA or similar regulatory authorities do not approve these other drugs or revoke their approval of, or if safety, efficacy, manufacturing, or supply issues arise with, the drugs we choose to evaluate in combination with our lead product candidate or any other current or future product candidate we develop, we may be unable to obtain approval of or market any of such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product candidates utilize a novel mechanism of action and novel binding locations, which may result in greater research and development expenses, regulatory issues that could delay or prevent approval, or discovery of unknown or unanticipated adverse effects.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raise problems that we may not be able to resolve.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 unanticipated adverse effects during our preclinical or other nonclinical studies and clinical trials. Any such events could adversely impact our business prospects,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conducting, or have filed clinical trial applications to conduct, clinical trials for our product candidates outside the United States, and the FDA and similar foreign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conducted or are conducting, or have filed clinical trial applications to conduct, additional clinical trials outside the United States, including Australia, Canada, the United Kingdom, Europe, South America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need for additional clinical trials, which would be costly and time-consuming and delay aspects of our business plan, and which may result in our product candidates not receiving approval or clearance for commercialization in the applicable jurisdiction. Additionally, recent policy proposals in the U.S., if enacted in the future, may make acceptance by the FDA or inclusion in a marketing application of foreign data more difficult or costly.</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Obtaining Regulatory Approvals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process of obtaining regulatory approvals, both in the United States and abroad, is expensive and often takes many years. If the FDA or a similar foreign regulatory authority requires that we perform additional nonclinical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510(k) or other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It is also unclear how FDA marketing approval policies along with FDA interpretations of law or regulatory discretion could change as a result of the U.S. Supreme Court’s decision to overturn prior established case law giving deference to agency decisions and interpretations. Our product candidates could be delayed in receiving, or fail to receive, regulatory approval for many reasons,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or change their position regarding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enroll a sufficient number of patients in our 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to the satisfaction of the FDA or similar foreign regulatory authorities that a product candidate is safe and effective for its proposed indication or a related companion diagnostic is suitable to identify appropriate patient populations;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clinical trials may not meet the level of statistical significance required by the FDA or similar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our interpretation of data from nonclinical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find deficiencies with or fail to approve the manufacturing processes or facilities of third-party manufacturers with which we contract for clinical and commercial supplies;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approval policies or regulations of the FDA or similar foreign regulatory authorities may significantly change such that our clinical data are insufficient for approval.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projections of both the number of people who have the diseases our product candidates are targeting, as well as the subset of people with such disease who have the potential to benefit from treatment with any of our product candidates, are based on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cancers and solid tumors or other applicable diseases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For example, in December 2024, we entered into the exclusive global licensing agreement with Elevar for lirafugratinib, and in early 2025, we reduced our research-stage programs, allowing us to focus our resources on the remainder of our portfolio. These and other prioritization decisions may prove to be the wrong choice and may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clinical and management personnel and establishing clinical trial sites and patient registration for clinical trials, as well as in acquiring technologies complementary to, or necessary for, our programs. In addition, we cannot predict whether our current competitive advantages will remain in place in the future. If these or other barriers to entry do not remain in place, other companies may be able to more directly or effectively compete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efficacy, safety, convenience, price, the level of generic competition and the availability of reimbursement from government and other third-party payors.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See "</w:t>
      </w:r>
      <w:r>
        <w:rPr>
          <w:rFonts w:ascii="Times New Roman" w:hAnsi="Times New Roman"/>
          <w:i/>
          <w:color w:val="000000"/>
          <w:sz w:val="18"/>
        </w:rPr>
        <w:t>Business – Governmental Regulation – Insurance coverage and reimbursement</w:t>
      </w:r>
      <w:r>
        <w:rPr>
          <w:rFonts w:ascii="Times New Roman" w:hAnsi="Times New Roman"/>
          <w:color w:val="000000"/>
          <w:sz w:val="18"/>
        </w:rPr>
        <w:t>" in our Annual Report on Form 10-K for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in a timely manner. Further, these prices for drugs may be reduced by mandatory discounts or rebates required by government healthcare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relied on, and expect to continue to rely on, third parties to conduct our current and future clinical trials of our product candidates, as well as investigator-sponsored clinical trials of our product candidates and any investigational products.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controlled by us or third parties, for any one or more reasons, including elements of the design or execution of the trials or safety concerns or other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 to be inadequate compared to the first-hand knowledge we might have gained had the investigator-sponsored trials been sponsored and conducted by us, then our ability to design and conduct any future clinical trials ourselves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similar foreign regulatory authorities for any products in clinical development, including the EMA and the MHRA.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public notification of noncompliance, fines, adverse publicity and civil and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designed our first-in-human clinical trials of our lead product candidate and intend to design the future clinical trials for any other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staffing difficulties;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fail to comply with contractual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experience regulatory compliance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undergo changes in priorities or become financially distressed;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form relationships with other entities, some of which may be our competitors. </w:t>
      </w:r>
    </w:p>
    <w:p>
      <w:pPr>
        <w:pStyle w:val="TextBody"/>
        <w:bidi w:val="0"/>
        <w:spacing w:before="240" w:after="283"/>
        <w:jc w:val="left"/>
        <w:rPr>
          <w:rFonts w:ascii="Times New Roman" w:hAnsi="Times New Roman"/>
          <w:sz w:val="20"/>
        </w:rPr>
      </w:pPr>
      <w:r>
        <w:rPr>
          <w:rFonts w:ascii="Times New Roman" w:hAnsi="Times New Roman"/>
          <w:color w:val="000000"/>
          <w:sz w:val="18"/>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contract with third parties for the manufacture of our product candidates for preclinical development, clinical testing, and expect to continue to do so for commercialization. We also rely, and expect to continue to rely, on third parties for the supply of any investigational products, standard-of-care drugs and comparator agents used in our clinical trials. This reliance on third parties increases the risk that we will not have sufficient quantities of our product candidates or other therapies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be unable to establish any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reliance on the third party for regulatory compliance and quality assurance;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breach of the manufacturing agreement by the third party;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misappropriation of our proprietary information, including our trade secrets and know-how;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termination or nonrenewal of the agreement by the third party at a time that is costly or inconvenient for us.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performance failure on the part of our existing or future manufacturers could delay clinical development or marketing approval. We are also unable to predict how the effects of ongoing geopolitical conflicts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candidates that such CMO owns independently. This would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increase our reliance on such CMO or require us to obtain a license from such CMO in order to have another CMO manufacture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currently rely on foreign CMOs for the manufacture of certain of our product candidates for preclinical development and clinical testing and will likely continue to do so in the future. Foreign CMOs may be subject to U.S. legislation or investigations,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product candidates, if ever approved, and could adversely affect our financial condition and business prospects.</w:t>
      </w:r>
    </w:p>
    <w:p>
      <w:pPr>
        <w:pStyle w:val="TextBody"/>
        <w:bidi w:val="0"/>
        <w:spacing w:before="240" w:after="283"/>
        <w:jc w:val="left"/>
        <w:rPr>
          <w:rFonts w:ascii="Times New Roman" w:hAnsi="Times New Roman"/>
          <w:sz w:val="20"/>
        </w:rPr>
      </w:pPr>
      <w:r>
        <w:rPr>
          <w:rFonts w:ascii="Times New Roman" w:hAnsi="Times New Roman"/>
          <w:color w:val="000000"/>
          <w:sz w:val="18"/>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also rely, and expect to continue to rely, on third parties for the supply of any investigational products, standard-of-care drugs or comparator agents used in our clinical trials. Any supply chain challenges may affect our ability to supply clinical sites with any investigational products, standard-of-care drugs and/or comparator agents that we use in our clinical trials and may prevent us from enrolling subjects into our clinical trials, may result in increased costs for our clinical trials, and may otherwise delay, prevent or impair our development efforts.</w:t>
      </w:r>
    </w:p>
    <w:p>
      <w:pPr>
        <w:pStyle w:val="TextBody"/>
        <w:bidi w:val="0"/>
        <w:spacing w:before="240" w:after="240"/>
        <w:jc w:val="left"/>
        <w:rPr>
          <w:rFonts w:ascii="Times New Roman" w:hAnsi="Times New Roman"/>
          <w:b/>
          <w:i/>
          <w:color w:val="000000"/>
          <w:sz w:val="18"/>
        </w:rPr>
      </w:pPr>
      <w:r>
        <w:rPr>
          <w:rFonts w:ascii="Times New Roman" w:hAnsi="Times New Roman"/>
          <w:b/>
          <w:i/>
          <w:color w:val="000000"/>
          <w:sz w:val="18"/>
        </w:rPr>
        <w:t>We rely on third-party manufacturers and service providers that operate in China, and evolving U.S. national security and supply-chain restrictions could materially adversely affect our development programs and future commercialization efforts.</w:t>
      </w:r>
    </w:p>
    <w:p>
      <w:pPr>
        <w:pStyle w:val="TextBody"/>
        <w:bidi w:val="0"/>
        <w:spacing w:before="0" w:after="240"/>
        <w:jc w:val="left"/>
        <w:rPr>
          <w:rFonts w:ascii="Times New Roman" w:hAnsi="Times New Roman"/>
          <w:sz w:val="20"/>
        </w:rPr>
      </w:pPr>
      <w:r>
        <w:rPr>
          <w:rFonts w:ascii="Times New Roman" w:hAnsi="Times New Roman"/>
          <w:color w:val="000000"/>
          <w:sz w:val="18"/>
        </w:rPr>
        <w:t>We currently rely on third-party CMOs and other vendors located outside the United States, including entities that operate in China, for the manufacture of clinical trial materials and the provision of certain development-related services. For example, we currently rely on WuXi AppTec Co. Ltd. and/or its affiliates, or WuXi AppTec, for the manufacture of certain of our product candidates, and we may continue to rely on foreign CMOs and other service providers in the future.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18"/>
        </w:rPr>
        <w:t>On December 18, 2025, the National Defense Authorization Act for Fiscal Year 2026, or the NDAA, was enacted, which includes Section 851, commonly referred to as the “BIOSECURE Act.” The BIOSECURE Act restricts U.S. government agencies from procuring biotechnology equipment or services produced or provided by, or from entering into contracts with, entities that use biotechnology equipment or services produced or provided by “biotechnology companies of concern”, or BCCs, and from expending federal loan or grant funds for such equipment or services.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18"/>
        </w:rPr>
        <w:t>Under the BIOSECURE Act, BCCs are identified through two pathways. First, an entity included on the U.S. Department of Defense’s, or the DoD’s, 1260H List of “Chinese military companies” will be designated a BCC if the Office of Management and Budget, or OMB, determines that the entity is to any extent involved in the manufacturing, distribution, provision, or procurement of biotechnology equipment or services. Second, an entity not on the 1260H List may separately be designated a BCC by OMB if it meets additional statutory criteria, including that it is subject to the control of or acts on behalf of a specified foreign adversary government (such as China) and poses certain national security risks.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On June 11, 2026, WuXi AppTec filed a complaint against DoD in the U.S. District Court for the District of Columbia, challenging its inclusion on the 1260H List as unsupported by the applicable statutory criteria and seeking to have the designation vacated. We cannot predict the outcome of this litigation or its effect on WuXi AppTec’s status under the 1260H List or the BIOSECURE Act.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BIOSECURE Act’s prohibitions are not yet in effect. OMB is required to publish a formal BCC list no later than December 2026, after which the government has one year to revise the Federal Acquisition Regulation, or FAR, to implement the Act’s restrictions, with prohibitions taking effect 60 days following such revision. Accordingly, the BIOSECURE Act’s restrictions applicable to newly designated BCCs may not take effect until 2027 or later. The BIOSECURE Act also provides a five-year grandfathering period for biotechnology equipment or services provided under contracts with a BCC that were entered into prior to the applicable effective date; however, there can be no assurance that the grandfathering period or other transitional provisions will be available to us or will provide adequate time to identify and qualify alternative manufacturers or service providers.</w:t>
      </w:r>
    </w:p>
    <w:p>
      <w:pPr>
        <w:pStyle w:val="TextBody"/>
        <w:bidi w:val="0"/>
        <w:spacing w:before="0" w:after="240"/>
        <w:jc w:val="left"/>
        <w:rPr>
          <w:rFonts w:ascii="Times New Roman" w:hAnsi="Times New Roman"/>
          <w:sz w:val="20"/>
        </w:rPr>
      </w:pPr>
      <w:r>
        <w:rPr>
          <w:rFonts w:ascii="Times New Roman" w:hAnsi="Times New Roman"/>
          <w:color w:val="000000"/>
          <w:sz w:val="18"/>
        </w:rPr>
        <w:t>Although the BIOSECURE Act includes certain exceptions, waivers, and safe harbors, including the grandfathering period described above, these provisions may be limited in scope, subject to agency interpretation, or unavailable in particular circumstances. The manner in which OMB, DoD, and other agencies will interpret and enforce the BIOSECURE Act’s requirements, including the ultimate consequences of WuXi AppTec’s inclusion on the 1260H List and the outcome of its pending litigation, remains uncertain.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18"/>
        </w:rPr>
        <w:t>If WuXi AppTec, or any other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investment, or ultimately commercialize any product candidates, which could materially harm our business, financial condition, and prospects.</w:t>
      </w:r>
    </w:p>
    <w:p>
      <w:pPr>
        <w:pStyle w:val="TextBody"/>
        <w:bidi w:val="0"/>
        <w:jc w:val="left"/>
        <w:rPr>
          <w:rFonts w:ascii="Times New Roman" w:hAnsi="Times New Roman"/>
          <w:sz w:val="20"/>
        </w:rPr>
      </w:pPr>
      <w:r>
        <w:rPr>
          <w:rFonts w:ascii="Times New Roman" w:hAnsi="Times New Roman"/>
          <w:b/>
          <w:i/>
          <w:color w:val="000000"/>
          <w:sz w:val="18"/>
        </w:rPr>
        <w:t>The third parties upon whom we rely for the supply of the active pharmaceutical ingredients, drug product and starting materials used in our product candidates are our sole source of supply, and the loss of any of these suppliers could significantly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active pharmaceutical ingredients, or API, drug product and starting materials used in our product candidates are supplied to us primarily from single-source suppliers.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 We do not currently have arrangements in place for a redundant or second-source supply of any such API, drug product or starting materials in the event any of our current suppliers of such API, drug product or starting materials ceases its operations for any reason. If any of our third-party suppliers or manufacturers ceases its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 We are also unable to predict how changing global economic conditions or ongoing geopolitical conflicts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Establishing additional or replacement suppliers for the API, drug product and starting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and may enter into other licenses or collaborations with third parties for the research, development, manufacture and commercialization of one or more of our programs or product candidates. If these licenses or collaborations are not successful, our business could be adversely affected.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entered into and may enter into licenses or collaborations with third parties for one or more of our programs or product candidates, such as the Elevar Agreement to develop and commercialize lirafugratinib. If we enter into any such arrangements with any third parties, we will likely have limited control over the amount and timing of resources that any licensees or collaborators dedicate to the development or commercialization of our product candidates. Our ability to generate revenue from these arrangements will depend on our licensees' or collaborators’ abilities to successfully perform the functions assigned to them.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licenses or collaborations we have entered into or will enter into may pose risks,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have significant discretion in determining the efforts and resources that they will apply to these licenses or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clinical trials conducted as part of these licenses or collaborations may not be successful;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not pursue development and/or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not have access to, or may be restricted from disclosing, certain information regarding product candidates being developed or commercialized under a license or collaboration and, consequently, may have limited ability to inform our stockholders about the status of such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Product candidates developed in collaboration with us may be viewed by any licensee or collaborator as competitive with their own product candidates or products, which may cause licensees or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licensee or collaborator with marketing and distribution rights to one or more of our product candidates that achieve regulatory approval may not commit sufficient resources to the marketing and distribution of any such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Disagreements with licensees or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Disputes may arise with respect to the ownership of intellectual property developed pursuant to our licenses or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infringe the intellectual property rights of third parties, which may expose us to litigation and potential liability;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Licenses or collaborations may be terminated for the convenience of the licensee or collaborator and, if terminated, we could be required to raise additional capital to pursue further development or commercialization of the applicable product candidates.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our licenses or collaborations do not result in the successful development and commercialization of products, or if one of any future licensees or collaborators terminates its agreement with us, we may not receive any milestone or royalty payments under the license or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licensees or collaborators.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if any licensee or collaborator terminates its agreement with us, we may find it more difficult to attract new licensees or collaborators and our reputation among the business and financial communities could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to establish additional licenses and/or collaborations, and, if we are not able to establish them on commercially reasonable terms, or at all,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programs and the potential commercialization of our product candidates will require substantial additional cash to fund expenses. For some of our product candidates, we may decide to license to, or collaborate with, additional pharmaceutical and biotechnology companies for the development and potential commercialization of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face significant competition in seeking appropriate licensees and/or collaborators. Whether we reach a definitive agreement for a license or collaboration will depend, among other things, upon our assessment of the licensee's or collaborator’s resources and expertise, the terms and conditions of the proposed license or collaboration and the proposed licensee's or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licensee or collaborator may also consider alternative product candidates or technologies for similar indications that may be available to license or collaborate on and whether such a license or collaboration could be more attractive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than the one with us for our product candidate. The terms of any additional licenses or collaborations or other arrangements that we may establish may not be favorable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be restricted under license or collaboration agreements from entering into future agreements on certain terms with potential licensees or collaborators. Licenses and collaborations are complex and time-consuming to negotiate and document. In addition, there have been a significant number of business combinations among large pharmaceutical companies that have resulted in a reduced number of potential future licensees and/or collaborators.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negotiate additional licenses or collaborations on a timely basis, on acceptable terms, or at all. If we are unable to do so, we may have to curtail the development of the product candidate for which we are seeking to license or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required to pay certain milestones, royalties or other payments under our license or collaboration agreements with third-party licensors or collaborators, which may adversely affect the overall profitability of any products that we may seek to commercialize or adversely impact the value of other transactional opportunities.</w:t>
      </w:r>
    </w:p>
    <w:p>
      <w:pPr>
        <w:pStyle w:val="TextBody"/>
        <w:bidi w:val="0"/>
        <w:spacing w:before="240" w:after="283"/>
        <w:jc w:val="left"/>
        <w:rPr>
          <w:rFonts w:ascii="Times New Roman" w:hAnsi="Times New Roman"/>
          <w:sz w:val="20"/>
        </w:rPr>
      </w:pPr>
      <w:r>
        <w:rPr>
          <w:rFonts w:ascii="Times New Roman" w:hAnsi="Times New Roman"/>
          <w:color w:val="000000"/>
          <w:sz w:val="18"/>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Moreover, we may be subject to certain payment obligations under our current and future license agreements, including our DESRES Agreement, in connection with certain transactions. These payment obligations may decrease the value to us of certain transactional opportunities or otherwise burden our ability to enter into such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order to maintain our rights under our current or future license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the event of a claim of breach of the license, our ability to research, develop and obtain approval of product candidates or to commercialize our products could be significantly impaired.</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Financial Position and Ability to Raise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a biopharmaceutical company with a limited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 biopharmaceutical company with a limited operating history and have incurred net losses in each year since our inception. Our net losses were $157.0 million and $147.4 million for the six months ended June 30, 2026 and 2025, respectively. We had an accumulated deficit of $2.2 billion as of June 30, 2026. Biopharmaceutical product development is a highly speculative undertaking and involves a substantial degree of risk. We commenced operations in May 2015. Since inception, we have focused substantially all of our efforts and financial resources on developing our Dynamo® drug discovery platform and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significant operating losses since our inception and anticipate that we will incur continued losses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Substantially all of our operating losses have resulted from costs incurred in connection with our research and development programs and from general and administrative costs associated with our operations. We expect to continue to incur significant research and development expenses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operating losses for the foreseeable future. In the past, we have implemented internal restructurings and reorganizations designed to reduce the size and costs of our operations,</w:t>
      </w:r>
      <w:r>
        <w:rPr>
          <w:rFonts w:ascii="Times New Roman" w:hAnsi="Times New Roman"/>
          <w:color w:val="000000"/>
          <w:sz w:val="20"/>
        </w:rPr>
        <w:t xml:space="preserve"> </w:t>
      </w:r>
      <w:r>
        <w:rPr>
          <w:rFonts w:ascii="Times New Roman" w:hAnsi="Times New Roman"/>
          <w:color w:val="000000"/>
          <w:sz w:val="18"/>
        </w:rPr>
        <w:t>improve operational efficiencies, enhance our ability to pursue market opportunities, and accelerate our development initiatives. If there are unforeseen expenses associated with such realignments in our business strategies, and we incur unanticipated charges or liabilities, we may not be able to effectively realize the expected cost savings or other benefits of such actions,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which could have adverse effects on our business, operating results, and financial condition.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success or failure of clinical trials for our product candidates or competing product candidates, or any other change in the competitive landscape of our industry, including consolidation among our competitors or partners;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successfully recruit and retain subjects for clinical trials, and any delays caused by difficulties in such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obtain marketing approval for our product candidates, and the timing and scope of any such approvals we may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cost of, and level of investment in, research and development activities relating to our product candidates, which may change from time to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manufacturing our product candidates, which may vary depending on the quantity of production and the terms of our agreements with manufacturers;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hire and retain qualified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expenditures that we will or may incur to develop additional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demand for our product candidates should they receive approval, which may vary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risk/benefit profile, cost and reimbursement policies with respect to our product candidates, if approved, and existing and potential future therapeutics that compete with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effectively realize the expected cost savings and other benefits of internal restructurings;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changing and volatile U.S. and global economic environments or ongoing geopolitical conflicts;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accounting pronouncements or changes in our accounting policies. </w:t>
      </w:r>
    </w:p>
    <w:p>
      <w:pPr>
        <w:pStyle w:val="TextBody"/>
        <w:bidi w:val="0"/>
        <w:spacing w:before="240" w:after="283"/>
        <w:jc w:val="left"/>
        <w:rPr>
          <w:rFonts w:ascii="Times New Roman" w:hAnsi="Times New Roman"/>
          <w:sz w:val="20"/>
        </w:rPr>
      </w:pPr>
      <w:r>
        <w:rPr>
          <w:rFonts w:ascii="Times New Roman" w:hAnsi="Times New Roman"/>
          <w:color w:val="000000"/>
          <w:sz w:val="18"/>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no products approved for commercial sale and we have not generated any revenue from product sales.</w:t>
      </w:r>
    </w:p>
    <w:p>
      <w:pPr>
        <w:pStyle w:val="TextBody"/>
        <w:bidi w:val="0"/>
        <w:spacing w:before="240" w:after="283"/>
        <w:jc w:val="left"/>
        <w:rPr>
          <w:rFonts w:ascii="Times New Roman" w:hAnsi="Times New Roman"/>
          <w:sz w:val="20"/>
        </w:rPr>
      </w:pPr>
      <w:r>
        <w:rPr>
          <w:rFonts w:ascii="Times New Roman" w:hAnsi="Times New Roman"/>
          <w:color w:val="000000"/>
          <w:sz w:val="18"/>
        </w:rPr>
        <w:t>Our ability to become profitable depends upon our ability to generate revenue. To date, we have no products approved for commercial sale, we have not generated any revenue from our product sales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complete preclinical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enroll subjects in, and complete,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our IND applications go into effect for our planned clinical trials or future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receive regulatory approvals from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initiate and successfully complete all safety studies required to obtain U.S. and foreign marketing approval for our product candidates;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 commercial manufacturing capabilities or make arrangements with third-party manufacturers for clinical supply and commercial manufacturing;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launch commercial sales of our product candidates, if and when approved, whether alone or in partnership or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acceptance of the product candidates, if and when approved, by patients, the medical community and third-party payors;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effectively compete with other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healthcare coverage and adequate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enforce and defend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take precautionary measures to help minimize the risk of any future pandemics or outbreaks similar to COVID-19 to our employees;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maintain a continued acceptable safety profile of the product candidates following approval. </w:t>
      </w:r>
    </w:p>
    <w:p>
      <w:pPr>
        <w:pStyle w:val="TextBody"/>
        <w:bidi w:val="0"/>
        <w:spacing w:before="240" w:after="283"/>
        <w:jc w:val="left"/>
        <w:rPr>
          <w:rFonts w:ascii="Times New Roman" w:hAnsi="Times New Roman"/>
          <w:sz w:val="20"/>
        </w:rPr>
      </w:pPr>
      <w:r>
        <w:rPr>
          <w:rFonts w:ascii="Times New Roman" w:hAnsi="Times New Roman"/>
          <w:color w:val="000000"/>
          <w:sz w:val="18"/>
        </w:rPr>
        <w:t>If we do not achieve one or more of these factors in a timely manner or at all, we may experience significant delays in our commercialization efforts or we may be unable to successfully commercialize our product candidates at all, which would materially harm our business and prospects. In addition, if we do not receive regulatory approvals for our product candidates, we may not be able to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Raising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will need to raise substantial additional funding. If we are unable to raise capital when needed, we would be forced to delay, reduce or eliminate some of our product development programs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development of pharmaceutical products is capital-intensive. We have programs in clinical and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continue to incur additional costs associated with operating as a public company. Accordingly, we will need to obtain substantial additional funding in connection with our continuing operations. If we are unable to raise capital when needed or fail to do so on attractive terms, we would be forced to delay, reduce or eliminate certain of our research and development programs or future commercialization efforts.</w:t>
      </w:r>
    </w:p>
    <w:p>
      <w:pPr>
        <w:pStyle w:val="TextBody"/>
        <w:bidi w:val="0"/>
        <w:spacing w:before="240" w:after="283"/>
        <w:jc w:val="left"/>
        <w:rPr>
          <w:rFonts w:ascii="Times New Roman" w:hAnsi="Times New Roman"/>
          <w:sz w:val="20"/>
        </w:rPr>
      </w:pPr>
      <w:r>
        <w:rPr>
          <w:rFonts w:ascii="Times New Roman" w:hAnsi="Times New Roman"/>
          <w:color w:val="000000"/>
          <w:sz w:val="18"/>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licenses or collaborations on favorable terms, if at all;</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licenses or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license or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license or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if and/or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sz w:val="20"/>
        </w:rPr>
      </w:pPr>
      <w:r>
        <w:rPr>
          <w:rFonts w:ascii="Times New Roman" w:hAnsi="Times New Roman"/>
          <w:color w:val="000000"/>
          <w:sz w:val="18"/>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the ownership interest of our stockholders will be diluted, and the terms of those securities may include liquidation or other preferences that materially adversely affect their rights as a common stockholder.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May 2026, we completed the May 2026 Offering, of 26,354,167 shares of common stock, which share amount includes the exercise in full of the underwriters' option to purchase an additional 3,437,500 shares, at an offering price of $12.00 per share. We received proceeds of $296.8 million, which was net of $19.4 million in underwriting discounts and other offering expenses.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Additionally, we may offer and sell up to an aggregate amount of $250.0 million of our common stock from time to time in "at the market" offerings pursuant to the sales agreement, or the 2024 Sales Agreement, with TD Securities (USA) LLC, or TD Securities, subject to the limitations thereof. As of June 30, 2026, we sold 16,006,569 shares of common stock under the 2024 Sales Agreement, from which we received $163.0 million in gross proceeds. In connection therewith, we paid $3.8 million in commissions to TD Securities, yielding $159.2 million in net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Debt financing, if available, would increase our fixed payment obligations and may involve agreements that include covenants limiting or restricting our ability to take specific actions, such as incurring additional debt, making capital expenditures or declaring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Public Health Matters and the Global Economy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Any future pandemic, epidemic, or outbreak of an infectious disease similar to the COVID-19 pandemic could affect our business and our financial results and could cause disruption to the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Public health crises such as pandemics or similar outbreaks could adversely impact our business. A public health crisis similar to the COVID-19 pandemic could adversely impact our preclinical, other nonclinical or clinical trial operations, and we may experience delays in initiating, or fail to initiate, IND-enabling studies, recruiting and retaining patients, principal investigators and site staff for our clinical trials, dosing of patients in our clinical trials as well as in activating new trial sites, and protocol deviations. The negative impact of any such public health crisis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unforeseen disruptions arising from a public health crisis, including potential shutdowns or disruptions of businesses and government agencies, such as the SEC or FDA,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Global economic and political conditions, including economic uncertainty tied to interest rates, credit and financial market instability, and uncertainty related to ongoing geopolitical conflicts, are difficult to mitigate and could pose challenges to our growth and profitability and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Unstable market and economic conditions may have adverse consequences on our business, financial condition or results of operations. In recent years, the global economy, in particular the credit and financial markets, has experienced significant volatility and disruptions, including diminished liquidity and credit availability, volatility in commodity prices, declines in consumer confidence and economic growth, and supply chain interruptions. Other factors, including rising interest rates and record inflation, may also increase the general cost of doing business. In 2023, the closures of Silicon Valley Bank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Continued economic uncertainty caused by these and other factors, including political instability, conflicts or crises, at the global level or involving individual countries or regions and any associated economic sanctions, could result in a variety of risks to our business, including difficulty in enrolling participants in our clinical trials, difficulty in forecasting our financial results and managing inventory levels, increases in our business costs, which in turn affect our ability to develop our current and future product candidates, and negatively impacting our ability to raise additional capital when needed on acceptable terms, if at all. In addition, political developments impacting government spending and international trade, including changes in trade agreements, potential government shutdowns and trade disputes and tariffs, including tariffs that have been or may in the future be imposed by the United States or other countries and future legislation or actions taken by the United States or other countries that restrict trade, and protectionist or retaliatory measures taken by the United States or other countries, may negatively impact markets and cause weaker macroeconomic conditions. These global economic and political factors have also strained and could continue to strain certain of our suppliers and manufacturers, possibly resulting in supply disruptions or increased raw material or manufacturing costs, or adversely impacting their ability to manufacture clinical trial materials for our product candidates. Any of the foregoing could harm our business and prospects and we cannot anticipate all of the ways in which the current economic climate and financial market conditions could adversely impact our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Significant political, trade, regulatory developments, and other circumstances beyond our control, could have a material adverse effect on our financial condition or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Significant political, trade, or regulatory developments,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 United States has imposed blanket 10% tariffs on virtually all imports to the U.S. and significantly higher so-called reciprocal tariffs applicable to imports from many countries. On April 9, 2025, the U.S. announced a temporary pause on its reciprocal tariffs applicable to many countries, while increasing the tariffs applicable to imports from China. The Trump administration has threatened to continue to broadly impose tariffs and increase existing tariffs, which could lead to corresponding punitive actions by the countries with which the U.S. trades.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Protecting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Other than our Eurasian, Chinese, Israeli, Japanese, Korean, Chilean and U.S. patents relating to zovegalisib and our U.S. and foreign patents relating to lirafugratinib, we do not own or in-license any issued patents relating to our platform or our product candidates under clinical development.</w:t>
      </w:r>
    </w:p>
    <w:p>
      <w:pPr>
        <w:pStyle w:val="TextBody"/>
        <w:bidi w:val="0"/>
        <w:spacing w:before="240" w:after="283"/>
        <w:jc w:val="left"/>
        <w:rPr>
          <w:rFonts w:ascii="Times New Roman" w:hAnsi="Times New Roman"/>
          <w:sz w:val="20"/>
        </w:rPr>
      </w:pPr>
      <w:r>
        <w:rPr>
          <w:rFonts w:ascii="Times New Roman" w:hAnsi="Times New Roman"/>
          <w:color w:val="000000"/>
          <w:sz w:val="18"/>
        </w:rPr>
        <w:t>The research and development for certain of our programs was performed during the initial research term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 following work product assigned to us: the composition of matter, method of use, and method of manufacture of certain compounds directed to a Category 1 Target, as set forth in the DESRES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After any work product is assigned to us, we will have the right to prepare, file, prosecute and maintain patents that cover such assigned work product. We also have the implicit right to defend patents that cover work product owned by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some of the work product created under our agreement with D. E. Shaw Research has been created by D. E. Shaw Research and us, together, and is thus initially co-owned. We have subsequently obtained sole ownership of certain intellectual property relating specifically to some of our clinical candidates. By virtue of inventorship, we initially jointly owned intellectual property rights pertaining to zovegalisib, but have subsequently obtained sole ownership of intellectual property rights relating to it and certain other PIK3CA inhibitors. Patent applications claiming a genus of PIK3CA inhibitor compounds remain jointly owned with D. E. Shaw Research. We have the first right to prepare, file, prosecute, maintain and defend patents that cover work product jointly created by D. E. Shaw Research and us. If we choose not to exercise those rights with respect to patents and patent applications that cover joint work product, D. E. Shaw Research will have the right to take over such activities, unless such rights are waived. The party that is preparing, filing, prosecuting and maintaining a patent that covers joint work product also has the right to enforce such patent against infringers. If we or D. E. Shaw Research fail to adequately protect any co-owned intellectual property, our ability to commercialize products could suffer.</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The patent position of biotechnology and pharmaceutical companies generally is highly uncertain, involves complex legal and factual questions and has in recent years been the subject of much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product candidates under clinical development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licensed patent rights, and in the future may license additional patent rights, to or from third parties, such as the license of our FGFR2 program, including lirafugratinib, to Elevar.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parties review, post-grant review or interference proceedings challenging our patent rights or the patent rights of others from whom we have obtained licenses to such rights.</w:t>
      </w:r>
    </w:p>
    <w:p>
      <w:pPr>
        <w:pStyle w:val="TextBody"/>
        <w:bidi w:val="0"/>
        <w:spacing w:before="240" w:after="283"/>
        <w:jc w:val="left"/>
        <w:rPr>
          <w:rFonts w:ascii="Times New Roman" w:hAnsi="Times New Roman"/>
          <w:sz w:val="20"/>
        </w:rPr>
      </w:pPr>
      <w:r>
        <w:rPr>
          <w:rFonts w:ascii="Times New Roman" w:hAnsi="Times New Roman"/>
          <w:color w:val="000000"/>
          <w:sz w:val="18"/>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may in the future be subject to claims by our former employees, collaborators, vendors, partners,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 us and D. E. Shaw</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Research may impact our exclusive control of intellectual property important for protecting our product candidates and proprietary position. A loss of exclusivity, in whole or in part, could allow others to compete with us and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failure to secure trademark registrations could adversely affect our business and our ability to market our products and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compete with us. If our trade secrets are not adequately protected so as to protect our market against competitors’ products, our competitive position could be adversely affected, as could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success depends upon our ability and the ability of our licensee or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PI3K inhibitors and FGFR2 inhibitors.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 subject to damages resulting from claims that we or our employees have wrongfully used or disclosed alleged trade secrets of our competitors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Enforcement of Our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not be able to effectively enforce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Third Party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need to license certain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Moreover, disputes may arise regarding intellectual property subject to a licensing agreement,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rights granted under the license agreement and other interpretation-related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extent to which our technology and processes infringe on intellectual property of the licensor that is not subject to the licensing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sublicensing of patent and other rights under our collaborative development relationships;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diligence obligations under the license agreement and what activities satisfy those diligence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inventorship and ownership of inventions and know-how resulting from the joint creation or use of intellectual property by our licensors and us and our partners;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priority of invention of patented technology. </w:t>
      </w:r>
    </w:p>
    <w:p>
      <w:pPr>
        <w:pStyle w:val="TextBody"/>
        <w:bidi w:val="0"/>
        <w:spacing w:before="240" w:after="283"/>
        <w:jc w:val="left"/>
        <w:rPr>
          <w:rFonts w:ascii="Times New Roman" w:hAnsi="Times New Roman"/>
          <w:sz w:val="20"/>
        </w:rPr>
      </w:pPr>
      <w:r>
        <w:rPr>
          <w:rFonts w:ascii="Times New Roman" w:hAnsi="Times New Roman"/>
          <w:color w:val="000000"/>
          <w:sz w:val="18"/>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These and similar issues may arise with respect to our collaboration agreements, such as our DESRES Agreement, as amended. While the initial research term has ended under the DESRES Agreement, there can be no assurance that a dispute between the parties will not arise. These disputes may involve ownership or control of intellectual property rights, exclusivity obligations, diligence and payment obligations, for example.</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licensees or future potential collaborators, regarding intellectual property subject to the DESRES Agreement. If disputes over intellectual property that we co-own or we own individually prevent or impair our ability to maintain our current licensing or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Changes to the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make the inventions covered by the issued patent or pending patent application that we license or own now or in the future;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file patent applications covering certain of our or their inventions;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independently develop similar or alternative technologies or duplicate any of our technologies without infringing our owned or licensed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is possible that our present or future pending patent applications (whether owned or licensed) will not lead to issued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issued patents that we hold rights to may be held invalid or unenforceable, including as a result of legal challenges by our competitors or other third parties;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develop additional proprietary technologies that are patentable;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patents of others may harm our business;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rFonts w:ascii="Times New Roman" w:hAnsi="Times New Roman"/>
          <w:sz w:val="20"/>
        </w:rPr>
      </w:pPr>
      <w:r>
        <w:rPr>
          <w:rFonts w:ascii="Times New Roman" w:hAnsi="Times New Roman"/>
          <w:color w:val="000000"/>
          <w:sz w:val="18"/>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Even if we receive regulatory approval for any of our product candidates, we will be subject to ongoing regulatory obligations and continued regulatory review, and our product candidates, if approved, could be subject to post-market study requirements, marketing and labeling restrictions, and even recall or market withdrawal if unanticipated safety issues are discovered following approval, which may result in significant additional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Additionally, under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restrictions on the marketing or manufacturing of the product, withdrawal of the product from the market, or voluntary or mandatory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clinical trial holds;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fines, warning letters or other regulatory enforcement action;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refusal by the FDA to approve pending applications or supplements to approved applications filed by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product seizure or detention, or refusal to permit the import or export of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injunctions or the imposition of civil or criminal penalties. </w:t>
      </w:r>
    </w:p>
    <w:p>
      <w:pPr>
        <w:pStyle w:val="TextBody"/>
        <w:bidi w:val="0"/>
        <w:spacing w:before="240" w:after="283"/>
        <w:jc w:val="left"/>
        <w:rPr>
          <w:rFonts w:ascii="Times New Roman" w:hAnsi="Times New Roman"/>
          <w:sz w:val="20"/>
        </w:rPr>
      </w:pPr>
      <w:r>
        <w:rPr>
          <w:rFonts w:ascii="Times New Roman" w:hAnsi="Times New Roman"/>
          <w:color w:val="000000"/>
          <w:sz w:val="18"/>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Further, FDA’s Office of Prescription Drug Promotion actively scrutinizes promotional communications, including digital and social media; any materials that are false, misleading or promote unapproved uses can lead to enforcement actions and could necessitate corrective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communications.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Data collection is governed by restrictive regulations governing the processing and cross-border transfer of personal information and we may be subject to various federal, state-specific and international privacy laws. Failure to comply with such requirements in jurisdictions or states where we may conduct ongoing or future clinical trials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we conduct ongoing or future clinical trials, we may be subject to additional data collection and processing restrictions. 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For example, 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personal data relates, providing notice to the individuals to whom the personal data relates regarding data processing activities, implementing safeguards to protect the privacy and security of personal data,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The GDPR focuses on accountability of controllers (such as us) and requires us to put in place all technical and organizational measures (privacy by design and by default) to ensure that we meet our obligations. Penalties under the GDPR include fines of up to €10,000,000 or 2% of our total worldwide annual revenue for certain comparatively minor offenses, or up to €20,000,000 or 4% of our total worldwide annual revenue for more serious offenses. EEA Member States have adopted implementing national laws to implement the GDPR which may partially deviate from the GDPR, and the competent authorities in the EEA Member States may interpret GDPR obligations slightly differently from country to country, so we do not expect to operate in a uniform legal landscape in the EU.</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Further to the UK’s exit from the EU on January 31, 2020, the UK incorporated the GDPR (as it existed on December 31, 2020 but subject to certain UK specific amendments) into UK law, referred to as the UK GDPR. The UK GDPR and the UK Data Protection Act 2018, or collectively, UK GDPR,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UK is recognized as providing adequate protection under the EU GDPR and, therefore, transfers of personal data originating in the EU to the UK remain unrestricted, or the UK Adequacy Decision. Likewise, the UK government has confirmed that personal data transfers from the UK to the EEA remain free flowing. The UK Government introduced a Data Protection and Digital Information Bill, or Data Protection Bill, into the UK legislative process. The aim of the Data Protection Bill was to reform the UK’s data protection regime following Brexit. The Data Protection Bill failed in the UK legislative process. A new Data (Use and Access) Bill, or the UK Bill, has been introduced into parliament. If passed, the final version of the UK Bill may have the effect of further altering the similarities between the UK and EEA data protection regime and threaten the UK Adequacy Decision from the European Commission, or EC. This may lead to additional compliance costs and could increase our overall risk. The respective provisions and enforcement of the EU GDPR and UK GDPR may further diverge in the future and create additional regulatory challenges and uncertainties.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GDPR imposes strict rules on the transfer of personal data out of the EEA and UK to the U.S. or other regions that have not been deemed to offer "adequate" privacy protections. On June 4, 2021, the EC issued new forms of standard contractual clauses, or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continue implementing these safeguards in the event we use these safeguards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July 2023, the European Commission adopted its adequacy decision for the EU-U.S. Data Privacy Framework, or the Framework, the successor of the EU-U.S. Privacy Shield framework. On the basis of the new adequacy decision, personal data can flow safely from the EU to U.S. companies participating in the Framework, without having to put in place additional data protection safeguards. There has been an extension to the Framework to cover UK and Swiss transfers to the U.S. The Framework could be challenged like its predecessor frameworks. This complexity and the additional contractual burden could increase our overall risk exposure. There may be further divergence in the future, including with regard to administrative burdens. However, the long term validity of the Framework, which has already been challenged in court, remains uncertain.</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 connection with any clinical trials in Europe, we are subject to the supervision of local data protection authorities in those jurisdictions where we are monitoring the behavior of individuals in the EEA or UK (i.e., undertaking clinical trials). If we are investigated by an EEA or UK data protection authority, we may face fines and other penalties. Any such investigation or charges by EU or UK data protection authorities could have a negative effect on our business and on our ability to commercialize our products in the future, including with EU, UK-based or multi-national pharmaceutical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Further, regulators and legislators in the U.S. are increasingly scrutinizing and restricting certain personal data transfers and transactions involving foreign countries. For example, Executive Order 14117,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cross-border data protection requirements, we may be subject to various privacy laws in the United States at the state and federal level. In the United States, at the state level, for example, California Consumer Privacy Act, or CCPA, imposed a comprehensive privacy framework for covered businesses, which included an expanded definition of personal information, data privacy rights for consumers in the State of California, special rules on the collection of consumer data from minors, an</w:t>
      </w:r>
      <w:r>
        <w:rPr>
          <w:rFonts w:ascii="Times New Roman" w:hAnsi="Times New Roman"/>
          <w:color w:val="000000"/>
          <w:sz w:val="20"/>
        </w:rPr>
        <w:t xml:space="preserve">d </w:t>
      </w:r>
      <w:r>
        <w:rPr>
          <w:rFonts w:ascii="Times New Roman" w:hAnsi="Times New Roman"/>
          <w:color w:val="000000"/>
          <w:sz w:val="18"/>
        </w:rPr>
        <w:t>provided substantial fines for non-compliance and, in some cases, a private right of action to consumers who are victims of data breaches involving their unredacted or unencrypted personal information. In addition, the California Privacy Rights Act, or CPRA, came into effect on January 1, 2023 and has expanded the privacy protections of the CCPA to also apply to personal information collected in a business to business capacity and from employment applicants, employees and former employees. The CPRA significantly modified the CCPA, including by expanding consumers’ rights with respect to certain sensitive personal information.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 Furthermore, a number of other states have either proposed or enacted comprehensive consumer privacy laws similar to the CCPA, many of which vary in complexity and may be interpreted and enforced differently, thus potentially complicating our compliance efforts. In Washington, for example, the My Health My Data Act, or MHMDA, entered into force on March 31, 2024, and includes a broad private right of action. Seventeen other states passed privacy legislation, which will come into force over the next several years. While these laws generally have exceptions for protected health information that is subject to HIPAA and for information collected in the context of clinical trials, they may nevertheless impact our business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are also states that are specifically regulating health information or other specific types of information. For example, Connecticut and Nevada have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 candidates, if approved. State laws are changing rapidly and there is discussion in the U.S. Congress of a new comprehensive federal data privacy law to which we may likely become subject, if enacted.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these evolving compliance and operational requirements may impose significant costs, such as costs related to organizational changes, implementing additional data protection measures and technologies, training employees, and engaging consultants and legal advisors, which costs may be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litigation or government investigations or enforcement actions and significant penalties against us and could have a material adverse effect on our business, financial condition, or results of operations.</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240" w:after="283"/>
        <w:jc w:val="both"/>
        <w:rPr>
          <w:rFonts w:ascii="Times New Roman" w:hAnsi="Times New Roman"/>
          <w:sz w:val="20"/>
        </w:rPr>
      </w:pPr>
      <w:r>
        <w:rPr>
          <w:rFonts w:ascii="Times New Roman" w:hAnsi="Times New Roman"/>
          <w:color w:val="000000"/>
          <w:sz w:val="18"/>
        </w:rPr>
        <w:t>We may use and integrate artificial intelligence into our business processes,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EU AI Act, — the world’s first comprehensive artificial intelligence law — entered into force in June 2024 and, with some exceptions, becomes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Likewise, in the U.S., the regulatory environment is complex and uncertain. President Trump's Executive Order "Ensuring a National Policy Framework for Artificial Intelligence," effective December 11, 2025, tasks the U.S. Department of Justice with reviewing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state laws regulating artificial intelligence, and instructs the Department of Commerce to develop a national artificial intelligence strategy. At the same time, several states, including Colorado and California, passed laws that regulate various facets of artificial intelligence, some of which have taken effect and will continue to take effect through 2026 and beyond. These laws address a wide range of artificial intelligence-related topics, including consequential decisions, transparency, training data, among others, and it remains unclear which requirements, if any, will be superseded by the Executive Order. In addition, there continues to be uncertainty regarding the application of existing federal and state legal frameworks to uses and development of artificial intelligence, and legal norms and market standards regarding artificial intelligence continue to evolve. For example, various federal and state regulators have issued guidance and focused enforcement efforts on the use of artificial intelligence in regulated sectors. The FDA, for example, issued guidance on the use of artificial intelligence in regulatory decision-making for drug and biological products that centers on the context of use while establishing a credibility assessment framework for establishing and evaluating artificial intelligence model outputs intended to support regulatory decision-making. In the future, if we develop or use artificial intelligence systems that are governed by the EU AI Act or any other artificial intelligence legislation in effect, and further informed by regulatory guidance, it may necessitate ensuring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connection with the clinical development of our product candidates for certain indications, we have previously engaged and may in the future engage third parties to develop or obtain access to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companion diagnostic tests to identify patient subsets within a disease category who may derive selective and meaningful benefit from our product candidates. The FDA has indicated that if we continue zovegalisib in a specific biomarker-defined population, a companion diagnostic device will be required to ensure its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rely on third parties for the design, development and manufacture of companion diagnostic tests for our therapeutic product candidates that may require such tests. In connection with such collaborative agreements, we will be dependent on the sustained cooperation and effort of our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collaborators may encounter difficulties in developing,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Existing regulatory policies may change, and additional government regulations may be enacted that could prevent, limit or delay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Anti-bribery, Anti-corruption and Other Government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engaged and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Although we do not currently have any products on the market, if we begin commercializing our product candidates, we will be subject to additional healthcare statutory and regulatory requirements and enforcement by the federal government and the states and governments of foreign jurisdictions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w:t>
      </w:r>
      <w:r>
        <w:rPr>
          <w:rFonts w:ascii="Times New Roman" w:hAnsi="Times New Roman"/>
          <w:i/>
          <w:color w:val="000000"/>
          <w:sz w:val="18"/>
        </w:rPr>
        <w:t xml:space="preserve">"Business – Government Regulation – Other Healthcare Laws" </w:t>
      </w:r>
      <w:r>
        <w:rPr>
          <w:rFonts w:ascii="Times New Roman" w:hAnsi="Times New Roman"/>
          <w:color w:val="000000"/>
          <w:sz w:val="18"/>
        </w:rPr>
        <w:t>in our Annual Report on Form 10-K for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Review of Certain Drug Development Designations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orphan drug designation for certain of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Similarly, in the EU, the European Commission, upon the recommendation of the EMA’s Committee for Orphan Medicinal Products, grants orphan designation in respect of a product if it can be shown that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such condition authorized for marketing in the EU, or if such a method exists, the product will be of significant benefit to those affected by the condition. In the EU, orphan designation entitles a party to financial incentives such as reduction of fees or fee waivers.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approved use or indication for that time period, except in limited circumstances. The applicable period is seven years in the United States and ten years in the EU. The EU exclusivity period can be reduced to six years if, at the end of the fifth year, it is established that a product no longer meets the criteria for orphan designation, including if the product is sufficiently profitable so that market exclusivity is no longer justified. The European Commission introduced a legislative proposal in April 2023 that, if implemented, could reduce the current ten-year marketing exclusivity period in the EU for certain orphan medicines.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Even if we obtain orphan drug exclusivity for a drug, that exclusivity may not effectively protect the drug from competition because different drugs can be approved for the same approved use or indication. Even after an orphan drug is approved, the FDA can subsequently approve a later drug for the same approved use or indication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certain of our product candidates, we may never receive such designations. 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left"/>
        <w:rPr>
          <w:rFonts w:ascii="Times New Roman" w:hAnsi="Times New Roman"/>
          <w:sz w:val="20"/>
        </w:rPr>
      </w:pPr>
      <w:r>
        <w:rPr>
          <w:rFonts w:ascii="Times New Roman" w:hAnsi="Times New Roman"/>
          <w:b/>
          <w:i/>
          <w:color w:val="000000"/>
          <w:sz w:val="18"/>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 We may also seek a breakthrough therapy designation for some of our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approval of our product candidates, where applicable, under the FDA's accelerated approval pathway. This pathway, even if granted for any of our current or future product candidates, may not lead to a faster development or regulatory review or approval process and it does not increase the likelihood that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accelerated approval of our current and/or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benefit.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do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seek approval of one or more of our product candidates into real-time oncology review, or RTOR. This program may not lead to a faster regulatory review or approval process and does not increase the likelihood that our product candidate(s) will receive marketing approval.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Healthcare Legislative Reform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the EMA and other regulatory authorities may implement additional regulations or restrictions on the development and commercialization of our product candidates, and such changes can be difficult to predict.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w:t>
      </w:r>
      <w:r>
        <w:rPr>
          <w:rFonts w:ascii="Times New Roman" w:hAnsi="Times New Roman"/>
          <w:i/>
          <w:color w:val="000000"/>
          <w:sz w:val="18"/>
        </w:rPr>
        <w:t>Business – Governmental Regulation – Current and future healthcare reform legislation</w:t>
      </w:r>
      <w:r>
        <w:rPr>
          <w:rFonts w:ascii="Times New Roman" w:hAnsi="Times New Roman"/>
          <w:color w:val="000000"/>
          <w:sz w:val="18"/>
        </w:rPr>
        <w:t>" in our Annual Report on Form 10-K for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delaying until January 1, 2032 the implementation of the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Trump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or MFN, pricing rule enacted under the first Trump administration was subject to an injunction resulting from judicial challenges to the rule, which was formally rescinded by the former Biden administration in August 2021.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December 19, 2025, CMS released two proposed rules that would incorporate MFN pricing principles into federal reimbursement for prescription drugs. The first proposal, the Global Benchmark for Efficient Drug Pricing Model, or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demand for our current or future product candidates, if we obtain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set a price that we believe is fair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obtain coverage and reimbursement approval for a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generate revenue and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level of taxes that we are required to pay; and</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capital.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sz w:val="20"/>
        </w:rPr>
      </w:pPr>
      <w:r>
        <w:rPr>
          <w:rFonts w:ascii="Times New Roman" w:hAnsi="Times New Roman"/>
          <w:b/>
          <w:i/>
          <w:color w:val="000000"/>
          <w:sz w:val="18"/>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the Regulatory Agency Review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Disruptions at the FDA, the SEC and other government agencies caused by funding shortages or global health concerns, in addition to substantial uncertainty regarding the Trump administration’s initiatives, leadership changes and staffing cuts and how these might impact the FDA, its implementation of laws, regulations, policies and guidance, and its personnel,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ability of the FDA to review and approve new products can be affected by a variety of factors, including government budget and funding levels, global health concerns, ability to hire and retain key leadership and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sz w:val="20"/>
        </w:rPr>
      </w:pPr>
      <w:r>
        <w:rPr>
          <w:rFonts w:ascii="Times New Roman" w:hAnsi="Times New Roman"/>
          <w:color w:val="000000"/>
          <w:sz w:val="18"/>
        </w:rPr>
        <w:t>Disruptions at the FDA and other agencies, including leadership departures, personnel cuts, and policy changes, may also slow the time necessary for new drugs to be reviewed and/or approved by necessary government agencies, which would adversely affect our business. Changes and cuts in FDA staffing have been reported within the pharmaceutical industry as creating instances of delays in the FDA’s responsiveness or in its ability to review investigational new drug, or IND, submissions or applications, issue regulations or guidance, or implement or enforce regulatory requirements in a timely fashion or at all. For example, over the last several years the U.S. government has shut down several times such as in October 2025 and certain regulatory agencies, such as the FDA and the SEC, have had to furlough critical government employees and stop critical activities. A prolonged government shutdown, significant leadership, personnel, and/or policy changes, or substantial modification in agency activities (including due to global health concerns or geopolitical factors) could significantly impact the ability of the FDA or other regulatory authorities to conduct their regular inspections, reviews, or other regulatory activities. A prolonged shutdown could significantly impact the ability of the FDA to timely review and process our regulatory submissions, which could have a material adverse effect on our business, including INDs placed on clinical holds or delayed new drug approvals. Further, in our operations as a public company,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With the changes being implemented by the Trump administration beginning in 2025, there is substantial uncertainty as to the extent and how the Trump administration will seek to modify or revise the requirements and policies of the FDA and other regulatory agencies with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jurisdiction over our product candidates and any products for which we obtain approval. This uncertainty could present new challenges and/or opportunities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Trump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Employee Matters and Managing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Employee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future success depends on our ability to retain key executives and experienced scientific and clinical personnel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business strategy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employees, principal investigators, CROs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or other nonclinical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increasing use of social media platforms presents risks and challenges.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and our employees utilize social media tools as a means of communication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Environmental, social, and governance matters may impact our business and reputation.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changing rules and regulations related to environmental, social and governance, or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may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or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Growth and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expect to expand our development and regulatory capabilities in the future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June 30, 2026, we had 202 full-time employees. In the future,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acquisitions expose us to risks that could adversely affect our business, and we may not achieve the anticipated benefits of acquisitions of businesses or technologies.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a part of our business strategy, we may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difficulties in integrating new operations, technologies, products,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challenges maintaining uniform procedures, controls and policies with respect to our financial accounting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lack of synergies or the inability to realize expected synergies and cost-savings;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underperformance of any acquired technology, product, or business relative to our expectations and the price we paid;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negative near-term impacts on financial results after an acquisition, including acquisition-related earnings charges;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loss of key employees, customers, and strategic partners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claims by terminated employees and shareholders of acquired companies or other third parties related to the transaction;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assumption or incurrence of additional debt obligations or expenses, or use of substantial portions of our cash;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that dilute the ownership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may not be an option if the price of our common stock is low or volatile which could preclude us from completing any such acquisitions;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collaboration, strategic alliance and licensing arrangement may require us to relinquish valuable rights to our technologies or product candidates, or grant licenses on terms that are not favorable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diversion of management’s attention and company resources from existing operations of the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inconsistencies in standards, controls, procedures,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impairment of intangible assets as a result of technological advancements, or worse-than-expected performance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assumption of, or exposure to, historical liabilities of the acquired business, including unknown contingent or similar liabilities that are difficult to identify or accurately quantify;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risks associated with acquiring intellectual property, including potential disputes regarding acquired companies’ intellectual property.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the successful integration of acquired businesses requires significant efforts and expense across all operational areas. There can be no assurance that any of the acquisitions we may make will be successful or will be, or will remain, profitable. Our failure to successfully address the foregoing risks may prevent us from achieving the anticipated benefits from any acquisition in a reasonable time frame, or at all.</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Business Disruptions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internal information technology systems, or those of our third-party collaborators and/or partners, may fail or suffer cybersecurity breaches,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information. We also have outsourced elements of our operations to third parties, and as a result we collaborate with a number of third-party CROs, vendors, and other contractors and consultants who have access to our confidential information.</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have implemented and maintain a cybersecurity risk management program that includes processes for the identification, assessment and mitigation of cybersecurity risks. Due to the size and complexity and the increasing amounts of confidential information that are maintained, our internal information technology systems and infrastructure and those of our third-party CROs, vendors and other contractors and consultants are potentially vulnerable to breakdown or other damage, service interruptions, system malfunction, natural disasters, terrorism and telecommunication and electrical failures, as well as cyber-attacks or security compromises, cybersecurity incidents, or data breaches from inadvertent or intentional actions by our employees, third-party CROs, vendors, contractors, consultants and/or third parties with whom we do business, or from cyber-attacks or security compromises, incidents, or data breaches by malicious third parties (including the deployment of harmful malware, ransomware, digital extortion, denial-of-service attacks, supply chain attacks, social engineering (including phishing attacks) and business email compromises, and other means to affect service reliability and threaten the confidentiality, integrity, availability, and security of systems, infrastructure or information), which may compromise our systems and infrastructure or those of our partners, third-party CROs, vendors, contractors, consultants and/or third parties with whom we do business, or lead to data leakage or compromise. If such an event were to occur, it could result in legal claims or proceedings, liability or financial loss under laws that protect the privacy of personal information, damage to our reputation, and interruptions in our operations, which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similar events relating to the information technology systems of our third-party collaborators who we rely on for the manufacture of our product candidates and to conduct clinical trials could also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risk of a cybersecurity incident, breach or disruption, particularly through cyber-attacks or cyber intrusion, including by computer hackers, insider threats, foreign governments, and cyber threat actors, has generally increased as the frequency, persistence,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intelligence.In particular, the increasing availability of generative artificial intelligence tools has enabled threat actors to develop more convincing phishing, vishing, and deepfake social engineering campaigns, to accelerate vulnerability discovery, and to automate reconnaissance against our systems and those of our vendors. Our hybrid and remote work model expands our attack surface and increases the risk of unauthorized access, inadvertent disclosure, or insider incidents. The prevalent use of mobile devices also increases the risk of data security incidents.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subject to legal obligations concerning cyber security. For example, as a company handling employee information of individuals who reside in Massachusetts, we are required to comply with the Massachusetts Data Security Regulations (201 CMR 17.00), which require the development and implementation of a Comprehensive Written Information Security Program and the maintenance of specific information security protections.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While we have not directly experienced any material system failure, accident or cybersecurity incident or breach to date, like others in our industry we and our vendors have experienced, and may in the future continue to experience, threats and cybersecurity incidents and other attempts to disrupt or gain unauthorized access to our and our third-party vendors’ information systems. We cannot guarantee that our data protection efforts and our investment in information technology will prevent significant breakdowns, data leakages, or cybersecurity incidents or breaches in or compromises of our systems or those of third-party CROs, vendors, contractors, consultants and/or third parties with whom we do business.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liability insurance at levels that we believe are appropriate for our business, we cannot assure our investors that it will be sufficient in type or amount to cover us against all claims related to security compromises or breaches, cyberattacks and other related breaches. To the extent that any disruption or security compromises, cybersecurity incident, or data breach were to result in a loss of, or damage to, our systems, infrastructure, data or applications, or inappropriate disclosure of confidential or proprietary information, we could incur liability, our competitive position could be harmed, the further development and commercialization of our product candidates or any future product candidates could be hindered or delayed, we could be required to expend significant amounts of money and other resources to repair, remediate, or replace our information systems or networks, the market perception of the effectiveness of our security measures could be harmed and our reputation and credibility could be damaged. Furthermore, any failure or perceived failure by us or any third-party collaborators, service providers, contractors or consultants to comply with our privacy, confidentiality, data security or similar obligations to third parties, or any cybersecurity incidents or data breaches that result in the unauthorized access, use, acquisition, disclosure, release or transfer of confidential or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cybersecurity incidents and data breaches can be difficult to detect, and any delay in identifying or remediating them may lead to increased harm. While we have implemented data security measures intended to protect our information technology systems and infrastructure, there can be no assurance that such measures will successfully prevent service interruptions, or cybersecurity incidents, or data breaches.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applicable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Compliance with applicable environmental, health and safety laws and regulations is expensive, and current or future environmental regulations may impair our business, prospects,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operations are located in Massachusetts; however, we rely on third parties, including those that are located outside the United States, and we or the third parties upon whom we depend may be adversely affected by natural disasters or other unplanned events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current operations are located in Massachusetts. Any unplanned event, such as flood, fire, explosion, earthquake, extreme weather condition, medical epidemics, geopolitical conflicts, power shortage, telecommunication failure or other natural or man-made accidents or incidents that result in us being unable to fully utilize our facilities, or the facilities of our third-party contract manufacturers or CROs,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Natural disasters or pandemics similar to the COVID-19 pandemic could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facilities of our third-party contract manufacturers or CROs,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facilities of our third-party contract manufacturers or CROs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Trading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$1.78 to an intraday high of $64.37 through July 31, 2026.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pStyle w:val="TextBody"/>
        <w:bidi w:val="0"/>
        <w:spacing w:before="240" w:after="283"/>
        <w:jc w:val="left"/>
        <w:rPr>
          <w:rFonts w:ascii="Times New Roman" w:hAnsi="Times New Roman"/>
          <w:sz w:val="20"/>
        </w:rPr>
      </w:pPr>
      <w:r>
        <w:rPr>
          <w:rFonts w:ascii="Times New Roman" w:hAnsi="Times New Roman"/>
          <w:color w:val="000000"/>
          <w:sz w:val="18"/>
        </w:rPr>
        <w:t>The market price for our common stock may be influenced by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competitive products or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results of clinical trials of our product candidates or those of our competitors;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or disputes concerning patent applications, issued patents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recruitment or departure of key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expenses related to any of our product candidates or clinical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our efforts to discover, develop, acquire or in-license additional product candidates or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actual or anticipated changes in estimates as to financial results, development timelines or recommendations by securities analysts;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sales of a substantial number of shares of our common stock in the public market, or the perception in the market that the holders of a large number of shares intend to sell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changes in the structure of healthcare payment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general economic, industry and market conditions;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other factors described in this "Risk Factors" section.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past, companies that have experienced volatility in the market price of their stock have been subject to securities class action litigation. We have been the target of and may in the future be the target of litigation brought by our stockholders. The outcome of such pending and potential litigation is uncertain. If any of our stockholders were to bring a lawsuit against us, even if the lawsuit is without merit, we could incur substantial costs defending the lawsuit. Although the results of lawsuits and claims cannot be predicted with certainty, defending against such claims could be costly and divert our management’s attention from other business concerns, which could seriously harm our business. Any litigation to which we become a party may result in an onerous or unfavorable judgment, or may be resolved with a monetary payment.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 active trading market for our common stock may not be sustained.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General Risk Factors</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Insider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executive officers, directors, principal stockholders and their affiliates exercise significant control over our company, which will limit your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June 30, 2026, the holdings of our executive officers, directors, principal stockholders and their affiliates, represented beneficial ownership, in the aggregate, of approximately 47.6%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voting power among these stockholders may have an adverse effect on the price of our common stock. In addition, this concentration of ownership might adversely affect the market price of our common stock by: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delaying, deferring or preventing a change of control of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impeding a merger, consolidation, takeover or other business combination involving us;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discouraging a potential acquirer from making a tender offer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Tax</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2025, we had federal net operating loss carryforwards of approximately $923.9 million, and our ability to utilize those net operating loss carryforwards could be limited by an "ownership change" as described above.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Tax reform legislation could adversely affect our business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Operating as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and will continue to incur significant costs as a result of operating as a public company, and our management has devoted and will continue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a public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may continue to increase our legal and financial compliance costs and will make some activities more time-consuming and costly.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Section 404 of the Sarbanes-Oxley Act of 2002, or Section 404, we are required to furnish a report by our management on our internal control over financial reporting. We are required to include with our annual reports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 due to a loss of confidence in the reliability of our financial statements. In addition,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designed our disclosure controls and procedures to reasonably assure that information we must disclose in reports we file or submit under the Exchange Act is accumulated and communicated to management, and recorded, processed, summarized and reported within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Charter and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fourth amended and restated certificate of incorporation, as amended to date, or the Certificate of Incorporation, and our second amended and restated bylaws, or the Bylaws, contain provisions that could delay or prevent a change of control of our company or changes in our board of directors that our stockholders might consider favorable. Some of these provisions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board of directors divided into three classes serving staggered three-year terms, such that not all members of the board will be elected at one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prohibition on stockholder action through written consent, which requires that all stockholder actions be taken at a meeting of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advance notice requirements for stockholder proposals and nominations for election to our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authority of the board of directors to issue preferred stock on terms determined by the board of directors without stockholder approval, which preferred stock may include rights superior to the rights of the holders of common stock.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Pursuant to our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a claim based on, a breach of a fiduciary duty owed by any current or former director, officer or other employee or stockholder of ours to us or our stockholders; (3) any action asserting a claim arising pursuant to any provision of the Delaware General Corporation Law, our Bylaws or as to which the Delaware General Corporate Law confers jurisdiction on the Court of Chancery of the State of Delaware; or (4) any action asserting a claim governed by the internal affairs doctrine, or the Delaware Forum Provision. The Delaware Forum Provision will not apply to any causes of action arising under the Securities Act or the Exchange Act or to any claim for which the federal courts have exclusive jurisdiction. Our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capital stock is deemed to have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Times New Roman" w:hAnsi="Times New Roman"/>
          <w:sz w:val="20"/>
        </w:rPr>
      </w:pPr>
      <w:r>
        <w:rPr>
          <w:rFonts w:ascii="Times New Roman" w:hAnsi="Times New Roman"/>
          <w:color w:val="000000"/>
          <w:sz w:val="18"/>
        </w:rPr>
        <w:t>We recognize that the Delaware Forum Provision and the Federal Forum Provision in our Bylaws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Securities Analysts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trading market for our common stock will rely in part on the research and reports that industry or securities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18"/>
        </w:rPr>
      </w:pPr>
      <w:bookmarkStart w:id="15" w:name="item_2_unregistered_sales_equity_securit"/>
      <w:bookmarkEnd w:id="15"/>
      <w:r>
        <w:rPr>
          <w:rFonts w:ascii="Times New Roman" w:hAnsi="Times New Roman"/>
          <w:b/>
          <w:color w:val="000000"/>
          <w:sz w:val="18"/>
        </w:rPr>
        <w:t>Item 2. Unregistered Sales of Equity Securities and Use of Proceeds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18"/>
        </w:rPr>
      </w:pPr>
      <w:bookmarkStart w:id="16" w:name="item_5_other_information"/>
      <w:bookmarkEnd w:id="16"/>
      <w:r>
        <w:rPr>
          <w:rFonts w:ascii="Times New Roman" w:hAnsi="Times New Roman"/>
          <w:b/>
          <w:color w:val="000000"/>
          <w:sz w:val="18"/>
        </w:rPr>
        <w:t>Item 5. Other Information</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Rule 10b5-1 Trading Plans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following table describes, for the three month period ended June 30, 2026, each trading arrangement for the sale or purchase of our securities adopted, materially modified, or terminated by our directors and officers that is a contract, instruction, or written plan intended to satisfy the affirmative defense conditions of Rule 10b5-1(c) under the Exchange Act, or a Rule 10b5-1 Trading Arrangement. No other officers or directors adopted, materially modified, or terminated a Rule 10b5-1 Trading Arrangement or any non-Rule 10b5-1 trading arrangement during the three month period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5"/>
        <w:gridCol w:w="1055"/>
        <w:gridCol w:w="1883"/>
        <w:gridCol w:w="4261"/>
        <w:gridCol w:w="1391"/>
      </w:tblGrid>
      <w:tr>
        <w:trPr/>
        <w:tc>
          <w:tcPr>
            <w:tcW w:w="161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61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Name</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5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Action Taken</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Action)</w:t>
            </w:r>
          </w:p>
        </w:tc>
        <w:tc>
          <w:tcPr>
            <w:tcW w:w="188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Trading Arrangement</w:t>
            </w:r>
          </w:p>
        </w:tc>
        <w:tc>
          <w:tcPr>
            <w:tcW w:w="42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13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Aggregate Number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Securities</w:t>
            </w:r>
          </w:p>
        </w:tc>
      </w:tr>
      <w:tr>
        <w:trPr/>
        <w:tc>
          <w:tcPr>
            <w:tcW w:w="161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Mark Murcko</w:t>
            </w:r>
            <w:r>
              <w:rPr>
                <w:rFonts w:ascii="Times New Roman" w:hAnsi="Times New Roman"/>
                <w:color w:val="000000"/>
                <w:sz w:val="20"/>
              </w:rPr>
              <w:t> </w:t>
            </w:r>
            <w:r>
              <w:rPr>
                <w:rFonts w:ascii="Times New Roman" w:hAnsi="Times New Roman"/>
                <w:color w:val="000000"/>
                <w:sz w:val="16"/>
              </w:rPr>
              <w:t>(Director)</w:t>
            </w:r>
          </w:p>
        </w:tc>
        <w:tc>
          <w:tcPr>
            <w:tcW w:w="1055"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 xml:space="preserve">Adoption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(06/04/2026)</w:t>
            </w:r>
          </w:p>
        </w:tc>
        <w:tc>
          <w:tcPr>
            <w:tcW w:w="188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Rule 10b5-1 Trading Arrangement</w:t>
            </w:r>
          </w:p>
        </w:tc>
        <w:tc>
          <w:tcPr>
            <w:tcW w:w="4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earlier of (i) 03/31/2027 and (ii) the completed sale of the maximum shares subject to the plan.</w:t>
            </w:r>
          </w:p>
        </w:tc>
        <w:tc>
          <w:tcPr>
            <w:tcW w:w="13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Up to 75,000</w:t>
            </w:r>
            <w:r>
              <w:rPr>
                <w:rFonts w:ascii="Times New Roman" w:hAnsi="Times New Roman"/>
                <w:color w:val="000000"/>
                <w:sz w:val="20"/>
              </w:rPr>
              <w:t> </w:t>
            </w:r>
            <w:r>
              <w:rPr>
                <w:rFonts w:ascii="Times New Roman" w:hAnsi="Times New Roman"/>
                <w:color w:val="000000"/>
                <w:sz w:val="16"/>
              </w:rPr>
              <w:t>Shares</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bookmarkStart w:id="17" w:name="exhibits"/>
      <w:bookmarkEnd w:id="17"/>
      <w:r>
        <w:rPr>
          <w:rFonts w:ascii="Times New Roman" w:hAnsi="Times New Roman"/>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146"/>
        <w:gridCol w:w="9322"/>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2"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Fourth Amended and Restated Certificate of Incorporation of Relay Therapeutics, Inc. (incorporated by reference to Exhibit 3.1 to the Registrant’s Form 10-K (File No. 001-39385) filed on February 23, 2023).</w:t>
              </w:r>
            </w:hyperlink>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Certificate of Second Amendment of Fourth Amended and Restated Certificate of Incorporation of Relay Therapeutics, Inc., (incorporated by reference to Exhibit 3.1 to the Registrant’s Form 8-K (File No. 001-39385) filed on June 9, 2026).</w:t>
              </w:r>
            </w:hyperlink>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Second Amended and Restated Bylaws of Relay Therapeutics, Inc. (incorporated by reference to Exhibit 3.1 to the Registrant’s Form 8-K (File No. 001-39385) filed on March 11, 2026).</w:t>
              </w:r>
            </w:hyperlink>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w:anchor="rlay-ex31_1.htm">
              <w:r>
                <w:rPr>
                  <w:rStyle w:val="InternetLink"/>
                  <w:rFonts w:ascii="Times New Roman" w:hAnsi="Times New Roman"/>
                  <w:color w:val="0000FF"/>
                  <w:sz w:val="18"/>
                  <w:u w:val="single"/>
                </w:rPr>
                <w:t>Certification of Principal Executive Officer Pursuant to Rules 13a-14(a) or 15d-14(a) under the Securities Exchange Act of 1934, as Adopted Pursuant to Section 302 of the Sarbanes-Oxley Act of 2002.</w:t>
              </w:r>
            </w:hyperlink>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w:anchor="rlay-ex31_2.htm">
              <w:r>
                <w:rPr>
                  <w:rStyle w:val="InternetLink"/>
                  <w:rFonts w:ascii="Times New Roman" w:hAnsi="Times New Roman"/>
                  <w:color w:val="0000FF"/>
                  <w:sz w:val="18"/>
                  <w:u w:val="single"/>
                </w:rPr>
                <w:t>Certification of Principal Financial Officer Pursuant to Rules 13a-14(a) or 15d-14(a) under the Securities Exchange Act of 1934, as Adopted Pursuant to Section 302 of the Sarbanes-Oxley Act of 2002.</w:t>
              </w:r>
            </w:hyperlink>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pPr>
            <w:hyperlink w:anchor="rlay-ex32_1.htm">
              <w:r>
                <w:rPr>
                  <w:rStyle w:val="InternetLink"/>
                  <w:rFonts w:ascii="Times New Roman" w:hAnsi="Times New Roman"/>
                  <w:color w:val="0000FF"/>
                  <w:sz w:val="18"/>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18"/>
              </w:rPr>
              <w:t xml:space="preserve"> </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8" w:name="signatures"/>
      <w:bookmarkEnd w:id="18"/>
      <w:r>
        <w:rPr>
          <w:rFonts w:ascii="Times New Roman" w:hAnsi="Times New Roman"/>
          <w:b/>
          <w:color w:val="000000"/>
          <w:sz w:val="18"/>
        </w:rPr>
        <w:t>SIGNATURES</w:t>
      </w:r>
    </w:p>
    <w:p>
      <w:pPr>
        <w:pStyle w:val="TextBody"/>
        <w:bidi w:val="0"/>
        <w:spacing w:before="22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67" w:type="dxa"/>
        <w:jc w:val="left"/>
        <w:tblInd w:w="0" w:type="dxa"/>
        <w:tblLayout w:type="fixed"/>
        <w:tblCellMar>
          <w:top w:w="28" w:type="dxa"/>
          <w:left w:w="28" w:type="dxa"/>
          <w:bottom w:w="28" w:type="dxa"/>
          <w:right w:w="28" w:type="dxa"/>
        </w:tblCellMar>
      </w:tblPr>
      <w:tblGrid>
        <w:gridCol w:w="1651"/>
        <w:gridCol w:w="109"/>
        <w:gridCol w:w="361"/>
        <w:gridCol w:w="4546"/>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RELAY THERAPEUTICS, INC.</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 M.D.</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and Chief Executive Officer</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rlay-ex31_1.htm"/>
      <w:bookmarkStart w:id="20" w:name="ksrlayex31_1"/>
      <w:bookmarkEnd w:id="19"/>
      <w:bookmarkEnd w:id="20"/>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EXECUTIVE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Sanjiv K. Patel,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40" w:type="dxa"/>
        <w:jc w:val="left"/>
        <w:tblInd w:w="0" w:type="dxa"/>
        <w:tblLayout w:type="fixed"/>
        <w:tblCellMar>
          <w:top w:w="28" w:type="dxa"/>
          <w:left w:w="28" w:type="dxa"/>
          <w:bottom w:w="28" w:type="dxa"/>
          <w:right w:w="28" w:type="dxa"/>
        </w:tblCellMar>
      </w:tblPr>
      <w:tblGrid>
        <w:gridCol w:w="1651"/>
        <w:gridCol w:w="146"/>
        <w:gridCol w:w="361"/>
        <w:gridCol w:w="146"/>
        <w:gridCol w:w="283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rlay-ex31_2.htm"/>
      <w:bookmarkStart w:id="22" w:name="ksrlay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Thomas Catinazzo,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030" w:type="dxa"/>
        <w:jc w:val="left"/>
        <w:tblInd w:w="0" w:type="dxa"/>
        <w:tblLayout w:type="fixed"/>
        <w:tblCellMar>
          <w:top w:w="28" w:type="dxa"/>
          <w:left w:w="28" w:type="dxa"/>
          <w:bottom w:w="28" w:type="dxa"/>
          <w:right w:w="28" w:type="dxa"/>
        </w:tblCellMar>
      </w:tblPr>
      <w:tblGrid>
        <w:gridCol w:w="1831"/>
        <w:gridCol w:w="146"/>
        <w:gridCol w:w="361"/>
        <w:gridCol w:w="146"/>
        <w:gridCol w:w="454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rlay-ex32_1.htm"/>
      <w:bookmarkStart w:id="24" w:name="ksrlayex32_1"/>
      <w:bookmarkEnd w:id="23"/>
      <w:bookmarkEnd w:id="24"/>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on Form 10-Q of Relay Therapeutics, Inc. (the “Company”) for the quarter ended June 30, 2026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066" w:type="dxa"/>
        <w:jc w:val="left"/>
        <w:tblInd w:w="0" w:type="dxa"/>
        <w:tblLayout w:type="fixed"/>
        <w:tblCellMar>
          <w:top w:w="28" w:type="dxa"/>
          <w:left w:w="28" w:type="dxa"/>
          <w:bottom w:w="28" w:type="dxa"/>
          <w:right w:w="28" w:type="dxa"/>
        </w:tblCellMar>
      </w:tblPr>
      <w:tblGrid>
        <w:gridCol w:w="1651"/>
        <w:gridCol w:w="109"/>
        <w:gridCol w:w="361"/>
        <w:gridCol w:w="109"/>
        <w:gridCol w:w="2836"/>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SANJIV K. PATEL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tbl>
      <w:tblPr>
        <w:tblW w:w="6776" w:type="dxa"/>
        <w:jc w:val="left"/>
        <w:tblInd w:w="0" w:type="dxa"/>
        <w:tblLayout w:type="fixed"/>
        <w:tblCellMar>
          <w:top w:w="28" w:type="dxa"/>
          <w:left w:w="28" w:type="dxa"/>
          <w:bottom w:w="28" w:type="dxa"/>
          <w:right w:w="28" w:type="dxa"/>
        </w:tblCellMar>
      </w:tblPr>
      <w:tblGrid>
        <w:gridCol w:w="1651"/>
        <w:gridCol w:w="109"/>
        <w:gridCol w:w="361"/>
        <w:gridCol w:w="109"/>
        <w:gridCol w:w="4546"/>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THOMAS CATINAZZO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2364/000095017023004123/rlay-ex3_1.htm" TargetMode="External"/><Relationship Id="rId3" Type="http://schemas.openxmlformats.org/officeDocument/2006/relationships/hyperlink" Target="https://www.sec.gov/Archives/edgar/data/1812364/000119312526263873/rlay-ex3_1.htm" TargetMode="External"/><Relationship Id="rId4" Type="http://schemas.openxmlformats.org/officeDocument/2006/relationships/hyperlink" Target="https://www.sec.gov/Archives/edgar/data/1812364/000119312526102178/rlay-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57564</Words>
  <Characters>322944</Characters>
  <CharactersWithSpaces>380849</CharactersWithSpaces>
  <Paragraphs>5066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