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51325d424b5.htm"/>
      <w:bookmarkStart w:id="1" w:name="ksd151325d424b5"/>
      <w:bookmarkEnd w:id="0"/>
      <w:bookmarkEnd w:id="1"/>
      <w:r>
        <w:rPr>
          <w:rFonts w:ascii="Times New Roman" w:hAnsi="Times New Roman"/>
          <w:b/>
          <w:sz w:val="20"/>
        </w:rPr>
        <w:t xml:space="preserve">Filed Pursuant to Rule 424(b)(5) </w:t>
        <w:br/>
        <w:t xml:space="preserve">Registration Statement No. 333-281308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August 6, 2024) </w:t>
      </w:r>
    </w:p>
    <w:p>
      <w:pPr>
        <w:pStyle w:val="TextBody"/>
        <w:bidi w:val="0"/>
        <w:spacing w:before="0" w:after="0"/>
        <w:jc w:val="left"/>
        <w:rPr/>
      </w:pPr>
      <w:r>
        <w:rPr/>
        <w:t> </w:t>
      </w:r>
    </w:p>
    <w:p>
      <w:pPr>
        <w:pStyle w:val="TextBody"/>
        <w:bidi w:val="0"/>
        <w:spacing w:before="0" w:after="0"/>
        <w:jc w:val="center"/>
        <w:rPr/>
      </w:pPr>
      <w:r>
        <w:rPr/>
        <w:drawing>
          <wp:inline distT="0" distB="0" distL="0" distR="0">
            <wp:extent cx="1811655" cy="7131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1655" cy="7131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6"/>
        </w:rPr>
      </w:pPr>
      <w:r>
        <w:rPr>
          <w:rFonts w:ascii="Times New Roman" w:hAnsi="Times New Roman"/>
          <w:b/>
          <w:sz w:val="36"/>
        </w:rPr>
        <w:t xml:space="preserve">Up to $212,978,049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(the “Original Sales Agreement”), as amended by Amendment No. 1 to Sales Agreement, dated August 6, 2026 (the “Amendment” and collectively with the Original Sales Agreement, the “Sales Agreement”) with TD Securities (USA) LLC (which we refer to as “TD Cowen” or the “Sales Agent”), relating to shares of our common stock, par value $0.001 per share, offered by this prospectus. Through August 3, 2026, the Company issued 16,006,569 shares of its common stock under the Original Sales Agreement and approximately $87,021,951 in shares of common stock remained eligible for sale under the Original Sales Agreement. In accordance with the terms of the Sales Agreement, we may offer and sell shares of our common stock having an aggregate offering price of up to an additional $212,978,049 from time to time through the Sales Agent. Sales of the shares of common stock, if any, may be made on The Nasdaq Global Market at market prices and such other sales as agreed upon by us and the Sales Agent,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“RLAY”. On July 31, 2026 the closing price of our common stock, as reported on The Nasdaq Global Market, was $18.83 per share. </w:t>
      </w:r>
    </w:p>
    <w:p>
      <w:pPr>
        <w:pStyle w:val="TextBody"/>
        <w:bidi w:val="0"/>
        <w:spacing w:before="240" w:after="0"/>
        <w:jc w:val="left"/>
        <w:rPr>
          <w:rFonts w:ascii="Times New Roman" w:hAnsi="Times New Roman"/>
          <w:sz w:val="20"/>
        </w:rPr>
      </w:pPr>
      <w:r>
        <w:rPr>
          <w:rFonts w:ascii="Times New Roman" w:hAnsi="Times New Roman"/>
          <w:sz w:val="20"/>
        </w:rPr>
        <w:t xml:space="preserve">Sales of our common stock, if any, under this prospectus will be made in negotiated transactions, including block trades or block sales, or by any method permitted by law deemed to be an “at the market offering” as defined in Rule 415(a)(4) promulgated under the Securities Act of 1933, as amended, or the Securities Act. The Sales Agent is not required to sell any specific number or dollar amount of securities but will use commercially reasonable efforts to sell on our behalf all of the shares of common stock requested to be sold by us, consistent with its normal trading and sales practices, on mutually agreed terms between the Sales Agent and us. There is no arrangement for funds to be received in any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The Sales Agent will be entitled to compensation at a commission rate of up to 3.0% of the gross proceeds from the sales of common stock sold under the Sales Agreement. See “Plan of Distribution” beginning on page S-14 for additional information regarding the compensation to be paid to the Sales Agent. In connection with the sale of the common stock on our behalf, the Sales Agent may be deemed to be an “underwriter” within the meaning of the Securities Act and the compensation of the Sales Agent may be deemed to be underwriting commissions or discounts. We have also agreed to provide indemnification and contribution to the Sales Agent with respect to certain liabilities, including liabilities under the Securities Act and the Exchange Act.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0"/>
        </w:rPr>
        <w:t>Investing in our common stock involves a high degree of risk. You should review carefully the risks and uncertainties referenced under the heading “</w:t>
      </w:r>
      <w:hyperlink w:anchor="supptx151325_4">
        <w:r>
          <w:rPr>
            <w:rStyle w:val="InternetLink"/>
            <w:rFonts w:ascii="Times New Roman" w:hAnsi="Times New Roman"/>
            <w:b/>
            <w:sz w:val="20"/>
          </w:rPr>
          <w:t>Risk Factors</w:t>
        </w:r>
      </w:hyperlink>
      <w:r>
        <w:rPr>
          <w:rFonts w:ascii="Times New Roman" w:hAnsi="Times New Roman"/>
          <w:b/>
          <w:sz w:val="20"/>
        </w:rPr>
        <w:t xml:space="preserve">” on page S-6 of this prospectus and in the documents that are incorporated by reference into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TD Cowen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August 6,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3"/>
        <w:gridCol w:w="145"/>
        <w:gridCol w:w="60"/>
        <w:gridCol w:w="485"/>
        <w:gridCol w:w="62"/>
      </w:tblGrid>
      <w:tr>
        <w:trPr/>
        <w:tc>
          <w:tcPr>
            <w:tcW w:w="9453"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3"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51325_1">
              <w:r>
                <w:rPr>
                  <w:rStyle w:val="InternetLink"/>
                  <w:rFonts w:ascii="Times New Roman" w:hAnsi="Times New Roman"/>
                  <w:sz w:val="20"/>
                </w:rPr>
                <w:t>About this Prospectus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51325_2">
              <w:r>
                <w:rPr>
                  <w:rStyle w:val="InternetLink"/>
                  <w:rFonts w:ascii="Times New Roman" w:hAnsi="Times New Roman"/>
                  <w:sz w:val="20"/>
                </w:rPr>
                <w:t>Prospectus Summary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51325_3">
              <w:r>
                <w:rPr>
                  <w:rStyle w:val="InternetLink"/>
                  <w:rFonts w:ascii="Times New Roman" w:hAnsi="Times New Roman"/>
                  <w:sz w:val="20"/>
                </w:rPr>
                <w:t>The Offering</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51325_4">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51325_5">
              <w:r>
                <w:rPr>
                  <w:rStyle w:val="InternetLink"/>
                  <w:rFonts w:ascii="Times New Roman" w:hAnsi="Times New Roman"/>
                  <w:sz w:val="20"/>
                </w:rPr>
                <w:t>Cautionary Statement Regarding Forward-Looking Statements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51325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51325_7">
              <w:r>
                <w:rPr>
                  <w:rStyle w:val="InternetLink"/>
                  <w:rFonts w:ascii="Times New Roman" w:hAnsi="Times New Roman"/>
                  <w:sz w:val="20"/>
                </w:rPr>
                <w:t>Dividend Policy</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51325_8">
              <w:r>
                <w:rPr>
                  <w:rStyle w:val="InternetLink"/>
                  <w:rFonts w:ascii="Times New Roman" w:hAnsi="Times New Roman"/>
                  <w:sz w:val="20"/>
                </w:rPr>
                <w:t>Dilution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51325_9">
              <w:r>
                <w:rPr>
                  <w:rStyle w:val="InternetLink"/>
                  <w:rFonts w:ascii="Times New Roman" w:hAnsi="Times New Roman"/>
                  <w:sz w:val="20"/>
                </w:rPr>
                <w:t>Plan of Distribution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S-14</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51325_10">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51325_11">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S-16</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51325_12">
              <w:r>
                <w:rPr>
                  <w:rStyle w:val="InternetLink"/>
                  <w:rFonts w:ascii="Times New Roman" w:hAnsi="Times New Roman"/>
                  <w:sz w:val="20"/>
                </w:rPr>
                <w:t>Where You Can Find More Information</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53" w:type="dxa"/>
            <w:tcBorders/>
            <w:vAlign w:val="bottom"/>
          </w:tcPr>
          <w:p>
            <w:pPr>
              <w:pStyle w:val="TableContents"/>
              <w:bidi w:val="0"/>
              <w:spacing w:before="0" w:after="0"/>
              <w:jc w:val="left"/>
              <w:rPr/>
            </w:pPr>
            <w:hyperlink w:anchor="supptx151325_13">
              <w:r>
                <w:rPr>
                  <w:rStyle w:val="InternetLink"/>
                  <w:rFonts w:ascii="Times New Roman" w:hAnsi="Times New Roman"/>
                  <w:sz w:val="20"/>
                </w:rPr>
                <w:t>Incorporation by Reference</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5"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2">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3">
              <w:r>
                <w:rPr>
                  <w:rStyle w:val="InternetLink"/>
                  <w:rFonts w:ascii="Times New Roman" w:hAnsi="Times New Roman"/>
                  <w:sz w:val="20"/>
                </w:rPr>
                <w:t>Cautionary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4">
              <w:r>
                <w:rPr>
                  <w:rStyle w:val="InternetLink"/>
                  <w:rFonts w:ascii="Times New Roman" w:hAnsi="Times New Roman"/>
                  <w:sz w:val="20"/>
                </w:rPr>
                <w:t>The Company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6">
              <w:r>
                <w:rPr>
                  <w:rStyle w:val="InternetLink"/>
                  <w:rFonts w:ascii="Times New Roman" w:hAnsi="Times New Roman"/>
                  <w:sz w:val="20"/>
                </w:rPr>
                <w:t>Securities We and/or Selling Stockholders May Offer or Sell</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7">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8">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9">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10">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11">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12">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1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1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responsible for the information contained and incorporated by reference in this prospectus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tx151325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that we filed with the Securities and Exchange Commission, or the SEC, as a “well-known seasoned issuer” as defined in Rule 405 under the Securities Act. Under the shelf registration, we and/or selling stockholders may offer shares of our common stock and preferred stock, various series of warrants to purchase common stock or preferred stock, debt securities or any combination thereof, from time to time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If the information contained in this prospectus differs or varies from the information contained in any document incorporated by reference herein that was filed with the SEC before the date of this prospectus, you should rely on the information set forth in this prospectus. If any statement in one of these documents is inconsistent with a statement in another document having a later date (for example, a subsequently filed document deemed incorporated by reference in this prospectus), the statement in the document having the later date modifies or supersedes the earlier statement. Any statement so modified or superseded will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We have not, and the Sales Agent has not, authorized anyone to provide you with information that is in addition to or different from that contained or incorporated by reference in this prospectus or contained in any permitted free writing prospectuses we have authorized for use in connection with this offering. We and the Sales Agent take no responsibility for, and can provide no assurance as to the reliability of, any other information that others may provide.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prospectus and the documents incorporated by reference herein is accurate only as of their respective dates, regardless of the time of delivery of any such document or the time of any sale of our common stock. Our business, financial condition, results of operations and prospects may have changed since those dates. It is important for you to read and consider all information contained or incorporated by reference in this prospectus in making your investment decision. You should read this prospectus, as well as the documents incorporated by reference herein, the additional information described under the section titled “Where You Can Find More Information” and “Incorporation by Reference” in this prospectus and any free writing prospectus that we have authorized for use in connection with this offering,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 This prospectus and the documents incorporated by reference herein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offering to sell, and seeking offers to buy, shares of our common stock only in jurisdictions where such offers and sales are permitted. The distribution of this prospectus and the offering of our common stock in certain jurisdictions may be restricted by law. Persons outside the United States who come into possession of this prospectus must inform themselves about, and observe any restrictions relating to, the offering of our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the context otherwise requires, references to the “company,” “Relay,” “we,” “us” and “our” refer to Relay Therapeutics, Inc. and, where appropriate, our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4" w:name="supptx151325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about us and this offering and does not contain all of the information that you should consider before investing in our securities. Before investing in our common stock, you should carefully read the information contained and incorporated by reference in this prospectus, including the sections titled “Risk Factors” and the financial statements and accompanying notes.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small molecule precision medicine company developing potentially life-changing therapies for patients living with cancer and genetic disease. Our Dynamo® platform integrates an array of leading-edge computational and experimental approaches designed to drug protein targets that have previously been intractable or inadequately addressed.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advancing a pipeline of medicine candidates to address targets in precision oncology and genetic disease, including zovegalisib (RLY-2608), our lead product candidate discussed below. </w:t>
      </w:r>
    </w:p>
    <w:p>
      <w:pPr>
        <w:pStyle w:val="TextBody"/>
        <w:bidi w:val="0"/>
        <w:spacing w:before="240" w:after="0"/>
        <w:jc w:val="left"/>
        <w:rPr>
          <w:rFonts w:ascii="Times New Roman" w:hAnsi="Times New Roman"/>
          <w:sz w:val="20"/>
          <w:bdr w:val="single" w:sz="8" w:space="1" w:color="000000"/>
        </w:rPr>
      </w:pPr>
      <w:r>
        <w:rPr>
          <w:rFonts w:ascii="Times New Roman" w:hAnsi="Times New Roman"/>
          <w:b/>
          <w:sz w:val="20"/>
          <w:bdr w:val="single" w:sz="8" w:space="1" w:color="000000"/>
        </w:rPr>
        <w:t>Zovegalisib (RLY-2608).</w:t>
      </w:r>
      <w:r>
        <w:rPr>
          <w:rFonts w:ascii="Times New Roman" w:hAnsi="Times New Roman"/>
          <w:sz w:val="20"/>
          <w:bdr w:val="single" w:sz="8" w:space="1" w:color="000000"/>
        </w:rPr>
        <w:t xml:space="preserve"> Zovegalisib is the first known allosteric, pan-mutant and isoform-selective phosphoinositide 3 kinase alpha, or PI3Ka, inhibitor in clinical development. It is the lead program in our efforts to discover and develop mutant selective inhibitors of PI3Ka.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rPr>
              <w:t>Breast Cancer and Solid Tumors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ReDiscover Trials</w:t>
            </w:r>
            <w:r>
              <w:rPr>
                <w:rFonts w:ascii="Times New Roman" w:hAnsi="Times New Roman"/>
                <w:sz w:val="20"/>
              </w:rPr>
              <w:t xml:space="preserve">. In December 2021, we dosed the first patient in a first-in-human clinical trial for zovegalisib, or the ReDiscover Trial. Since then, we have predominantly focused on evaluating zovegalisib in combination with other therapies for patients with HR+, HER2–, PI3Ka-mutated, locally advanced or metastatic breast cancer. In the second quarter of 2025, we initiated a global Phase 3 registrational study, or the ReDiscover-2 Trial, which is designed to evaluate the safety and efficacy of zovegalisib plus fulvestrant in PI3Ka-mutated, HR+/HER2- advanced breast cancer patients previously treated with a cyclin dependent kinase 4/6, or CDK 4/6, inhibitor. The comparator arm in the ReDiscover-2 Trial is capivasertib plus fulvestrant. In February 2026, we announced that the FDA granted Breakthrough Therapy designation to zovegalisib in combination with fulvestrant for the treatment of adults with PIK3CA mutant HR+/HER2- locally advanced or metastatic breast cancer following recurrence or progression on or after treatment with a CDK4/6 inhibitor. We are also advancing triplet combination arms with zovegalisib, fulvestrant and, CDK 4/6 inhibitors, or atirmociclib, the investigative selective-CDK4 inhibitor from Pfizer Inc., or Pfizer, to support a potential future trial in frontline breast cancer. In April 2026, we announced that we selected atirmociclib as our go-forward triplet combination partner.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Clinical Data</w:t>
            </w:r>
            <w:r>
              <w:rPr>
                <w:rFonts w:ascii="Times New Roman" w:hAnsi="Times New Roman"/>
                <w:sz w:val="20"/>
              </w:rPr>
              <w:t xml:space="preserve">. In June 2025, we announced updated interim clinical data for the zovegalisib plus fulvestrant arm of the ReDiscover Trial from patients receiving the 600mg twice daily, or BID, fasted dose and in December 2025, we announced an efficacy subset analysis of interim clinical data for zovegalisib at the same dose. In March 2026, we announced interim clinical data from the ReDiscover Trial of zovegalisib in combination with fulvestrant at the 400mg BID fed dose, which is the recommended Phase 3 dose in the ReDiscover-2 Trial. In April 2026, we announced interim clinical data for the zovegalisib plus atirmociclib triplet combination. We believe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0"/>
        <w:gridCol w:w="8885"/>
      </w:tblGrid>
      <w:tr>
        <w:trPr/>
        <w:tc>
          <w:tcPr>
            <w:tcW w:w="1320" w:type="dxa"/>
            <w:tcBorders/>
            <w:vAlign w:val="center"/>
          </w:tcPr>
          <w:p>
            <w:pPr>
              <w:pStyle w:val="TableContents"/>
              <w:bidi w:val="0"/>
              <w:spacing w:before="0" w:after="283"/>
              <w:jc w:val="left"/>
              <w:rPr/>
            </w:pPr>
            <w:r>
              <w:rPr/>
              <w:t> </w:t>
            </w:r>
          </w:p>
        </w:tc>
        <w:tc>
          <w:tcPr>
            <w:tcW w:w="88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while the clinical data from the ReDiscover Trial disclosed to date are preliminary, the data suggest differentiated interim efficacy signals in the specified patient population and support selective target engagement across doses and mutation types with an encouraging interim safety and tolerability profile.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Vascular Anomalies</w:t>
            </w:r>
            <w:r>
              <w:rPr>
                <w:rFonts w:ascii="Times New Roman" w:hAnsi="Times New Roman"/>
                <w:sz w:val="20"/>
              </w:rPr>
              <w:t xml:space="preser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ReInspire Trial</w:t>
            </w:r>
            <w:r>
              <w:rPr>
                <w:rFonts w:ascii="Times New Roman" w:hAnsi="Times New Roman"/>
                <w:sz w:val="20"/>
              </w:rPr>
              <w:t xml:space="preserve">. In the first quarter of 2025, we initiated the global Phase 1/2 clinical trial for zovegalisib in patients with PIK3CA-related overgrowth spectrum, or PROS, and vascular anomalies driven by PIK3CA mutations, or the ReInspire Trial. Enrollment is continuing in this clinical trial.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Clinical Data</w:t>
            </w:r>
            <w:r>
              <w:rPr>
                <w:rFonts w:ascii="Times New Roman" w:hAnsi="Times New Roman"/>
                <w:sz w:val="20"/>
              </w:rPr>
              <w:t xml:space="preserve">. In May 2026, we announced initial clinical data from the ReInspire Trial, which we believe demonstrate that zovegalisib has potential for differentiated safety and efficacy in patients with PIK3CA-driven vascular anomalies.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the programs mentioned above, we have initiated a clinical trial studying RLY-8161, our NRAS-selective inhibitor, in patients with NRAS-mutant melanoma and other NRAS-mutant solid tumors. In our research pipeline, we are advancing our non-inhibitory chaperone for Fabry disease, as well as early-stage discovery programs across both precision oncology and genetic diseases.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History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incorporated under the laws of the State of Delaware on May 4, 2015 under the name Allostery, Inc. In December 2015, we changed our name to Relay Therapeutics, Inc. Our principal corporate office is located at 60 Hampshire Street, Cambridge, MA 02139, and our telephone number is (617) 370-8837. Our website address is www.relaytx.com. Our website and the information contained on, or that can be accessed through, the website will not be deemed to be incorporated by reference in, and are not considered part of,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own various U.S. federal trademark applications and unregistered trademarks, including our company name. All other trademarks or trade names referred to in this prospectus supplement are the property of their respective owners. Solely for convenience, the trademarks and trade names in this prospectus supplement are referred to without the ® and  symbols,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supptx151325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Common stock offered by us: </w:t>
            </w:r>
          </w:p>
        </w:tc>
        <w:tc>
          <w:tcPr>
            <w:tcW w:w="6329" w:type="dxa"/>
            <w:tcBorders/>
          </w:tcPr>
          <w:p>
            <w:pPr>
              <w:pStyle w:val="TableContents"/>
              <w:bidi w:val="0"/>
              <w:spacing w:before="0" w:after="283"/>
              <w:jc w:val="left"/>
              <w:rPr/>
            </w:pPr>
            <w:r>
              <w:rPr/>
              <w:t xml:space="preserve">Shares of our common stock having an aggregate offering price of up to $212,978,049.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 outstanding immediately after this offering:</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Up to 229,841,770 shares (as more fully described in the notes following this table), assuming sales of 11,310,570 shares of our common stock in this offering at an offering price of $18.83 per share, which was the last reported sale price of our common stock on The Nasdaq Global Market on July 31, 2026. The actual number of shares issued will vary depending on how many shares of our common stock we choose to sell and the prices at which such sales occur.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Plan of Distribution:</w:t>
            </w:r>
            <w:r>
              <w:rPr>
                <w:rFonts w:ascii="Times New Roman" w:hAnsi="Times New Roman"/>
                <w:sz w:val="20"/>
              </w:rPr>
              <w:t xml:space="preserve"> </w:t>
            </w:r>
          </w:p>
        </w:tc>
        <w:tc>
          <w:tcPr>
            <w:tcW w:w="6328" w:type="dxa"/>
            <w:tcBorders/>
          </w:tcPr>
          <w:p>
            <w:pPr>
              <w:pStyle w:val="TableContents"/>
              <w:bidi w:val="0"/>
              <w:spacing w:before="0" w:after="283"/>
              <w:jc w:val="left"/>
              <w:rPr/>
            </w:pPr>
            <w:r>
              <w:rPr/>
              <w:t>“</w:t>
            </w:r>
            <w:r>
              <w:rPr/>
              <w:t xml:space="preserve">At the market offering” that may be made from time to time on The Nasdaq Global Market or other existing trading market for our common stock through our Sales Agent, TD Cowen. See “Plan of Distribution” on page S-14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Our management will retain broad discretion regarding the allocation and use of the net proceeds. We currently intend to use the net proceeds from this offering, together with our existing cash, cash equivalents and marketable securities, to fund research and clinical development of current or additional pipeline candidates, and the remainder for working capital and other general corporate purposes. See “Use of Proceeds” on page S-10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Investing in our common stock involves significant risks. See “Risk Factors” on page S-6 of this prospectus and under similar headings in the documents incorporated by reference into this prospectus for a discussion of the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The Nasdaq Global Market symbol: </w:t>
            </w:r>
          </w:p>
        </w:tc>
        <w:tc>
          <w:tcPr>
            <w:tcW w:w="6331" w:type="dxa"/>
            <w:tcBorders/>
          </w:tcPr>
          <w:p>
            <w:pPr>
              <w:pStyle w:val="TableContents"/>
              <w:bidi w:val="0"/>
              <w:spacing w:before="0" w:after="283"/>
              <w:jc w:val="left"/>
              <w:rPr/>
            </w:pPr>
            <w:r>
              <w:rPr/>
              <w:t>“</w:t>
            </w:r>
            <w:r>
              <w:rPr/>
              <w:t xml:space="preserve">RLAY”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All information in this prospectus related to the number of shares of our common stock to be outstanding immediately after this offering is based on 218,531,200 shares of our common stock outstanding as of June 30, 2026. The number of shares outstanding as of June 30, 2026 as used throughout this prospectus,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11,927,393 shares of common stock issuable upon the exercise of stock options outstanding as of June 30, 2026 under our 2020 Stock Option and Incentive Plan, or 2020 Plan, at a weighted-average exercise price of $13.63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2,796,750 shares of common stock issuable upon the vesting and settlement of restricted stock units outstanding as of June 30, 2026 under our 2020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13,173,587 shares of common stock reserved for future issuance as of June 30, 2026 under our 2020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7,766,709 shares of common stock reserved for future issuance as of June 30, 2026 under our 2020 Employee Stock Purchase Plan.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stated, all information contained in this prospectus assumes no exercise of stock options after June 30, 2026 and reflects an assumed public offering price of $18.83, which was the last reported sale price of our common stock on The Nasdaq Global Market on July 31,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supptx151325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Before making an investment decision, you should carefully consider the risks described below and in our most recent Annual Report on Form 10-K and any subsequent Quarterly Reports on Form 10-Q or Current Reports on Form 8-K, as well as any amendments thereto reflected in subsequent filings with the SEC, each of which are incorporated by reference in this prospectus, and all of the other information in this prospectus, including our financial statements and related notes incorporated by reference herein.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currently believe to be immaterial may also materially harm our business, financial condition, results of operations and prospects and could result in a complete loss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invest or spend the proceeds in ways with which you do not agree and in ways that may not yield a return on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titled “Use of Proceeds,” as well as our existing cash, and you will be relying on the judgment of our management regarding such application.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short-term U.S. Treasury securities with insignificant rates of return. These investments may not yield a favorable return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our common stock in this offering, you will incur immediate and substantial dilution in the net tangible book value of your shares.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in this offering may exceed the net tangible book value per share of our common stock outstanding prior to the time of sale. Assuming that an aggregate of 11,310,570 shares of our common stock are sold at a price of $18.83 per share, the last reported sale price of our common stock on The Nasdaq Global Market on July 31, 2026, for aggregate gross proceeds of $213.0 million, after deducting commissions and estimated offering expenses payable by us, investors in this offering would experience immediate dilution of $14.22 per share, representing the difference between our as adjusted net tangible book value per share as of June 30, 2026 of $4.61, after giving effect to this offering, and the assumed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This dilution is due to the substantially lower price paid by some of our investors who purchased shares prior to this offering as compared to the price offered to the public in this offering and the exercise of stock options granted to our employees, directors and consultants. In addition, we have a significant number of stock options outstanding. The exercise of any of these outstanding options would result in further dilution. As a result of the dilution to investors purchasing shares in this offering, investors may receive significantly less than the purchase price paid in this offering, if anything, in the event of our liquidation. Further, because we expect we will need to raise additional capital to fund our future activities, we may in the future sell substantial amounts of common stock or securities convertible into or exchangeable for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Future issuances of common stock or common stock-related securities, together with the exercise of outstanding stock options, if any, may result in further dilution. For a further description of the dilution that you will experience immediately after this offering, see the section titled “Dilution.”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Future sales and issuances of our common stock or rights to purchase common stock, including pursuant to our equity incentive plans, could result in additional dilution of the percentage ownership of our stockholders and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Additional capital will be needed in the future to continue our planned operations. To the extent we issue additional equity securities to raise capital or pursuant to our equity incentive plans or other contractual obligations, our stockholders may experience substantial dilution. We may sell common stock, convertible securities or other equity securities in one or more transactions at prices and in a manner we determine from time to time. If we sell or issue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sales of a substantial number of shares of our outstanding common stock in the public market could occur at any time. These sales, or the perception in the market that the holders of a large number of shares of common stock intend to sell shares, could reduce the market price of our common stock. Significant portions of these shares are held by a relatively small number of stockholders. Sales by our stockholders of a substantial number of shares, or the expectation that such sales may occur, could significantly reduce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Further, because we expect we will need to raise additional capital to fund our future activities, we may in the future sell substantial amounts of common stock or securities convertible into or exchangeable for common stock. Future issuances of common stock or common stock-related securities, together with the exercise of outstanding stock options, the vesting and settlement of outstanding restricted stock units, and new equity awards granted under our equity incentive plans, if any, may result in further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actual number of shares we will issue under the Sales Agreement,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transaction proposal to the Sales Agent at any time throughout the term of the Sales Agreement. The number of shares that are sold by the Sales Agent after delivering a transaction proposal will fluctuate based on the market price of our common stock during the sales period and limits we set with the Sales Agent. Because the price per share of each share sold will fluctuate based on the market price of our common stock during the sales period, it is not possible at this stage to predict the number of shares that will be ultimately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x151325_5"/>
      <w:bookmarkEnd w:id="7"/>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applicable prospectus supplement, any related free writing prospectus and the documents that we incorporate by reference herein or therein contain forward-looking statements within the meaning of Section 27A of the Securities Act and Section 21E of the Exchange Act. Any statements about our expectations, beliefs, plans, objectives, assumptions or future events or performance are not historical facts and may be forward-looking. These statements are often, but are not always, made through the use of words or phrases such as “may,” “can,” “should,” “expects,” “intends,” “plans,” “anticipates,” “believes,” “estimates,” “forecasts,” “goal,” “likely,” “predicts,” “potential,” “projects,” “will,” “might,” “could,” “continue,” and similar expressions, or the negative of these terms, or similar expressions.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express or implied “forward-looking statements,” within the meaning of the Private Securities Litigation Reform Act of 1995,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levels of activity, performance or achievements to be materially different from any future results, performance or achievements expressed or implied by these forward-looking statements. Forward-looking statements include, but are not limited to, implied or express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enrollment, timing, progress, results, and cost of our product candidates and research and development programs and our current and future preclinical and clinical studies, including statements regarding the timing of initiation and completion of studies or trials and related preparatory work, as well as the period during which the results of the trials will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identification of research priorities, reallocation of resources among programs, and application of a risk-mitigated strategy to efficiently discover and develop product candidates, including by applying learnings from one program to other programs and from one modality to our other modalities, as well as the potential expected benefits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safety and efficacy of our product candidates and the therapeutic implications of clinical and preclinical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manufacture of our drug substances, delivery vehicles,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relationships with our third-party strategic collaborators and licensees and their ability to continue research and development and commercialization activities relating to our development candidates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funding for our operations necessary to complete further development and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seek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for intellectual property rights covering our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and/or license agreements with collaborators and/or licensees with development, regulatory and commercialization expertise;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product candidates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clinical,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on our business and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public health epidemics or outbreaks of an infectious disease and ongoing geopolitical conflicts, including mitigation efforts and economic effects, on any of the foregoing or other aspects of our business operations, including but not limited to our preclinical studies and current and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and market conditions, including, among others, inflation, interest rates, tax rates, economic uncertainty, the actual or perceived failure or financial difficulties of additional financial institutions and economic and trade sanctions, including their effect on our results of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listed under the caption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for the period ended December 31, 2025 and our subsequent Quarterly Reports on Form 10-Q for the quarters ended March 31, 2026 and June 30, 2026, and our Current Reports on Form 8-K, and the section of any accompanying prospectus supplement entitled “Risk Factors.”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and the documents incorporated by reference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dates on which they were made.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also contain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x151325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$213.0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our Sales Agreement with TD Cowen as a source of financing. </w:t>
      </w:r>
    </w:p>
    <w:p>
      <w:pPr>
        <w:pStyle w:val="TextBody"/>
        <w:bidi w:val="0"/>
        <w:spacing w:before="240" w:after="0"/>
        <w:jc w:val="left"/>
        <w:rPr>
          <w:rFonts w:ascii="Times New Roman" w:hAnsi="Times New Roman"/>
          <w:sz w:val="20"/>
        </w:rPr>
      </w:pPr>
      <w:r>
        <w:rPr>
          <w:rFonts w:ascii="Times New Roman" w:hAnsi="Times New Roman"/>
          <w:sz w:val="20"/>
        </w:rPr>
        <w:t xml:space="preserve">We currently intend to use potential proceeds from this offering, together with our existing cash and cash equivalents, to fund research and clinical development of current or additional pipeline candidates, working capital, capital expenditures and general corporate purposes. The expected use of the net proceeds from this offering, if any, represents our intentions based upon our current plans and business conditions, which could change in the future as our plans and business conditions evolve. The amounts and timing of our actual expenditures will depend on numerous factors, including the factors described under “Risk Factors” in this prospectus and in the documents incorporated by reference 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x151325_7"/>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cash dividends on our capital stock. We intend to retain all of our future earnings, if any, to finance the growth and development of our business. We do not intend to pay cash dividends to our stockholders in the foreseeable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x151325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to the extent of the difference between the public offering price per share of our common stock in this offering and the as adjusted net tangible book value per share of our common stock immediately after this offering. Our net tangible book value as of June 30, 2026 was approximately $850.6 million, or approximately $3.89 per share of common stock. Net tangible book value per share represents the amount of total tangible assets (total assets less intangible assets) less total liabilities, divided by the number of shares of our common stock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Dilution in net tangible book value per share to new investors participating in this offering represents the difference between the amount per share paid by purchasers in this offering and the as adjusted net tangible book value per share of our common stock immediately after giving effect to this offering. After giving effect to the assumed sale of 11,310,570 shares of our common stock in the aggregate amount of $213.0 million at an assumed offering price of $18.83 per share, the last reported sale price of our common stock on July 31, 2026, and after deducting commissions and estimated offering expenses payable by us, our as adjusted net tangible book value as of June 30, 2026 would have been approximately $1.1 billion, or approximately $4.61 per share of common stock. This represents an immediate increase in net tangible book value of $0.72 per share of common stock to our existing stockholders and immediate dilution in net tangible book value of $14.22 per share of common stock to investors participating in this offering at the assumed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new investors is determined by subtracting as adjusted net tangible book value per share after this offering from the assumed public offering price per share paid by new investors. The following table illustrates this per share dilution: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59"/>
        <w:gridCol w:w="382"/>
        <w:gridCol w:w="144"/>
        <w:gridCol w:w="444"/>
        <w:gridCol w:w="60"/>
        <w:gridCol w:w="382"/>
        <w:gridCol w:w="144"/>
        <w:gridCol w:w="577"/>
        <w:gridCol w:w="63"/>
      </w:tblGrid>
      <w:tr>
        <w:trPr/>
        <w:tc>
          <w:tcPr>
            <w:tcW w:w="5559"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offering price per share</w:t>
            </w:r>
          </w:p>
        </w:tc>
        <w:tc>
          <w:tcPr>
            <w:tcW w:w="38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18.83</w:t>
            </w:r>
          </w:p>
        </w:tc>
        <w:tc>
          <w:tcPr>
            <w:tcW w:w="63" w:type="dxa"/>
            <w:tcBorders/>
            <w:shd w:fill="CCEEFF" w:val="clear"/>
            <w:vAlign w:val="bottom"/>
          </w:tcPr>
          <w:p>
            <w:pPr>
              <w:pStyle w:val="TableContents"/>
              <w:bidi w:val="0"/>
              <w:spacing w:before="0" w:after="283"/>
              <w:jc w:val="left"/>
              <w:rPr/>
            </w:pPr>
            <w:r>
              <w:rPr/>
              <w:t> </w:t>
            </w:r>
          </w:p>
        </w:tc>
      </w:tr>
      <w:tr>
        <w:trPr/>
        <w:tc>
          <w:tcPr>
            <w:tcW w:w="5559"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June 30, 2026</w:t>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44" w:type="dxa"/>
            <w:tcBorders/>
            <w:vAlign w:val="bottom"/>
          </w:tcPr>
          <w:p>
            <w:pPr>
              <w:pStyle w:val="TableContents"/>
              <w:bidi w:val="0"/>
              <w:spacing w:before="0" w:after="283"/>
              <w:jc w:val="right"/>
              <w:rPr/>
            </w:pPr>
            <w:r>
              <w:rPr/>
              <w:t>3.89</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 participating in this offering</w:t>
            </w:r>
          </w:p>
        </w:tc>
        <w:tc>
          <w:tcPr>
            <w:tcW w:w="38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444" w:type="dxa"/>
            <w:tcBorders/>
            <w:shd w:fill="CCEEFF" w:val="clear"/>
            <w:vAlign w:val="bottom"/>
          </w:tcPr>
          <w:p>
            <w:pPr>
              <w:pStyle w:val="TableContents"/>
              <w:bidi w:val="0"/>
              <w:spacing w:before="0" w:after="283"/>
              <w:jc w:val="right"/>
              <w:rPr/>
            </w:pPr>
            <w:r>
              <w:rPr/>
              <w:t>0.72</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559"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559"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as of June 30, 2026, after giving effect to this offering</w:t>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right"/>
              <w:rPr/>
            </w:pPr>
            <w:r>
              <w:rPr/>
              <w:t>4.61</w:t>
            </w:r>
          </w:p>
        </w:tc>
        <w:tc>
          <w:tcPr>
            <w:tcW w:w="63" w:type="dxa"/>
            <w:tcBorders/>
            <w:vAlign w:val="bottom"/>
          </w:tcPr>
          <w:p>
            <w:pPr>
              <w:pStyle w:val="TableContents"/>
              <w:bidi w:val="0"/>
              <w:spacing w:before="0" w:after="283"/>
              <w:jc w:val="left"/>
              <w:rPr/>
            </w:pPr>
            <w:r>
              <w:rPr/>
              <w:t> </w:t>
            </w:r>
          </w:p>
        </w:tc>
      </w:tr>
      <w:tr>
        <w:trPr/>
        <w:tc>
          <w:tcPr>
            <w:tcW w:w="5559"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57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this offering</w:t>
            </w:r>
          </w:p>
        </w:tc>
        <w:tc>
          <w:tcPr>
            <w:tcW w:w="38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2"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14.22</w:t>
            </w:r>
          </w:p>
        </w:tc>
        <w:tc>
          <w:tcPr>
            <w:tcW w:w="63" w:type="dxa"/>
            <w:tcBorders/>
            <w:shd w:fill="CCEEFF" w:val="clear"/>
            <w:vAlign w:val="bottom"/>
          </w:tcPr>
          <w:p>
            <w:pPr>
              <w:pStyle w:val="TableContents"/>
              <w:bidi w:val="0"/>
              <w:spacing w:before="0" w:after="283"/>
              <w:jc w:val="left"/>
              <w:rPr/>
            </w:pPr>
            <w:r>
              <w:rPr/>
              <w:t> </w:t>
            </w:r>
          </w:p>
        </w:tc>
      </w:tr>
      <w:tr>
        <w:trPr/>
        <w:tc>
          <w:tcPr>
            <w:tcW w:w="5559"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57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for illustrative purposes that an aggregate of 11,310,570 shares of our common stock are sold at a price of $18.83 per share, the last reported sale price of our common stock on the Nasdaq Global Market on July 31, 2026, for aggregate gross proceeds of $213.0 million. The shares sold in this offering, if any, will be sold from time to time at various prices. An increase of $1.00 per share in the price at which the shares are sold from the assumed offering price of $18.83 per share shown in the table above, assuming all of our common stock in the aggregate amount of $213.0 million is sold at that price, would result in an increase to our as adjusted net tangible book value per share after the offering to be $4.62 and an increase in dilution per share to new investors participating in this offering to $15.21, after deducting commissions and estimated offering expenses payable by us. A decrease of $1.00 per share in the price at which the shares are sold from the assumed offering price of $18.83 per share shown in the table above, assuming all of our common stock in the aggregate amount of $213.0 million is sold at that price, would result in a decrease to our as adjusted net tangible book value per share after the offering to be $4.60 and a decrease in dilution per share to new investors participating in this offering to $13.23, after deducting commissions and estimated offering expenses payable by us. This information is supplied for illustrative purposes only, and will adjust based on the actual offering prices, the actual number of shares that we offer and sell in this offering and other terms of each sale of shares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information above and in the foregoing table is based upon 218,531,200 shares of our common stock outstanding as of June 30, 2026. The information above and in the foregoing table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11,927,393 shares of common stock issuable upon the exercise of stock options outstanding as of June 30, 2026 under our 2020 Plan at a weighted-average exercise price of $13.63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2,796,750 shares of common stock issuable upon the vesting and settlement of restricted stock units outstanding as of June 30, 2026 under our 2020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13,173,587 shares of common stock reserved for future issuance as of June 30, 2026 under our 2020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7,766,709 shares of common stock reserved for future issuance as of June 30, 2026 under our 2020 Employee Stock Purchase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choose to raise additional capital in the future through the sale of equity or convertible debt securities due to market conditions or strategic considerations, even if we believe we have sufficient funds for our current or future operating plans. To the extent that any of our outstanding options are exercised, new options are issued under our equity incentive plans or we issue additional shares of common stock or other equity or convertible debt securities in the future, there will be further dilution to investors participating in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x151325_9"/>
      <w:bookmarkEnd w:id="1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with TD Cowen, under which we may issue and sell from time to time up to $213.0 million of our common stock through or to TD Cowen as our sales agent or principal. Sales of our common stock, if any, will be made in negotiated transactions, including block trades or block sales, or by any method permitted by law deemed to be an “at the market offering” as defined in Rule 415 under the Securities Act. Sales pursuant to the Sales Agreement may be made through an affiliate of TD Cowen. </w:t>
      </w:r>
    </w:p>
    <w:p>
      <w:pPr>
        <w:pStyle w:val="TextBody"/>
        <w:bidi w:val="0"/>
        <w:spacing w:before="240" w:after="0"/>
        <w:jc w:val="left"/>
        <w:rPr>
          <w:rFonts w:ascii="Times New Roman" w:hAnsi="Times New Roman"/>
          <w:sz w:val="20"/>
        </w:rPr>
      </w:pPr>
      <w:r>
        <w:rPr>
          <w:rFonts w:ascii="Times New Roman" w:hAnsi="Times New Roman"/>
          <w:sz w:val="20"/>
        </w:rPr>
        <w:t xml:space="preserve">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compensation payable to TD Cowen as sales agent equals up to 3.0% of the gross proceeds from the sales of the shares sold through it pursuant to the Sales Agreement. We have also agreed to reimburse TD Cowen up to $75,000 of TD Cowen’s actual outside legal expenses incurred by TD Cowen in connection with this offering. We estimate that the total expenses of the offering payable by us, excluding commissions payable to TD Cowen under the Sales Agreement, will be approximately $0.2 million. </w:t>
      </w:r>
    </w:p>
    <w:p>
      <w:pPr>
        <w:pStyle w:val="TextBody"/>
        <w:bidi w:val="0"/>
        <w:spacing w:before="240" w:after="0"/>
        <w:jc w:val="left"/>
        <w:rPr>
          <w:rFonts w:ascii="Times New Roman" w:hAnsi="Times New Roman"/>
          <w:sz w:val="20"/>
        </w:rPr>
      </w:pPr>
      <w:r>
        <w:rPr>
          <w:rFonts w:ascii="Times New Roman" w:hAnsi="Times New Roman"/>
          <w:sz w:val="20"/>
        </w:rPr>
        <w:t xml:space="preserve">The remaining sales proceeds, after deducting any expenses payable by us and any transaction fees imposed by any governmental, regulatory, or self-regulatory organization in connection with the sales, will equal our net proceeds for the sale of such common stock. </w:t>
      </w:r>
    </w:p>
    <w:p>
      <w:pPr>
        <w:pStyle w:val="TextBody"/>
        <w:bidi w:val="0"/>
        <w:spacing w:before="240" w:after="0"/>
        <w:jc w:val="left"/>
        <w:rPr>
          <w:rFonts w:ascii="Times New Roman" w:hAnsi="Times New Roman"/>
          <w:sz w:val="20"/>
        </w:rPr>
      </w:pPr>
      <w:r>
        <w:rPr>
          <w:rFonts w:ascii="Times New Roman" w:hAnsi="Times New Roman"/>
          <w:sz w:val="20"/>
        </w:rPr>
        <w:t xml:space="preserve">TD Cowen will provide written confirmation to us following the close of trading on The Nasdaq Global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We will report at least quarterly the number of shares of common stock sold through TD Cowen under the Sales Agreement and the net proceeds to us in connection with the sales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sales of our common stock on our behalf, TD Cowen may be deemed to be an “underwriter” within the meaning of the Securities Act, and the compensation paid to TD Cowen may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and trades under the symbol “RLAY.” The transfer agent of our common stock is Computershare Trust Company, N.A. </w:t>
      </w:r>
    </w:p>
    <w:p>
      <w:pPr>
        <w:pStyle w:val="TextBody"/>
        <w:bidi w:val="0"/>
        <w:spacing w:before="240" w:after="0"/>
        <w:jc w:val="left"/>
        <w:rPr>
          <w:rFonts w:ascii="Times New Roman" w:hAnsi="Times New Roman"/>
          <w:sz w:val="20"/>
        </w:rPr>
      </w:pPr>
      <w:r>
        <w:rPr>
          <w:rFonts w:ascii="Times New Roman" w:hAnsi="Times New Roman"/>
          <w:sz w:val="20"/>
        </w:rPr>
        <w:t xml:space="preserve">TD Cowen and/or its affiliates have provided, and may in the future provide, various investment banking, commercial banking and other financial services for us for which services they have received and, may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future receive, customary fees. TD Cowen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various business activities, TD Cowen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our securities and/or instruments. TD Cowen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x151325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by this prospectus will be passed upon for us by Goodwin Procter LLP, Boston, Massachusetts. Certain legal matters relating to this offering will be passed upon for the Sales Agent by Ropes  &amp; Gray LLP, Boston, Massachusetts. </w:t>
      </w:r>
    </w:p>
    <w:p>
      <w:pPr>
        <w:pStyle w:val="TextBody"/>
        <w:bidi w:val="0"/>
        <w:spacing w:before="480" w:after="0"/>
        <w:jc w:val="center"/>
        <w:rPr>
          <w:rFonts w:ascii="Times New Roman" w:hAnsi="Times New Roman"/>
          <w:b/>
          <w:sz w:val="20"/>
        </w:rPr>
      </w:pPr>
      <w:bookmarkStart w:id="13" w:name="supptx151325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Relay Therapeutics, Inc. appearing in Relay Therapeutics, Inc.’s Annual Report (Form 10-K) for the year ended December 31, 2025, and the effectiveness of Relay Therapeutics, Inc.’s internal control over financial reporting as of December 31,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supptx151325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have filed with the SEC.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 Certain information in the registration statement has been omitted from this prospectus in accordance with the rules of the SEC. </w:t>
      </w:r>
    </w:p>
    <w:p>
      <w:pPr>
        <w:pStyle w:val="TextBody"/>
        <w:bidi w:val="0"/>
        <w:spacing w:before="240" w:after="0"/>
        <w:jc w:val="left"/>
        <w:rPr>
          <w:rFonts w:ascii="Times New Roman" w:hAnsi="Times New Roman"/>
          <w:sz w:val="20"/>
        </w:rPr>
      </w:pPr>
      <w:r>
        <w:rPr>
          <w:rFonts w:ascii="Times New Roman" w:hAnsi="Times New Roman"/>
          <w:sz w:val="20"/>
        </w:rPr>
        <w:t>We are subject to the reporting and information requirements of the Exchange Act and, in accordance therewith,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t>
      </w:r>
      <w:r>
        <w:rPr>
          <w:rFonts w:ascii="Times New Roman" w:hAnsi="Times New Roman"/>
          <w:i/>
          <w:sz w:val="20"/>
        </w:rPr>
        <w:t>www.sec.gov</w:t>
      </w:r>
      <w:r>
        <w:rPr>
          <w:rFonts w:ascii="Times New Roman" w:hAnsi="Times New Roman"/>
          <w:sz w:val="20"/>
        </w:rPr>
        <w:t>). Written requests for such copies should be directed to Relay Therapeutics, Inc., 60 Hampshire Street, Cambridge, Massachusetts 02139; telephone: (617) 370-8837 and our website is located at </w:t>
      </w:r>
      <w:r>
        <w:rPr>
          <w:rFonts w:ascii="Times New Roman" w:hAnsi="Times New Roman"/>
          <w:i/>
          <w:sz w:val="20"/>
        </w:rPr>
        <w:t xml:space="preserve">www.relaytx.com. </w:t>
      </w:r>
    </w:p>
    <w:p>
      <w:pPr>
        <w:pStyle w:val="TextBody"/>
        <w:bidi w:val="0"/>
        <w:spacing w:before="240" w:after="0"/>
        <w:jc w:val="left"/>
        <w:rPr>
          <w:rFonts w:ascii="Times New Roman" w:hAnsi="Times New Roman"/>
          <w:sz w:val="20"/>
        </w:rPr>
      </w:pPr>
      <w:r>
        <w:rPr>
          <w:rFonts w:ascii="Times New Roman" w:hAnsi="Times New Roman"/>
          <w:sz w:val="20"/>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in the accompanying base prospectus. We will furnish a full statement of the relative rights and preferences of each class or series of our stock which has been so designated and any restrictions on the ownership or transfer of our stock to any shareholder upon request and without charge. Information contained on our website is not incorporated by reference into this prospectus and, therefore, is not part of this prospectus or any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5" w:name="supptx151325_13"/>
      <w:bookmarkEnd w:id="1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(SEC File No. 001-39385), and any future filings we make with the SEC under Sections 13(a), 13(c), 14 or 15(d) of the Exchange Act, including all filings made after the date of this prospectus, except as to any portion of any future report or document that is not deemed filed under such provisions until we sell all of the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December  31, 2025 from our definitive proxy statement on </w:t>
            </w:r>
            <w:hyperlink r:id="rId5">
              <w:r>
                <w:rPr>
                  <w:rStyle w:val="InternetLink"/>
                  <w:rFonts w:ascii="Times New Roman" w:hAnsi="Times New Roman"/>
                  <w:sz w:val="20"/>
                </w:rPr>
                <w:t>Schedule 14A</w:t>
              </w:r>
            </w:hyperlink>
            <w:r>
              <w:rPr>
                <w:rFonts w:ascii="Times New Roman" w:hAnsi="Times New Roman"/>
                <w:sz w:val="20"/>
              </w:rPr>
              <w:t xml:space="preserve"> (other than information furnished rather than filed), which was filed with the SEC on April 28,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filed with the SEC for the quarters ended </w:t>
            </w:r>
            <w:hyperlink r:id="rId6">
              <w:r>
                <w:rPr>
                  <w:rStyle w:val="InternetLink"/>
                  <w:rFonts w:ascii="Times New Roman" w:hAnsi="Times New Roman"/>
                  <w:sz w:val="20"/>
                </w:rPr>
                <w:t>March 31, 2026</w:t>
              </w:r>
            </w:hyperlink>
            <w:r>
              <w:rPr>
                <w:rFonts w:ascii="Times New Roman" w:hAnsi="Times New Roman"/>
                <w:sz w:val="20"/>
              </w:rPr>
              <w:t xml:space="preserve"> and </w:t>
            </w:r>
            <w:hyperlink r:id="rId7">
              <w:r>
                <w:rPr>
                  <w:rStyle w:val="InternetLink"/>
                  <w:rFonts w:ascii="Times New Roman" w:hAnsi="Times New Roman"/>
                  <w:sz w:val="20"/>
                </w:rPr>
                <w:t>June 30, 2026</w:t>
              </w:r>
            </w:hyperlink>
            <w:r>
              <w:rPr>
                <w:rFonts w:ascii="Times New Roman" w:hAnsi="Times New Roman"/>
                <w:sz w:val="20"/>
              </w:rPr>
              <w:t xml:space="preserve">, filed with the SEC on May 5, 2026 and August 6, 2026,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8">
              <w:r>
                <w:rPr>
                  <w:rStyle w:val="InternetLink"/>
                  <w:rFonts w:ascii="Times New Roman" w:hAnsi="Times New Roman"/>
                  <w:sz w:val="20"/>
                </w:rPr>
                <w:t>February 3, 2026</w:t>
              </w:r>
            </w:hyperlink>
            <w:r>
              <w:rPr>
                <w:rFonts w:ascii="Times New Roman" w:hAnsi="Times New Roman"/>
                <w:sz w:val="20"/>
              </w:rPr>
              <w:t xml:space="preserve">, </w:t>
            </w:r>
            <w:hyperlink r:id="rId9">
              <w:r>
                <w:rPr>
                  <w:rStyle w:val="InternetLink"/>
                  <w:rFonts w:ascii="Times New Roman" w:hAnsi="Times New Roman"/>
                  <w:sz w:val="20"/>
                </w:rPr>
                <w:t>March  11, 2026</w:t>
              </w:r>
            </w:hyperlink>
            <w:r>
              <w:rPr>
                <w:rFonts w:ascii="Times New Roman" w:hAnsi="Times New Roman"/>
                <w:sz w:val="20"/>
              </w:rPr>
              <w:t xml:space="preserve">, </w:t>
            </w:r>
            <w:hyperlink r:id="rId10">
              <w:r>
                <w:rPr>
                  <w:rStyle w:val="InternetLink"/>
                  <w:rFonts w:ascii="Times New Roman" w:hAnsi="Times New Roman"/>
                  <w:sz w:val="20"/>
                </w:rPr>
                <w:t>March  16, 2026</w:t>
              </w:r>
            </w:hyperlink>
            <w:r>
              <w:rPr>
                <w:rFonts w:ascii="Times New Roman" w:hAnsi="Times New Roman"/>
                <w:sz w:val="20"/>
              </w:rPr>
              <w:t xml:space="preserve">, </w:t>
            </w:r>
            <w:hyperlink r:id="rId11">
              <w:r>
                <w:rPr>
                  <w:rStyle w:val="InternetLink"/>
                  <w:rFonts w:ascii="Times New Roman" w:hAnsi="Times New Roman"/>
                  <w:sz w:val="20"/>
                </w:rPr>
                <w:t>April  27, 2026</w:t>
              </w:r>
            </w:hyperlink>
            <w:r>
              <w:rPr>
                <w:rFonts w:ascii="Times New Roman" w:hAnsi="Times New Roman"/>
                <w:sz w:val="20"/>
              </w:rPr>
              <w:t xml:space="preserve">, </w:t>
            </w:r>
            <w:hyperlink r:id="rId12">
              <w:r>
                <w:rPr>
                  <w:rStyle w:val="InternetLink"/>
                  <w:rFonts w:ascii="Times New Roman" w:hAnsi="Times New Roman"/>
                  <w:sz w:val="20"/>
                </w:rPr>
                <w:t>May  19, 2026</w:t>
              </w:r>
            </w:hyperlink>
            <w:r>
              <w:rPr>
                <w:rFonts w:ascii="Times New Roman" w:hAnsi="Times New Roman"/>
                <w:sz w:val="20"/>
              </w:rPr>
              <w:t xml:space="preserve">, </w:t>
            </w:r>
            <w:hyperlink r:id="rId13">
              <w:r>
                <w:rPr>
                  <w:rStyle w:val="InternetLink"/>
                  <w:rFonts w:ascii="Times New Roman" w:hAnsi="Times New Roman"/>
                  <w:sz w:val="20"/>
                </w:rPr>
                <w:t>May  21, 2026</w:t>
              </w:r>
            </w:hyperlink>
            <w:r>
              <w:rPr>
                <w:rFonts w:ascii="Times New Roman" w:hAnsi="Times New Roman"/>
                <w:sz w:val="20"/>
              </w:rPr>
              <w:t xml:space="preserve">, </w:t>
            </w:r>
            <w:hyperlink r:id="rId14">
              <w:r>
                <w:rPr>
                  <w:rStyle w:val="InternetLink"/>
                  <w:rFonts w:ascii="Times New Roman" w:hAnsi="Times New Roman"/>
                  <w:sz w:val="20"/>
                </w:rPr>
                <w:t>June  9, 2026</w:t>
              </w:r>
            </w:hyperlink>
            <w:r>
              <w:rPr>
                <w:rFonts w:ascii="Times New Roman" w:hAnsi="Times New Roman"/>
                <w:sz w:val="20"/>
              </w:rPr>
              <w:t xml:space="preserve"> and </w:t>
            </w:r>
            <w:hyperlink r:id="rId15">
              <w:r>
                <w:rPr>
                  <w:rStyle w:val="InternetLink"/>
                  <w:rFonts w:ascii="Times New Roman" w:hAnsi="Times New Roman"/>
                  <w:sz w:val="20"/>
                </w:rPr>
                <w:t>August 6, 2026</w:t>
              </w:r>
            </w:hyperlink>
            <w:r>
              <w:rPr>
                <w:rFonts w:ascii="Times New Roman" w:hAnsi="Times New Roman"/>
                <w:sz w:val="20"/>
              </w:rPr>
              <w:t xml:space="preserve"> excluding information “furnished” pursuant to Items 2.02, 7.01 or 9.01;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6">
              <w:r>
                <w:rPr>
                  <w:rStyle w:val="InternetLink"/>
                  <w:rFonts w:ascii="Times New Roman" w:hAnsi="Times New Roman"/>
                  <w:sz w:val="20"/>
                </w:rPr>
                <w:t>Form 8-A</w:t>
              </w:r>
            </w:hyperlink>
            <w:r>
              <w:rPr>
                <w:rFonts w:ascii="Times New Roman" w:hAnsi="Times New Roman"/>
                <w:sz w:val="20"/>
              </w:rPr>
              <w:t xml:space="preserve"> (File No. 001-39385) as filed with the SEC on July 13, 2020, including any amendments or reports filed for the purpose of updating this description, including </w:t>
            </w:r>
            <w:hyperlink r:id="rId17">
              <w:r>
                <w:rPr>
                  <w:rStyle w:val="InternetLink"/>
                  <w:rFonts w:ascii="Times New Roman" w:hAnsi="Times New Roman"/>
                  <w:sz w:val="20"/>
                </w:rPr>
                <w:t>Exhibit 4.2</w:t>
              </w:r>
            </w:hyperlink>
            <w:r>
              <w:rPr>
                <w:rFonts w:ascii="Times New Roman" w:hAnsi="Times New Roman"/>
                <w:sz w:val="20"/>
              </w:rPr>
              <w:t xml:space="preserve"> to our Annual Report on Form 10-K for the year ended December 31, 2023, as filed with the SEC on February 22,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or telephoning us at the following address: Relay Therapeutics, Inc., 60 Hampshire Street, Cambridge, Massachusetts 02139, telephone: (617) 370-8837.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free of charge on the SEC’s website at </w:t>
      </w:r>
      <w:r>
        <w:rPr>
          <w:rFonts w:ascii="Times New Roman" w:hAnsi="Times New Roman"/>
          <w:i/>
          <w:sz w:val="20"/>
        </w:rPr>
        <w:t>www.sec.gov</w:t>
      </w:r>
      <w:r>
        <w:rPr>
          <w:rFonts w:ascii="Times New Roman" w:hAnsi="Times New Roman"/>
          <w:sz w:val="20"/>
        </w:rPr>
        <w:t xml:space="preserve"> or on our website at </w:t>
      </w:r>
      <w:r>
        <w:rPr>
          <w:rFonts w:ascii="Times New Roman" w:hAnsi="Times New Roman"/>
          <w:i/>
          <w:sz w:val="20"/>
        </w:rPr>
        <w:t>www.relaytx.com</w:t>
      </w:r>
      <w:r>
        <w:rPr>
          <w:rFonts w:ascii="Times New Roman" w:hAnsi="Times New Roman"/>
          <w:sz w:val="20"/>
        </w:rPr>
        <w:t xml:space="preserve">. Information contained on our website is not incorporated by reference into this prospectus, and you should not consider any information on, or that can be accessed from, our website as part of this prospectus or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We have incorporated exhibits into this registration statement. You should read the exhibits carefully for provisions that may be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statement contained in a document that is incorporated by reference will be modified or superseded for all purposes to the extent that a statement contained in this prospectus, or in any other document that is subsequently filed with the SEC and incorporated by reference into this prospectus, modifies or is contrary to that previous statement. Any statement so modified or superseded will not be deemed a part of this prospectus,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or in any documents previously incorporated by reference have been modified or superseded.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811655" cy="7131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1811655" cy="71310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and/or selling stockholders may from time to time issue, in one or more series or classes, our common stock, preferred stock, debt securities, warrants and/or units. We and/or selling stockholders may offer these securities separately or together in units. We and/or selling stockholders will specify in the applicable accompanying prospectus supplement the terms of the securities being offered. We and/or selling stockholders may sell these securities to or through underwriters and also to other purchasers or through agents. We and/or selling stockholders will set forth the names of any underwriters or agents, and any fees, conversions or discount arrangements, in the applicable accompanying prospectus supplement. We and/or selling stockholders may not sell any securities under this prospectus without delivery of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document and any prospectus supplement or amendment carefully before you invest in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“RLAY.” On July 31, 2024, the closing price for our common stock, as reported on the Nasdaq Global Market, was $8.22 per share. Our principal executive office is located at 399 Binney Street, 2nd Floor, Cambridge, MA 02139.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a high degree of risk. You should review carefully the risks and uncertainties referenced under the heading “</w:t>
      </w:r>
      <w:hyperlink w:anchor="txa151325_2">
        <w:r>
          <w:rPr>
            <w:rStyle w:val="InternetLink"/>
            <w:rFonts w:ascii="Times New Roman" w:hAnsi="Times New Roman"/>
            <w:b/>
            <w:sz w:val="24"/>
          </w:rPr>
          <w:t>Risk Factors</w:t>
        </w:r>
      </w:hyperlink>
      <w:r>
        <w:rPr>
          <w:rFonts w:ascii="Times New Roman" w:hAnsi="Times New Roman"/>
          <w:b/>
          <w:sz w:val="24"/>
        </w:rPr>
        <w:t xml:space="preserve">” contained in this prospectus beginning on page 2 and any applicable prospectus supplement, and under similar headings in the other documents that are incorporated by reference into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August 6, 2024.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oc1"/>
      <w:bookmarkEnd w:id="16"/>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2">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3">
              <w:r>
                <w:rPr>
                  <w:rStyle w:val="InternetLink"/>
                  <w:rFonts w:ascii="Times New Roman" w:hAnsi="Times New Roman"/>
                  <w:sz w:val="20"/>
                </w:rPr>
                <w:t>Cautionary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4">
              <w:r>
                <w:rPr>
                  <w:rStyle w:val="InternetLink"/>
                  <w:rFonts w:ascii="Times New Roman" w:hAnsi="Times New Roman"/>
                  <w:sz w:val="20"/>
                </w:rPr>
                <w:t>The Company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6">
              <w:r>
                <w:rPr>
                  <w:rStyle w:val="InternetLink"/>
                  <w:rFonts w:ascii="Times New Roman" w:hAnsi="Times New Roman"/>
                  <w:sz w:val="20"/>
                </w:rPr>
                <w:t>Securities We and/or Selling Stockholders May Offer or Sell</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7">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8">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9">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10">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11">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12">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13">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1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274" w:type="dxa"/>
            <w:tcBorders/>
          </w:tcPr>
          <w:p>
            <w:pPr>
              <w:pStyle w:val="TableContents"/>
              <w:bidi w:val="0"/>
              <w:spacing w:before="0" w:after="0"/>
              <w:jc w:val="left"/>
              <w:rPr/>
            </w:pPr>
            <w:hyperlink w:anchor="txa151325_1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17" w:name="txa151325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 that we filed with the Securities and Exchange Commission, or the SEC, as a “well-known seasoned issuer” as defined in Rule 405 under the Securities Act. Under the shelf registration, we and/or selling stockholders may offer or sell shares of our common stock and preferred stock, various series of warrants to purchase common stock or preferred stock, debt securities or any combination thereof, from time to time in one or more offerings.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and/or selling stockholders may offer or sell. Each time we sell securities, we will provide one or more prospectus supplements that will contain specific information about the terms of the offering. The applicable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beginning on page 27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the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suggests otherwise, all references to “us,” “our,” “Relay Therapeutics,” “we,” the “Company” and similar designations refer to Relay Therapeutics, Inc. and, where appropriate, our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xa151325_2"/>
      <w:bookmarkEnd w:id="18"/>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consider the risks referenced below and described in the documents incorporated by reference in this prospectus and any applicable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referenced below and described in the documents incorporated herein by reference, including (i) our annual report on Form 10-K for the fiscal year ended December 31, 2023, which is on file with the SEC and is incorporated herein by reference, (ii) our quarterly reports on Form 10-Q for the quarters ended March 31, 2024 and June 30, 2024, which are on file with the SEC and incorporated herein by reference, and (iii) other documents we file with the SEC that are deemed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xa151325_3"/>
      <w:bookmarkEnd w:id="19"/>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applicable prospectus supplement, any related free writing prospectus and the documents that we incorporate by reference herein or therein contain forward-looking statements within the meaning of Section 27A of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“may,” “can,” “should,” “expects,” “intends,” “plans,” “anticipates,” “believes,” “estimates,” “forecasts,” “goal,” “likely,” “predicts,” “potential,” “projects,” “will,” “might,” “could,” “continue,” and similar expressions, or the negative of these terms, or similar expressions.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enrollment, timing, progress, results, and cost of our product candidates and research and development programs and our current and future preclinical and clinical studies, including statements regarding the timing of initiation and completion of studies or trials and related preparatory work, as well as the period during which the results of the trials will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identification of research priorities, reallocation of resources among programs and application of a risk-mitigated strategy to efficiently discover and develop product candidates, including by applying learnings from one program to other programs and from one modality to our other modalities, as well as the potential expected benefits therefrom;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safety and efficacy of our product candidates and the therapeutic implications of clinical and preclinical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manufacture of our drug substances, delivery vehicles, and product candidates for preclinical use, for clinical trials and on a larger scale for commercial use,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relationships with our third-party strategic collaborators and their ability to continue research and development activities relating to our development candidates and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funding for our operations necessary to complete further development and commercialization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seek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our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for intellectual property rights covering our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of our future expenses, revenues,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potential benefits of strategic collaboration agreements with collaborators with development, regulatory and commercialization expertise;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agreements with third parties in connection with the commercialization of product candidates and any other approved product;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and growth potential of the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and manufacturers and their ability to perform adequately;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produce our products or product candidates with advantages in turnaround times or manufacturing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key scientific or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laws and regulations on our business and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public health epidemics or outbreaks of an infectious disease and ongoing geopolitical conflicts, including mitigation efforts and economic effects, on any of the foregoing or other aspects of our business operations, including but not limited to our preclinical studies and current and future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economic and market conditions, including, among others, inflation, interest rates, tax rates, economic uncertainty, the actual or perceived failure or financial difficulties of additional financial institutions and economic and trade sanctions, including their effect on our results of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and uncertainties, including those listed under the caption “Risk Factors.”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for the period ended December 31, 2023 and our subsequent Quarterly Reports on Form 10-Q for the quarters ended March 31, 2024 and June 30, 2024, and our Current Reports on Form 8-K, and the section of any accompanying prospectus supplement entitled “Risk Factors.”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and the documents incorporated by reference represent our views as of their respective dates. We anticipate that subsequent events and developments will cause our views to change. However, while we may elect to update these forward-looking statements at some point in the future, we assume no obligation to update or revise any forward-looking statements except to the extent required by applicable law. You should, therefore, not rely on these forward-looking statements as representing our views as of any date subsequent to the dates on which they were made.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xa151325_4"/>
      <w:bookmarkEnd w:id="20"/>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clinical-stage precision medicine company transforming the drug discovery process by combining leading-edge computational and experimental technologies with the goal of bringing life-changing therapies to patients. As we believe we are among the first of a new breed of biotech created at the intersection of complementary techniques and technologies, we aim to push the boundaries of what’s possible in drug discovery. Our Dynamo platform integrates an array of leading-edge computational and experimental approaches designed to drug protein targets that have previously been intractable or inadequately addressed. Our initial focus is on enhancing small molecule therapeutic discovery in targeted oncology and genetic disease indications. </w:t>
      </w:r>
    </w:p>
    <w:p>
      <w:pPr>
        <w:pStyle w:val="TextBody"/>
        <w:bidi w:val="0"/>
        <w:spacing w:before="240" w:after="0"/>
        <w:jc w:val="left"/>
        <w:rPr>
          <w:rFonts w:ascii="Times New Roman" w:hAnsi="Times New Roman"/>
          <w:sz w:val="20"/>
        </w:rPr>
      </w:pPr>
      <w:r>
        <w:rPr>
          <w:rFonts w:ascii="Times New Roman" w:hAnsi="Times New Roman"/>
          <w:sz w:val="20"/>
        </w:rPr>
        <w:t xml:space="preserve">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 </w:t>
      </w:r>
    </w:p>
    <w:p>
      <w:pPr>
        <w:pStyle w:val="TextBody"/>
        <w:bidi w:val="0"/>
        <w:spacing w:before="240" w:after="0"/>
        <w:jc w:val="left"/>
        <w:rPr>
          <w:rFonts w:ascii="Times New Roman" w:hAnsi="Times New Roman"/>
          <w:sz w:val="20"/>
        </w:rPr>
      </w:pPr>
      <w:r>
        <w:rPr>
          <w:rFonts w:ascii="Times New Roman" w:hAnsi="Times New Roman"/>
          <w:sz w:val="20"/>
        </w:rPr>
        <w:t xml:space="preserve">We are advancing a pipeline of medicine candidates to address targets in precision oncology and genetic disease, including our lead product candidates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RLY-2608.</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ReDiscover Trial</w:t>
            </w:r>
            <w:r>
              <w:rPr>
                <w:rFonts w:ascii="Times New Roman" w:hAnsi="Times New Roman"/>
                <w:sz w:val="20"/>
              </w:rPr>
              <w:t xml:space="preserve">. RLY-2608 is the lead program in our efforts to discover and develop mutant selective inhibitors of PI3Kα. In December 2021, we dosed the first patient in a first-in-human clinical trial for RLY-2608, the first known allosteric, pan-mutant and isoform-selective phosphoinostide 3 kinase alpha, or PI3Kα, inhibitor in clinical development, or the ReDiscover Trial. In April 2022, we initiated the second arm of the dose escalation part of this trial, evaluating RLY-2608 in combination with fulvestrant for patients with HR+, HER2–, PI3Kα-mutated, locally advanced or metastatic breast cancer. In July 2023, we initiated a dose expansion cohort in patients with PI3Kα-mutant, HR+, HER2- locally advanced or metastatic breast cancer, with patients receiving a 600 mg twice daily, or BID, dose of RLY-2608 in combination with fulvestrant. In the fourth quarter of 2023, we initiated two additional dose expansion cohorts of RLY-2608 in combination with fulvestrant – a second 600 mg BID cohort as well as one at 400 mg BID. In the fourth quarter of 2023, we also initiated a triplet combination arm with RLY-2608, fulvestrant and the cyclin dependent kinase 4/6, or CDK 4/6, inhibitor ribociclib. In June 2024, we announced our plan to initiate an additional triplet combination arm with RLY-2608, fulvestrant and atirmociclib, Pfizer Inc.’s, or Pfizer’s, investigative selective-CDK4 inhibitor, pursuant to a clinical trial collaboration with Pfizer.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Clinical Data</w:t>
            </w:r>
            <w:r>
              <w:rPr>
                <w:rFonts w:ascii="Times New Roman" w:hAnsi="Times New Roman"/>
                <w:sz w:val="20"/>
              </w:rPr>
              <w:t xml:space="preserve">. We believe that, overall, while the interim clinical data from the ReDiscover Trial disclosed to date are preliminary, the data support selective target engagement across doses and mutation types with an encouraging interim safety and tolerability profile.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Lirafugratinib (RLY-4008).</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ReFocus Trial</w:t>
            </w:r>
            <w:r>
              <w:rPr>
                <w:rFonts w:ascii="Times New Roman" w:hAnsi="Times New Roman"/>
                <w:sz w:val="20"/>
              </w:rPr>
              <w:t xml:space="preserve">. Lirafugratinib, or RLY-4008, is a potent, selective and oral small molecule inhibitor of fibroblast growth factor receptor 2, or FGFR2. In the third quarter of 2020, we initiated a first-in-human clinical trial for lirafugratinib, or the ReFocus Trial, which is a two-part global trial in patients with FGFR2-altered tumors. The first part of the trial, or the dose escalation, is complete, and the second part of the trial, or the dose expansion, is ongoing at a 70 mg once daily, or QD, recommended Phase 2 dose in patients with cholangiocarcinoma, or CCA, and other FGFR2-altered solid tumors. Enrollment for the ReFocus Trial has been closed to allow the data to mature and inform our future clinical development decisions.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Clinical Data</w:t>
            </w:r>
            <w:r>
              <w:rPr>
                <w:rFonts w:ascii="Times New Roman" w:hAnsi="Times New Roman"/>
                <w:sz w:val="20"/>
              </w:rPr>
              <w:t xml:space="preserve">. We believe that while the interim clinical data from the ReFocus Trial disclosed to date are preliminary, the data show interim efficacy signals in the CCA pan-FGFR, or FGFRi, treatment-naïve, FGFR2-fusion CCA cohort and non-CCA solid tumor expansion cohorts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320"/>
        <w:gridCol w:w="8885"/>
      </w:tblGrid>
      <w:tr>
        <w:trPr/>
        <w:tc>
          <w:tcPr>
            <w:tcW w:w="1320" w:type="dxa"/>
            <w:tcBorders/>
            <w:vAlign w:val="center"/>
          </w:tcPr>
          <w:p>
            <w:pPr>
              <w:pStyle w:val="TableContents"/>
              <w:bidi w:val="0"/>
              <w:spacing w:before="0" w:after="283"/>
              <w:jc w:val="left"/>
              <w:rPr/>
            </w:pPr>
            <w:r>
              <w:rPr/>
              <w:t> </w:t>
            </w:r>
          </w:p>
        </w:tc>
        <w:tc>
          <w:tcPr>
            <w:tcW w:w="88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further support our hypothesis that selective inhibition of FGFR2 can improve the treatment for patients with FGFR2-driven tumors. Additionally, the safety analysis from the interim clinical data disclosed to date for the CCA cohorts and tumor agnostic cohorts has been generally consistent. Most treatment emergent adverse events were expected FGFR2 on-target, low-grade, monitorable, manageable and largely reversible.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our initial focus is on precision oncology, we believe our DynamoTM platform may also be broadly applied to other areas of precision medicine, such as genetic diseases. In addition to the clinical stage product candidates described above, we announced three discovery stage programs in June 2024, including two novel programs from our genetic disease portfolio to address clinically and commercially validated targets in vascular malformations and Fabry disease, respectively, and a NRAS-selective inhibitor. We also have more than five additional active discovery stage programs across both precision oncology and genetic diseases. We are focused on using the novel insights derived from our approach to transform the lives of patients suffering from debilitating and life-threatening diseases through the discovery, development and commercialization of our therapies.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history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under the laws of the State of Delaware on May 4, 2015 under the name “Allostery, Inc.” Our principal corporate office is located at 399 Binney Street, 2nd Floor, Cambridge, MA 02139, and our telephone number is (617) 370-8837. Our website address is www.relaytx.com. We do not incorporate the information on or accessible through our website into this prospectus, and you should not consider any information on, or that can be accessed through, our website as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 and ,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xa151325_5"/>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received by us from the sale of any securities offered under this prospectus for general corporate purposes unless otherwise indicated in the applicable prospectus supplement. General corporate purposes may include research and clinical development of current or additional pipeline candidates, working capital, capital expenditures and other general corporate purposes. We may temporarily invest the net proceeds in a variety of capital preservation instruments, including short-term, investment-grade, interest-bearing instruments and U.S. government securities, or may hold such proceeds as cash, until they are used for their stated purpose. We have not determined the amount of net proceeds to be used specifically for such purposes. As a result, management will retain broad discretion over the allocation of any net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xa151325_6"/>
      <w:bookmarkEnd w:id="22"/>
      <w:r>
        <w:rPr>
          <w:rFonts w:ascii="Times New Roman" w:hAnsi="Times New Roman"/>
          <w:b/>
          <w:sz w:val="20"/>
        </w:rPr>
        <w:t xml:space="preserve">SECURITIES WE AND/OR SELLING STOCKHOLDERS MAY OFFER OR SELL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summary descriptions of the securities we and/or selling stockholders may offer or sell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xa151325_7"/>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Fourth Amended and Restated Certificate of Incorporation, as amended from time to time, or the certificate of incorporation, and our Amended and Restated Bylaws, as amended from time to time, or bylaws, which are exhibits to the registration statement of which this prospectus forms a part, and by applicable law. The terms of our common stock and preferred stock may also be affected by Delaware law.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Three Hundred Million (300,000,000) shares of common stock, par value $0.001 per share and Ten Million (10,000,000) shares of undesignated preferred stock, par value $0.001 per share.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trading symbol “RLAY.”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certificate of incorporation and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the division of our board of directors into three classes serving staggered three-year terms, with one class being elected each year. Our certificate of incorporation also provides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10,000,000 authorized shares of preferred stock. The existence of authorized but unissued shares of preferred stock may enable our board of directors to discourage an attempt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0"/>
        <w:jc w:val="left"/>
        <w:rPr>
          <w:rFonts w:ascii="Times New Roman" w:hAnsi="Times New Roman"/>
          <w:b/>
          <w:sz w:val="20"/>
        </w:rPr>
      </w:pPr>
      <w:r>
        <w:rPr>
          <w:rFonts w:ascii="Times New Roman" w:hAnsi="Times New Roman"/>
          <w:b/>
          <w:sz w:val="20"/>
        </w:rPr>
        <w:t xml:space="preserve">Choice of forum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we consent in writing to the selection of an alternative form, the Court of Chancery of the State of Delaware (or, if the Chancery Court does not have jurisdiction, the federal district court for the District of Delaware or other state courts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Our bylaws also provide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bylaws provide that, unless we consent in writing to the selection of an alternative forum, the United States District Court in the District of Massachusetts will be the exclusive forum for any private action asserting violations by us or any of our directors or officers of the Securities Act or the Exchange Act, or the rules and regulations promulgated thereunder, and of all suits in equity and actions at law brought to enforce any liability or duty created by those statutes or the rules and regulations under such statutes. If any action the subject matter of which is within the scope of the preceding sentence is filed in a court other than the United States District of Massachusetts, the plaintiff or plaintiffs shall be deemed by this provision of the bylaws (i) to have consented to removal of the action by us to the United States District Court in the District of Massachusetts, in the case of an action filed in a state court, and (ii) to have consented to transfer of the action to the United States District Court in the District of Massachusetts. </w:t>
      </w:r>
    </w:p>
    <w:p>
      <w:pPr>
        <w:pStyle w:val="TextBody"/>
        <w:bidi w:val="0"/>
        <w:spacing w:before="360" w:after="0"/>
        <w:jc w:val="left"/>
        <w:rPr>
          <w:rFonts w:ascii="Times New Roman" w:hAnsi="Times New Roman"/>
          <w:b/>
          <w:sz w:val="20"/>
        </w:rPr>
      </w:pPr>
      <w:r>
        <w:rPr>
          <w:rFonts w:ascii="Times New Roman" w:hAnsi="Times New Roman"/>
          <w:b/>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In general, Section 203 prohibits a publicly held Delaware corporation from engaging in a “business combination” with an “interested stockholder” for a three-year period following the time that the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an interested stockholder,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at the time the transaction commenced, excluding for purposes of determining the voting stock outstanding, shares (i) owned by persons who are directors and also officers and (ii) issued under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an interested stockholder, the business combination is approved by our board of directors and authorized at an annual or special meeting of the stockholders, and not by written consent,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sale, transfer, lease, pledge or other disposition involving the interested stockholder of 10% or more of the assets of the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The transfer agent and registrar for our common stock is Computershare Trust Company, N.A. The transfer agent and registrar’s address is P.O. Box 43006, Providence, Rhode Island 02940-3006, and its telephone number within the U.S. is (800) 736-3001 and outside the U.S. is (781) 575-3100.</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xa151325_8"/>
      <w:bookmarkEnd w:id="24"/>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limit the amount of debt securities that we may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issue debt securities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require us to issue all of the debt securities of a series at the same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reopen a series to issue additional debt securities without the consent of the holders of the debt securities of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for each offering will provide the following terms,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and whether they are senior or subordinated;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debt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another security of ours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at which the debt securities of the series shall bear interest or the manner of calculation of such rate or rates,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interest will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such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debt securities of the series may be redeemed, converted or exchanged, in whole or in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or purchase debt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debt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including the form of the Certificate of Authentication for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minimum denominations of one thousand U.S. dollars ($1,000) or any integral multiple of $1,000 thereof, the denominations in which the debt securities of the series shall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debt security or global debt securities; the terms and conditions, if any, upon which such global debt security or global debt securities may be exchanged in whole or in part for other individual debt securities; and the depositary for such global debt security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convertible into or exchangeable for common stock or other securities of ours or any other Person and, if so,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and the applicable conversion or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or alternative events of default to those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or alternative covenants to those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payment of the principal of (and premium, if any) and interest, if any, on such debt securities shall be payable (if other than the currency of the United States of America), which unless otherwise specified shall be the currency of the United States of America as at the time of payment is legal tender for payment of public or private debts;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of (and premium, if any), or interest, if any, on such debt securities is to be payable, at our election or at the election of any holder thereof, in a coin or currency other than that in which such debt securities are stated to be payable, then the period or periods within which, and the terms and conditions upon which, such election may be made;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or alternative provisions, if any, related to defeasance and discharge of the offered debt securities than those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insofar as it applies to such series).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 </w:t>
      </w:r>
    </w:p>
    <w:p>
      <w:pPr>
        <w:pStyle w:val="TextBody"/>
        <w:bidi w:val="0"/>
        <w:spacing w:before="360" w:after="0"/>
        <w:jc w:val="left"/>
        <w:rPr>
          <w:rFonts w:ascii="Times New Roman" w:hAnsi="Times New Roman"/>
          <w:b/>
          <w:sz w:val="20"/>
        </w:rPr>
      </w:pPr>
      <w:r>
        <w:rPr>
          <w:rFonts w:ascii="Times New Roman" w:hAnsi="Times New Roman"/>
          <w:b/>
          <w:sz w:val="20"/>
        </w:rPr>
        <w:t xml:space="preserve">Payment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All monies that we pay to a paying agent or a trustee for the payment of the principal of, and any premium,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without the consent of the holders of any outstanding debt securities, (i) consolidate with, (ii) sell, lease or convey all or substantially all of our assets to, or (iii) merge with or into, any other entity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we are the continuing entity, or the successor entity, if other than us, assumes the obligations (a) to pay the principal of, and any premium, and interest on, all of the debt securities and (b) to duly perform and observe all of the covenants and conditions contained in the applicable indenture; and in the event the debt securities are convertible into or exchangeable for common stock or other securities of ours, such successor entity will, by such supplemental indenture, make provision so that the holders of debt securities of that series shall thereafter be entitled to receive upon conversion or exchange of such debt securities the number of securities or property to which a holder of the number of common stock or other securities of ours deliverable upon conversion or exchange of those debt securities would have been entitled had such conversion or exchange occurred immediately prior to such consolidation, merger, sale, conveyance, transfer or other disposition;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and legal opinion covering such conditions are delivered to each applicable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Events of Default, Notice and Waiver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states otherwise, when we refer to “events of default” as defined in the indentures with respect to any series of debt securities, we mean: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installment of interest on any debt security of such series continuing for 90 days unless such date has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or any premium on, any debt security of such series when due and payable unless such date has been extended or deferred;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covenant or warranty in the debt securities or in the indenture by us continuing for 90 days after written notice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bankruptcy, insolvency or reorganization, or court appointment of a receiver, liquidator or trustee of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a particular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described in the fourth bullet point above) occurs and is continuing with respect to debt securities of any series outstanding, then the applicable trustee or the holders of 25% or more in principal amount of the debt securities of that series will have the right to declare the principal amount of, and accrued interest on, all the debt securities of that series to be due and payable. If an event of default described in the fourth bullet point above occurs, the principal amount of, and accrued interest on, all the debt securities of that series will automatically become and will be immediately due and payable without any declaration or other act on the part of the trustee or the holders of the debt securities.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deposited with the applicable trustee all required payments of the principal, any premium, interest and, to the extent permitted by law, interest on overdue installment of interest, plus applicable fees, expenses, disbursements and advances of the applicable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the non-payment of accelerated principal, or a specified portion thereof, and any premium, have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and interest on, such debt securities at the respective due dates thereof.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 conflict with any law or the applicable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involve the trustee in personal liability;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be unduly prejudicial to the holders of debt securities of the series not joining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exceptions, the indentures may be amended with the consent of the holders of a majority in aggregate principal amount of the outstanding debt securities of all series affected by such amendment (including consents obtained in connection with a tender offer or exchange for the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We and the applicable trustee may make modifications and amendments of an indenture without the consent of any holder of debt securities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applicable indenture or in the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covenant described above under “—Merger, Consolidation or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events of default for the benefit of the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the covenants, restrictions, conditions or provisions relating to us for the benefit of the holders of all or any series of debt securities (and if such covenants, restrictions, conditions or provisions are to be for the benefit of less than all series of debt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in the applicable indenture conferred upon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notes under the applicable indenture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in the applicable indenture, to establish the form of any certifications required to be furnished pursuant to the terms of the applicable indenture or any series of debt securities under the applicable indenture,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the applicable indenture by a successor trustee or to appoint a separate trustee with respect to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or any successor in connection with the qualification of the indenture under the Trust Indenture Act of 1939, as amended, or the Trust Indenture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applicable indenture to this “—Description of Debt Securities” or any other similarly titled section in any prospectus supplement or other offering document relating to a series of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Payment by us of the principal of, premium, if any, and interest on any series of subordinated debt securities issued under the subordinated indenture will be subordinated to the extent set forth in an indenture supplemental to the subordinated indenture relating to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the applicable prospectus supplement, the indentures allow us to discharge our obligations to holders of any series of debt securities issued under any indenture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or governmental obligations in an amount sufficient to pay the entire indebtedness on such debt securities in respect of principal and any premium, and interest to the date of such deposit if such debt securities have become due and payable or, if they have not, to the stated maturity or redemption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the indentures provide that, upon our irrevocable deposit with the applicable trustee, in trust, of an amount, in such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further describe the provisions, if any, permitting such defeasance or covenant defeasance, including any modifications to the provisions described above, with respect to the debt securities of or within a particular series.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and the debt securities will be governed by and construed in accordance with the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xa151325_9"/>
      <w:bookmarkEnd w:id="25"/>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warrants,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and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for which the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the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any merger, consolidation, sale or other disposition of our business on the warrant agreement and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changes to or adjustments in the exercise price or number of securities issuable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periods during which, and places at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of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the right to exercise the warrants will commence and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warrant agreement and warrants may be modified;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federal income tax consequences of holding or exercising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xa151325_10"/>
      <w:bookmarkEnd w:id="26"/>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prospectus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United States federal income tax considerations relating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provisions will generally apply to all unit agreements unless otherwise stated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We and the applicable unit agent may amend any unit or unit agreement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including modifying any provisions of the governing unit agreement that differ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correct or supplement any defective or inconsistent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Modification with Consent </w:t>
      </w:r>
    </w:p>
    <w:p>
      <w:pPr>
        <w:pStyle w:val="TextBody"/>
        <w:bidi w:val="0"/>
        <w:spacing w:before="120" w:after="0"/>
        <w:jc w:val="left"/>
        <w:rPr>
          <w:rFonts w:ascii="Times New Roman" w:hAnsi="Times New Roman"/>
          <w:sz w:val="20"/>
        </w:rPr>
      </w:pPr>
      <w:r>
        <w:rPr>
          <w:rFonts w:ascii="Times New Roman" w:hAnsi="Times New Roman"/>
          <w:sz w:val="20"/>
        </w:rPr>
        <w:t xml:space="preserve">We may not amend any particular unit or a unit agreement with respect to any particular unit unless we obtain the consent of the holder of that unit, if the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change to a particular unit agreement and the units issued under that agreement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units of a particular series issued under that agreement, the change must be approved by the holders of a majority of the outstanding units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regarding changes with majority approval also apply to changes affecting any securities issued under a unit agreement, as the governing document.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 Agreements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Mergers and Similar Transactions Permitted; No Restrictive Covenants or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will not restrict our ability to merge or consolidate with, or sell our assets to, another corporation or other entity or to engage in any other transactions. If at any time we merge or consolidate with,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and the units will be governed by Delaware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unit and all securities comprising the unit will be issued in the same form. </w:t>
      </w:r>
    </w:p>
    <w:p>
      <w:pPr>
        <w:pStyle w:val="TextBody"/>
        <w:bidi w:val="0"/>
        <w:spacing w:before="240" w:after="0"/>
        <w:jc w:val="left"/>
        <w:rPr>
          <w:rFonts w:ascii="Times New Roman" w:hAnsi="Times New Roman"/>
          <w:sz w:val="20"/>
        </w:rPr>
      </w:pPr>
      <w:r>
        <w:rPr>
          <w:rFonts w:ascii="Times New Roman" w:hAnsi="Times New Roman"/>
          <w:sz w:val="20"/>
        </w:rPr>
        <w:t xml:space="preserve">If we issue any units in registered, non-global form, the following will apply to them. The units will be issued in the denominations stated in the applicable prospectus supplement. Holders may exchange their units for units of smaller denominations or combined into fewer units of larger denominations, as long as the total amount is not changed.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the depositary will be entitled to transfer or exchange a unit in global form, since it will be the sole holder of the unit.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and Notices </w:t>
      </w:r>
    </w:p>
    <w:p>
      <w:pPr>
        <w:pStyle w:val="TextBody"/>
        <w:bidi w:val="0"/>
        <w:spacing w:before="120" w:after="0"/>
        <w:jc w:val="left"/>
        <w:rPr>
          <w:rFonts w:ascii="Times New Roman" w:hAnsi="Times New Roman"/>
          <w:sz w:val="20"/>
        </w:rPr>
      </w:pPr>
      <w:r>
        <w:rPr>
          <w:rFonts w:ascii="Times New Roman" w:hAnsi="Times New Roman"/>
          <w:sz w:val="20"/>
        </w:rPr>
        <w:t xml:space="preserve">In making payments and giving notices with respect to our units, we will follow the procedures as described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xa151325_11"/>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or any other method permitted by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the securities may be effected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 or any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or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underwriting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The securities may be new issues of securities and may have no established trading market. The securities may or may not be listed on a national securities exchange. We can make no assurance as to the liquidity of or the existence of trading markets for any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transactions with us, or perform services for us, in the ordinary course of business for which they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anticipated date of delivery of offered securities will be set forth in the applicable prospectus supplement relating to each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xa151325_12"/>
      <w:bookmarkEnd w:id="28"/>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 </w:t>
      </w:r>
    </w:p>
    <w:p>
      <w:pPr>
        <w:pStyle w:val="TextBody"/>
        <w:bidi w:val="0"/>
        <w:spacing w:before="480" w:after="0"/>
        <w:jc w:val="center"/>
        <w:rPr>
          <w:rFonts w:ascii="Times New Roman" w:hAnsi="Times New Roman"/>
          <w:b/>
          <w:sz w:val="20"/>
        </w:rPr>
      </w:pPr>
      <w:bookmarkStart w:id="29" w:name="txa151325_13"/>
      <w:bookmarkEnd w:id="29"/>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The consolidated financial statements of Relay Therapeutics, Inc. incorporated by reference in Relay Therapeutics, Inc.’s Annual Report (Form 10-K) for the year ended December 31, 2023, and the effectiveness of Relay Therapeutics, Inc.’s internal control over financial reporting as of December 31, 2023, have been audited by Ernst &amp; Young LLP, independent registered public accounting firm, as set forth in their reports thereon incorporated by reference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 given on the authority of such firm as experts in accounting and auditing.</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0" w:name="txa151325_14"/>
      <w:bookmarkEnd w:id="3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current reports, proxy statements and other information with the SEC. These documents also may be accessed through the SEC’s electronic data gathering, analysis and retrieval system, or EDGAR, via electronic means, including the SEC’s home page on the Internet </w:t>
      </w:r>
      <w:r>
        <w:rPr>
          <w:rFonts w:ascii="Times New Roman" w:hAnsi="Times New Roman"/>
          <w:i/>
          <w:sz w:val="20"/>
        </w:rPr>
        <w:t>(www.sec.gov</w:t>
      </w:r>
      <w:r>
        <w:rPr>
          <w:rFonts w:ascii="Times New Roman" w:hAnsi="Times New Roman"/>
          <w:sz w:val="20"/>
        </w:rPr>
        <w:t xml:space="preserve">). We also maintain a website at </w:t>
      </w:r>
      <w:r>
        <w:rPr>
          <w:rFonts w:ascii="Times New Roman" w:hAnsi="Times New Roman"/>
          <w:i/>
          <w:sz w:val="20"/>
        </w:rPr>
        <w:t>www.relaytx.com</w:t>
      </w:r>
      <w:r>
        <w:rPr>
          <w:rFonts w:ascii="Times New Roman" w:hAnsi="Times New Roman"/>
          <w:sz w:val="20"/>
        </w:rPr>
        <w:t xml:space="preserve">. The information contained in or accessible from our website is not incorporated into this prospectus, and you should not consider it part of this prospectus. We have included our website address in this prospectus solely as an inactive textual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Relay Therapeutics, Inc., 399 Binney Street, 2nd Floor, Cambridge, Massachusetts 02139, telephone: (617) 370-8837. Information contained on our website is not incorporated by reference into this prospectus and you should not consider any information on, or that can be accessed from, our website as part of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1" w:name="txa151325_15"/>
      <w:bookmarkEnd w:id="31"/>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(SEC File No. 001-39385),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19">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February 22,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year ended December  31, 2023 from our definitive proxy statement on </w:t>
            </w:r>
            <w:hyperlink r:id="rId20">
              <w:r>
                <w:rPr>
                  <w:rStyle w:val="InternetLink"/>
                  <w:rFonts w:ascii="Times New Roman" w:hAnsi="Times New Roman"/>
                  <w:sz w:val="20"/>
                </w:rPr>
                <w:t>Schedule 14A</w:t>
              </w:r>
            </w:hyperlink>
            <w:r>
              <w:rPr>
                <w:rFonts w:ascii="Times New Roman" w:hAnsi="Times New Roman"/>
                <w:sz w:val="20"/>
              </w:rPr>
              <w:t xml:space="preserve"> (other than information furnished rather than filed), which was filed with the SEC on April 23,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Reports on Form 10-Q filed with the SEC for the quarters ended </w:t>
            </w:r>
            <w:hyperlink r:id="rId21">
              <w:r>
                <w:rPr>
                  <w:rStyle w:val="InternetLink"/>
                  <w:rFonts w:ascii="Times New Roman" w:hAnsi="Times New Roman"/>
                  <w:sz w:val="20"/>
                </w:rPr>
                <w:t>March 31, 2024</w:t>
              </w:r>
            </w:hyperlink>
            <w:r>
              <w:rPr>
                <w:rFonts w:ascii="Times New Roman" w:hAnsi="Times New Roman"/>
                <w:sz w:val="20"/>
              </w:rPr>
              <w:t xml:space="preserve"> and </w:t>
            </w:r>
            <w:hyperlink r:id="rId22">
              <w:r>
                <w:rPr>
                  <w:rStyle w:val="InternetLink"/>
                  <w:rFonts w:ascii="Times New Roman" w:hAnsi="Times New Roman"/>
                  <w:sz w:val="20"/>
                </w:rPr>
                <w:t>June 30, 2024</w:t>
              </w:r>
            </w:hyperlink>
            <w:r>
              <w:rPr>
                <w:rFonts w:ascii="Times New Roman" w:hAnsi="Times New Roman"/>
                <w:sz w:val="20"/>
              </w:rPr>
              <w:t xml:space="preserve">, filed with the SEC on May 2, 2024 and August 6, 2024,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23">
              <w:r>
                <w:rPr>
                  <w:rStyle w:val="InternetLink"/>
                  <w:rFonts w:ascii="Times New Roman" w:hAnsi="Times New Roman"/>
                  <w:sz w:val="20"/>
                </w:rPr>
                <w:t>January 8, 2024</w:t>
              </w:r>
            </w:hyperlink>
            <w:r>
              <w:rPr>
                <w:rFonts w:ascii="Times New Roman" w:hAnsi="Times New Roman"/>
                <w:sz w:val="20"/>
              </w:rPr>
              <w:t xml:space="preserve">, </w:t>
            </w:r>
            <w:hyperlink r:id="rId24">
              <w:r>
                <w:rPr>
                  <w:rStyle w:val="InternetLink"/>
                  <w:rFonts w:ascii="Times New Roman" w:hAnsi="Times New Roman"/>
                  <w:sz w:val="20"/>
                </w:rPr>
                <w:t>June  3, 2024</w:t>
              </w:r>
            </w:hyperlink>
            <w:r>
              <w:rPr>
                <w:rFonts w:ascii="Times New Roman" w:hAnsi="Times New Roman"/>
                <w:sz w:val="20"/>
              </w:rPr>
              <w:t xml:space="preserve">, </w:t>
            </w:r>
            <w:hyperlink r:id="rId25">
              <w:r>
                <w:rPr>
                  <w:rStyle w:val="InternetLink"/>
                  <w:rFonts w:ascii="Times New Roman" w:hAnsi="Times New Roman"/>
                  <w:sz w:val="20"/>
                </w:rPr>
                <w:t>June  6, 2024</w:t>
              </w:r>
            </w:hyperlink>
            <w:r>
              <w:rPr>
                <w:rFonts w:ascii="Times New Roman" w:hAnsi="Times New Roman"/>
                <w:sz w:val="20"/>
              </w:rPr>
              <w:t xml:space="preserve"> and </w:t>
            </w:r>
            <w:hyperlink r:id="rId26">
              <w:r>
                <w:rPr>
                  <w:rStyle w:val="InternetLink"/>
                  <w:rFonts w:ascii="Times New Roman" w:hAnsi="Times New Roman"/>
                  <w:sz w:val="20"/>
                </w:rPr>
                <w:t>July 16,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7">
              <w:r>
                <w:rPr>
                  <w:rStyle w:val="InternetLink"/>
                  <w:rFonts w:ascii="Times New Roman" w:hAnsi="Times New Roman"/>
                  <w:sz w:val="20"/>
                </w:rPr>
                <w:t>Form 8-A</w:t>
              </w:r>
            </w:hyperlink>
            <w:r>
              <w:rPr>
                <w:rFonts w:ascii="Times New Roman" w:hAnsi="Times New Roman"/>
                <w:sz w:val="20"/>
              </w:rPr>
              <w:t xml:space="preserve"> (File No. 001-39385) as filed with the SEC on July 13, 2020, including any amendments or reports filed for the purpose of updating this description, including </w:t>
            </w:r>
            <w:hyperlink r:id="rId28">
              <w:r>
                <w:rPr>
                  <w:rStyle w:val="InternetLink"/>
                  <w:rFonts w:ascii="Times New Roman" w:hAnsi="Times New Roman"/>
                  <w:sz w:val="20"/>
                </w:rPr>
                <w:t>Exhibit 4.2</w:t>
              </w:r>
            </w:hyperlink>
            <w:r>
              <w:rPr>
                <w:rFonts w:ascii="Times New Roman" w:hAnsi="Times New Roman"/>
                <w:sz w:val="20"/>
              </w:rPr>
              <w:t xml:space="preserve"> to our Annual Report on Form 10-K for the year ended December 31, 2023, as filed with the SEC on February 22,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request,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or telephoning us at the following address: Relay Therapeutics, Inc., 399 Binney Street, 2nd Floor, Cambridge, Massachusetts 02139, telephone: (617) 370-8837.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free of charge on the SEC’s website at </w:t>
      </w:r>
      <w:r>
        <w:rPr>
          <w:rFonts w:ascii="Times New Roman" w:hAnsi="Times New Roman"/>
          <w:i/>
          <w:sz w:val="20"/>
        </w:rPr>
        <w:t>www.sec.gov</w:t>
      </w:r>
      <w:r>
        <w:rPr>
          <w:rFonts w:ascii="Times New Roman" w:hAnsi="Times New Roman"/>
          <w:sz w:val="20"/>
        </w:rPr>
        <w:t xml:space="preserve"> or on our website at </w:t>
      </w:r>
      <w:r>
        <w:rPr>
          <w:rFonts w:ascii="Times New Roman" w:hAnsi="Times New Roman"/>
          <w:i/>
          <w:sz w:val="20"/>
        </w:rPr>
        <w:t>www.relaytx.com</w:t>
      </w:r>
      <w:r>
        <w:rPr>
          <w:rFonts w:ascii="Times New Roman" w:hAnsi="Times New Roman"/>
          <w:sz w:val="20"/>
        </w:rPr>
        <w:t xml:space="preserve">. Information contained on our website is not incorporated by reference into this prospectus, and you should not consider any information on, or that can be accessed from, our website as part of this prospectus or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We have incorporated exhibits into this registration statement. You should read the exhibits carefully for provisions that may be important to you.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811655" cy="7131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9"/>
                    <a:stretch>
                      <a:fillRect/>
                    </a:stretch>
                  </pic:blipFill>
                  <pic:spPr bwMode="auto">
                    <a:xfrm>
                      <a:off x="0" y="0"/>
                      <a:ext cx="1811655" cy="7131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32"/>
        </w:rPr>
      </w:pPr>
      <w:r>
        <w:rPr>
          <w:rFonts w:ascii="Times New Roman" w:hAnsi="Times New Roman"/>
          <w:b/>
          <w:sz w:val="32"/>
        </w:rPr>
        <w:t xml:space="preserve">Up to $212,978,049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TD Cowen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0" w:after="0"/>
        <w:jc w:val="center"/>
        <w:rPr>
          <w:rFonts w:ascii="Times New Roman" w:hAnsi="Times New Roman"/>
          <w:b/>
          <w:sz w:val="20"/>
        </w:rPr>
      </w:pPr>
      <w:r>
        <w:rPr>
          <w:rFonts w:ascii="Times New Roman" w:hAnsi="Times New Roman"/>
          <w:b/>
          <w:sz w:val="20"/>
        </w:rPr>
        <w:t xml:space="preserve">August 6,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2" w:name="d151325dexfilingfees.htm"/>
      <w:bookmarkStart w:id="33" w:name="ksd151325dexfilingfees"/>
      <w:bookmarkStart w:id="34" w:name="d151325dexfilingfees.htm"/>
      <w:bookmarkStart w:id="35" w:name="ksd151325dexfilingfees"/>
      <w:bookmarkEnd w:id="34"/>
      <w:bookmarkEnd w:id="35"/>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Relay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$ 212,978,049.00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$ 29,412.27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6" w:name="MaxAggtOfferingPrice"/>
            <w:bookmarkEnd w:id="36"/>
            <w:r>
              <w:rPr/>
              <w:t xml:space="preserve">$ 212,978,049.00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7" w:name="TotalFeeAmt"/>
            <w:bookmarkEnd w:id="37"/>
            <w:r>
              <w:rPr/>
              <w:t xml:space="preserve">$ 29,412.27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8" w:name="TotalPreviouslyPaid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Offset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NetFeeAmt"/>
            <w:bookmarkEnd w:id="40"/>
            <w:r>
              <w:rPr/>
              <w:t xml:space="preserve">$ 29,412.27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
        <w:gridCol w:w="1295"/>
        <w:gridCol w:w="8702"/>
      </w:tblGrid>
      <w:tr>
        <w:trPr/>
        <w:tc>
          <w:tcPr>
            <w:tcW w:w="20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7" w:type="dxa"/>
            <w:gridSpan w:val="2"/>
            <w:tcBorders/>
            <w:vAlign w:val="center"/>
          </w:tcPr>
          <w:p>
            <w:pPr>
              <w:pStyle w:val="TableContents"/>
              <w:bidi w:val="0"/>
              <w:spacing w:before="0" w:after="283"/>
              <w:jc w:val="left"/>
              <w:rPr/>
            </w:pPr>
            <w:r>
              <w:rPr/>
              <w:t xml:space="preserve">Calculated in accordance with Rule 457(r) under the Securities Act of 1933, as amended (the "Securities Act"). The fee payable in connection with the offering pursuant to this prospectus supplement has been paid in accordance with Rule 456(b) under the Securities Act, and represents deferred payment of the registration fees in connection with the registrant's Registration Statement on Form S-3ASR (Registration No. 333-281308). </w:t>
            </w:r>
          </w:p>
        </w:tc>
      </w:tr>
      <w:tr>
        <w:trPr/>
        <w:tc>
          <w:tcPr>
            <w:tcW w:w="1503" w:type="dxa"/>
            <w:gridSpan w:val="2"/>
            <w:tcBorders/>
            <w:vAlign w:val="center"/>
          </w:tcPr>
          <w:p>
            <w:pPr>
              <w:pStyle w:val="HorizontalLine"/>
              <w:pBdr>
                <w:bottom w:val="double" w:sz="2" w:space="0" w:color="808080"/>
              </w:pBdr>
              <w:bidi w:val="0"/>
              <w:spacing w:before="0" w:after="283"/>
              <w:jc w:val="left"/>
              <w:rPr/>
            </w:pPr>
            <w:r>
              <w:rPr/>
            </w:r>
          </w:p>
        </w:tc>
        <w:tc>
          <w:tcPr>
            <w:tcW w:w="8702"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$212,978,049.00.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12364/000119312526076739/rlay-20251231.htm" TargetMode="External"/><Relationship Id="rId4" Type="http://schemas.openxmlformats.org/officeDocument/2006/relationships/hyperlink" Target="http://www.sec.gov/Archives/edgar/data/../../../ix?doc=/Archives/edgar/data/1812364/000119312526076739/rlay-20251231.htm" TargetMode="External"/><Relationship Id="rId5" Type="http://schemas.openxmlformats.org/officeDocument/2006/relationships/hyperlink" Target="http://www.sec.gov/Archives/edgar/data/../../../ix?doc=/Archives/edgar/data/0001812364/000119312526186929/rlay-20260424.htm" TargetMode="External"/><Relationship Id="rId6" Type="http://schemas.openxmlformats.org/officeDocument/2006/relationships/hyperlink" Target="http://www.sec.gov/Archives/edgar/data/../../../ix?doc=/Archives/edgar/data/1812364/000119312526206454/rlay-20260331.htm" TargetMode="External"/><Relationship Id="rId7" Type="http://schemas.openxmlformats.org/officeDocument/2006/relationships/hyperlink" Target="http://www.sec.gov/Archives/edgar/data/../../../ix?doc=/Archives/edgar/data/0001812364/000119312526338056/rlay-20260630.htm" TargetMode="External"/><Relationship Id="rId8" Type="http://schemas.openxmlformats.org/officeDocument/2006/relationships/hyperlink" Target="http://www.sec.gov/Archives/edgar/data/../../../ix?doc=/Archives/edgar/data/1812364/000119312526034422/rlay-20260203.htm" TargetMode="External"/><Relationship Id="rId9" Type="http://schemas.openxmlformats.org/officeDocument/2006/relationships/hyperlink" Target="http://www.sec.gov/Archives/edgar/data/../../../ix?doc=/Archives/edgar/data/1812364/000119312526102178/rlay-20260306.htm" TargetMode="External"/><Relationship Id="rId10" Type="http://schemas.openxmlformats.org/officeDocument/2006/relationships/hyperlink" Target="http://www.sec.gov/Archives/edgar/data/../../../ix?doc=/Archives/edgar/data/1812364/000119312526107312/rlay-20260316.htm" TargetMode="External"/><Relationship Id="rId11" Type="http://schemas.openxmlformats.org/officeDocument/2006/relationships/hyperlink" Target="http://www.sec.gov/Archives/edgar/data/../../../ix?doc=/Archives/edgar/data/1812364/000119312526179404/rlay-20260427.htm" TargetMode="External"/><Relationship Id="rId12" Type="http://schemas.openxmlformats.org/officeDocument/2006/relationships/hyperlink" Target="http://www.sec.gov/Archives/edgar/data/../../../ix?doc=/Archives/edgar/data/1812364/000119312526229770/rlay-20260519.htm" TargetMode="External"/><Relationship Id="rId13" Type="http://schemas.openxmlformats.org/officeDocument/2006/relationships/hyperlink" Target="http://www.sec.gov/Archives/edgar/data/../../../ix?doc=/Archives/edgar/data/1812364/000119312526234862/d128795d8k.htm" TargetMode="External"/><Relationship Id="rId14" Type="http://schemas.openxmlformats.org/officeDocument/2006/relationships/hyperlink" Target="http://www.sec.gov/Archives/edgar/data/../../../ix?doc=/Archives/edgar/data/1812364/000119312526263873/rlay-20260609.htm" TargetMode="External"/><Relationship Id="rId15" Type="http://schemas.openxmlformats.org/officeDocument/2006/relationships/hyperlink" Target="http://www.sec.gov/Archives/edgar/data/../../../ix?doc=/Archives/edgar/data/0001812364/000119312526338013/rlay-20260806.htm" TargetMode="External"/><Relationship Id="rId16" Type="http://schemas.openxmlformats.org/officeDocument/2006/relationships/hyperlink" Target="http://www.sec.gov/Archives/edgar/data/1812364/000119312520191867/d948089d8a12b.htm" TargetMode="External"/><Relationship Id="rId17" Type="http://schemas.openxmlformats.org/officeDocument/2006/relationships/hyperlink" Target="http://www.sec.gov/Archives/edgar/data/1812364/000095017024018797/rlay-ex4_2.htm" TargetMode="External"/><Relationship Id="rId18" Type="http://schemas.openxmlformats.org/officeDocument/2006/relationships/image" Target="media/image1.jpeg"/><Relationship Id="rId19" Type="http://schemas.openxmlformats.org/officeDocument/2006/relationships/hyperlink" Target="http://www.sec.gov/Archives/edgar/data/../../../ix?doc=/Archives/edgar/data/1812364/000095017024018797/rlay-20231231.htm" TargetMode="External"/><Relationship Id="rId20" Type="http://schemas.openxmlformats.org/officeDocument/2006/relationships/hyperlink" Target="http://www.sec.gov/Archives/edgar/data/../../../ix?doc=/Archives/edgar/data/1812364/000095017024046883/rlay-20240422.htm" TargetMode="External"/><Relationship Id="rId21" Type="http://schemas.openxmlformats.org/officeDocument/2006/relationships/hyperlink" Target="http://www.sec.gov/Archives/edgar/data/../../../ix?doc=/Archives/edgar/data/1812364/000095017024052135/rlay-20240331.htm" TargetMode="External"/><Relationship Id="rId22" Type="http://schemas.openxmlformats.org/officeDocument/2006/relationships/hyperlink" Target="http://www.sec.gov/Archives/edgar/data/../../../ix?doc=/Archives/edgar/data/1812364/000095017024091837/rlay-20240630.htm" TargetMode="External"/><Relationship Id="rId23" Type="http://schemas.openxmlformats.org/officeDocument/2006/relationships/hyperlink" Target="http://www.sec.gov/Archives/edgar/data/../../../ix?doc=/Archives/edgar/data/1812364/000095017024002682/rlay-20240108.htm" TargetMode="External"/><Relationship Id="rId24" Type="http://schemas.openxmlformats.org/officeDocument/2006/relationships/hyperlink" Target="http://www.sec.gov/Archives/edgar/data/../../../ix?doc=/Archives/edgar/data/1812364/000095017024067952/rlay-20240603.htm" TargetMode="External"/><Relationship Id="rId25" Type="http://schemas.openxmlformats.org/officeDocument/2006/relationships/hyperlink" Target="http://www.sec.gov/Archives/edgar/data/../../../ix?doc=/Archives/edgar/data/1812364/000095017024069674/rlay-20240605.htm" TargetMode="External"/><Relationship Id="rId26" Type="http://schemas.openxmlformats.org/officeDocument/2006/relationships/hyperlink" Target="http://www.sec.gov/Archives/edgar/data/../../../ix?doc=/Archives/edgar/data/1812364/000095017024083928/rlay-20240711.htm" TargetMode="External"/><Relationship Id="rId27" Type="http://schemas.openxmlformats.org/officeDocument/2006/relationships/hyperlink" Target="http://www.sec.gov/Archives/edgar/data/1812364/000119312520191867/d948089d8a12b.htm" TargetMode="External"/><Relationship Id="rId28" Type="http://schemas.openxmlformats.org/officeDocument/2006/relationships/hyperlink" Target="http://www.sec.gov/Archives/edgar/data/1812364/000095017024018797/rlay-ex4_2.htm" TargetMode="External"/><Relationship Id="rId29" Type="http://schemas.openxmlformats.org/officeDocument/2006/relationships/image" Target="media/image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66</Pages>
  <Words>24139</Words>
  <Characters>127600</Characters>
  <CharactersWithSpaces>152341</CharactersWithSpaces>
  <Paragraphs>1734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