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LINDA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32,947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9, 2026 with respect to 32,947 shares of the Issuer's common stock and vests in full on the earlier to occur of (a) the first anniversary of the grant date or (b) the date of the next annual meeting of stockholders following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0483"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3323</Characters>
  <CharactersWithSpaces>3882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