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Rahmer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574"/>
        <w:gridCol w:w="372"/>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19.09</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225,857</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r>
              <w:rPr/>
              <w:t xml:space="preserve"> </w:t>
            </w:r>
          </w:p>
        </w:tc>
        <w:tc>
          <w:tcPr>
            <w:tcW w:w="3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3,056</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6.95</w:t>
            </w:r>
            <w:r>
              <w:rPr>
                <w:rFonts w:ascii="Times;serif" w:hAnsi="Times;serif"/>
                <w:color w:val="008000"/>
                <w:position w:val="7"/>
                <w:sz w:val="16"/>
                <w:sz w:val="20"/>
                <w:shd w:fill="FFFFFF" w:val="clear"/>
              </w:rPr>
              <w:t>(5)</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228,913</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$18.66 to $19.78.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9,153 shares underlying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were acquired under the Relay Therapeutics, Inc. 2020 Employee Stock Purchase Plan ("ESPP") in a transaction that was exempt under both Rule 16b-3(d) and Rule 16b-3(c). The reporting person is voluntarily reporting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 accordance with the ESPP, these shares were purchased at a price equal to 85% of the closing price of the Issuer's common stock on January 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Corporate Development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59229"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4043</Characters>
  <CharactersWithSpaces>4717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