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920" w:right="2080" w:hanging="3899"/>
        <w:spacing w:after="0" w:line="279" w:lineRule="auto"/>
        <w:tabs>
          <w:tab w:leader="none" w:pos="35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ind w:left="5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360"/>
        <w:spacing w:after="0"/>
        <w:tabs>
          <w:tab w:leader="none" w:pos="380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001-39385</w:t>
      </w:r>
    </w:p>
    <w:p>
      <w:pPr>
        <w:spacing w:after="0" w:line="5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RELAY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p>
      <w:pPr>
        <w:spacing w:after="0" w:line="6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0"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6"/>
          <w:szCs w:val="16"/>
          <w:b w:val="1"/>
          <w:bCs w:val="1"/>
          <w:color w:val="auto"/>
        </w:rPr>
        <w:t>399 Binney Street, 2nd Floor</w:t>
      </w:r>
    </w:p>
    <w:p>
      <w:pPr>
        <w:spacing w:after="0" w:line="15"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6"/>
          <w:szCs w:val="16"/>
          <w:b w:val="1"/>
          <w:bCs w:val="1"/>
          <w:color w:val="auto"/>
        </w:rPr>
        <w:t>Cambridge, MA</w:t>
      </w:r>
    </w:p>
    <w:p>
      <w:pPr>
        <w:spacing w:after="0" w:line="1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6"/>
          <w:szCs w:val="16"/>
          <w:b w:val="1"/>
          <w:bCs w:val="1"/>
          <w:color w:val="auto"/>
        </w:rPr>
        <w:t>47-3923475</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1"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6"/>
          <w:szCs w:val="16"/>
          <w:b w:val="1"/>
          <w:bCs w:val="1"/>
          <w:color w:val="auto"/>
        </w:rPr>
        <w:t>02142</w:t>
      </w:r>
    </w:p>
    <w:p>
      <w:pPr>
        <w:spacing w:after="0" w:line="2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10" w:lineRule="exact"/>
        <w:rPr>
          <w:sz w:val="24"/>
          <w:szCs w:val="24"/>
          <w:color w:val="auto"/>
        </w:rPr>
      </w:pPr>
    </w:p>
    <w:p>
      <w:pPr>
        <w:sectPr>
          <w:pgSz w:w="11900" w:h="16838" w:orient="portrait"/>
          <w:cols w:equalWidth="0" w:num="2">
            <w:col w:w="7440" w:space="540"/>
            <w:col w:w="3260"/>
          </w:cols>
          <w:pgMar w:left="320" w:top="97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370-8837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00" w:type="dxa"/>
            <w:vAlign w:val="bottom"/>
          </w:tcPr>
          <w:p>
            <w:pPr>
              <w:jc w:val="right"/>
              <w:ind w:right="1002"/>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16"/>
                <w:szCs w:val="16"/>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400" w:type="dxa"/>
            <w:vAlign w:val="bottom"/>
            <w:vMerge w:val="restart"/>
          </w:tcPr>
          <w:p>
            <w:pPr>
              <w:jc w:val="right"/>
              <w:ind w:right="158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400" w:type="dxa"/>
            <w:vAlign w:val="bottom"/>
          </w:tcPr>
          <w:p>
            <w:pPr>
              <w:jc w:val="right"/>
              <w:ind w:right="982"/>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RLAY</w:t>
            </w: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3" w:lineRule="exact"/>
        <w:rPr>
          <w:sz w:val="24"/>
          <w:szCs w:val="24"/>
          <w:color w:val="auto"/>
        </w:rPr>
      </w:pPr>
    </w:p>
    <w:p>
      <w:pPr>
        <w:ind w:right="354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2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6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3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6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5260" w:type="dxa"/>
            <w:vAlign w:val="bottom"/>
          </w:tcPr>
          <w:p>
            <w:pPr>
              <w:ind w:left="336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ind w:right="50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6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78"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000000"/>
        </w:rPr>
        <w:t>☐</w:t>
      </w:r>
    </w:p>
    <w:p>
      <w:pPr>
        <w:spacing w:after="0" w:line="1"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ind w:right="240"/>
        <w:spacing w:after="0" w:line="233"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based on the closing price of the Registrant’s common stock as reported on the Nasdaq Global Market on June 30, 2024, the last business day of the Registrant’s most recently completed second quarter, was approximately $859.3 million.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21, 2025 was 169,521,849.</w:t>
      </w:r>
    </w:p>
    <w:p>
      <w:pPr>
        <w:spacing w:after="0" w:line="9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right="240"/>
        <w:spacing w:after="0" w:line="243" w:lineRule="auto"/>
        <w:rPr>
          <w:sz w:val="20"/>
          <w:szCs w:val="20"/>
          <w:color w:val="auto"/>
        </w:rPr>
      </w:pPr>
      <w:r>
        <w:rPr>
          <w:rFonts w:ascii="Times New Roman" w:cs="Times New Roman" w:eastAsia="Times New Roman" w:hAnsi="Times New Roman"/>
          <w:sz w:val="14"/>
          <w:szCs w:val="14"/>
          <w:color w:val="auto"/>
        </w:rPr>
        <w:t>The Registrant intends to file a definitive proxy statement pursuant to Regulation 14A relating to the 2025 Annual Meeting of Stockholders within 120 days of the end of the registrant’s fiscal year ended December 31, 2024. Portions of such definitive proxy statement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2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5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0000FF"/>
                <w:w w:val="99"/>
              </w:rPr>
              <w:t>PART I</w:t>
            </w:r>
          </w:p>
        </w:tc>
        <w:tc>
          <w:tcPr>
            <w:tcW w:w="660" w:type="dxa"/>
            <w:vAlign w:val="bottom"/>
            <w:gridSpan w:val="5"/>
            <w:vMerge w:val="restart"/>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Page</w:t>
            </w:r>
          </w:p>
        </w:tc>
        <w:tc>
          <w:tcPr>
            <w:tcW w:w="0" w:type="dxa"/>
            <w:vAlign w:val="bottom"/>
          </w:tcPr>
          <w:p>
            <w:pPr>
              <w:spacing w:after="0"/>
              <w:rPr>
                <w:sz w:val="1"/>
                <w:szCs w:val="1"/>
                <w:color w:val="auto"/>
              </w:rPr>
            </w:pPr>
          </w:p>
        </w:tc>
      </w:tr>
      <w:tr>
        <w:trPr>
          <w:trHeight w:val="147"/>
        </w:trPr>
        <w:tc>
          <w:tcPr>
            <w:tcW w:w="520" w:type="dxa"/>
            <w:vAlign w:val="bottom"/>
            <w:tcBorders>
              <w:bottom w:val="single" w:sz="8" w:color="0000FF"/>
            </w:tcBorders>
            <w:vMerge w:val="continue"/>
          </w:tcPr>
          <w:p>
            <w:pPr>
              <w:spacing w:after="0"/>
              <w:rPr>
                <w:sz w:val="12"/>
                <w:szCs w:val="12"/>
                <w:color w:val="auto"/>
              </w:rPr>
            </w:pPr>
          </w:p>
        </w:tc>
        <w:tc>
          <w:tcPr>
            <w:tcW w:w="660" w:type="dxa"/>
            <w:vAlign w:val="bottom"/>
            <w:gridSpan w:val="5"/>
            <w:vMerge w:val="continue"/>
          </w:tcPr>
          <w:p>
            <w:pPr>
              <w:spacing w:after="0"/>
              <w:rPr>
                <w:sz w:val="12"/>
                <w:szCs w:val="12"/>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7"/>
              </w:rPr>
              <w:t>Business</w:t>
            </w:r>
          </w:p>
        </w:tc>
        <w:tc>
          <w:tcPr>
            <w:tcW w:w="8980" w:type="dxa"/>
            <w:vAlign w:val="bottom"/>
            <w:gridSpan w:val="26"/>
            <w:vMerge w:val="restart"/>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47"/>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1.</w:t>
            </w:r>
          </w:p>
        </w:tc>
        <w:tc>
          <w:tcPr>
            <w:tcW w:w="540" w:type="dxa"/>
            <w:vAlign w:val="bottom"/>
            <w:tcBorders>
              <w:bottom w:val="single" w:sz="8" w:color="0000FF"/>
            </w:tcBorders>
            <w:vMerge w:val="continue"/>
          </w:tcPr>
          <w:p>
            <w:pPr>
              <w:spacing w:after="0"/>
              <w:rPr>
                <w:sz w:val="12"/>
                <w:szCs w:val="12"/>
                <w:color w:val="auto"/>
              </w:rPr>
            </w:pPr>
          </w:p>
        </w:tc>
        <w:tc>
          <w:tcPr>
            <w:tcW w:w="8980" w:type="dxa"/>
            <w:vAlign w:val="bottom"/>
            <w:gridSpan w:val="26"/>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1A.</w:t>
            </w:r>
          </w:p>
        </w:tc>
        <w:tc>
          <w:tcPr>
            <w:tcW w:w="9520" w:type="dxa"/>
            <w:vAlign w:val="bottom"/>
            <w:gridSpan w:val="27"/>
          </w:tcPr>
          <w:p>
            <w:pPr>
              <w:spacing w:after="0" w:line="142" w:lineRule="exact"/>
              <w:rPr>
                <w:sz w:val="20"/>
                <w:szCs w:val="20"/>
                <w:color w:val="auto"/>
              </w:rPr>
            </w:pPr>
            <w:r>
              <w:rPr>
                <w:rFonts w:ascii="Times New Roman" w:cs="Times New Roman" w:eastAsia="Times New Roman" w:hAnsi="Times New Roman"/>
                <w:sz w:val="15"/>
                <w:szCs w:val="15"/>
                <w:color w:val="0000FF"/>
              </w:rPr>
              <w:t>Risk Factors</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1B.</w:t>
            </w:r>
          </w:p>
        </w:tc>
        <w:tc>
          <w:tcPr>
            <w:tcW w:w="760" w:type="dxa"/>
            <w:vAlign w:val="bottom"/>
            <w:tcBorders>
              <w:top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5"/>
                <w:szCs w:val="15"/>
                <w:color w:val="0000FF"/>
              </w:rPr>
              <w:t>Unresolved</w:t>
            </w:r>
          </w:p>
        </w:tc>
        <w:tc>
          <w:tcPr>
            <w:tcW w:w="8760" w:type="dxa"/>
            <w:vAlign w:val="bottom"/>
            <w:gridSpan w:val="22"/>
          </w:tcPr>
          <w:p>
            <w:pPr>
              <w:spacing w:after="0" w:line="142" w:lineRule="exact"/>
              <w:rPr>
                <w:sz w:val="20"/>
                <w:szCs w:val="20"/>
                <w:color w:val="auto"/>
              </w:rPr>
            </w:pPr>
            <w:r>
              <w:rPr>
                <w:rFonts w:ascii="Times New Roman" w:cs="Times New Roman" w:eastAsia="Times New Roman" w:hAnsi="Times New Roman"/>
                <w:sz w:val="15"/>
                <w:szCs w:val="15"/>
                <w:color w:val="0000FF"/>
              </w:rPr>
              <w:t>Staff Comments</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1C.</w:t>
            </w:r>
          </w:p>
        </w:tc>
        <w:tc>
          <w:tcPr>
            <w:tcW w:w="1740" w:type="dxa"/>
            <w:vAlign w:val="bottom"/>
            <w:tcBorders>
              <w:top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5"/>
                <w:szCs w:val="15"/>
                <w:color w:val="0000FF"/>
              </w:rPr>
              <w:t>Cybersecurity</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2.</w:t>
            </w:r>
          </w:p>
        </w:tc>
        <w:tc>
          <w:tcPr>
            <w:tcW w:w="62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5"/>
                <w:szCs w:val="15"/>
                <w:color w:val="0000FF"/>
                <w:w w:val="98"/>
              </w:rPr>
              <w:t>Properties</w:t>
            </w:r>
          </w:p>
        </w:tc>
        <w:tc>
          <w:tcPr>
            <w:tcW w:w="20" w:type="dxa"/>
            <w:vAlign w:val="bottom"/>
            <w:tcBorders>
              <w:top w:val="single" w:sz="8" w:color="0000FF"/>
              <w:bottom w:val="single" w:sz="8" w:color="0000EE"/>
            </w:tcBorders>
          </w:tcPr>
          <w:p>
            <w:pPr>
              <w:spacing w:after="0"/>
              <w:rPr>
                <w:sz w:val="12"/>
                <w:szCs w:val="12"/>
                <w:color w:val="auto"/>
              </w:rPr>
            </w:pPr>
          </w:p>
        </w:tc>
        <w:tc>
          <w:tcPr>
            <w:tcW w:w="220" w:type="dxa"/>
            <w:vAlign w:val="bottom"/>
            <w:tcBorders>
              <w:top w:val="single" w:sz="8" w:color="0000FF"/>
            </w:tcBorders>
            <w:gridSpan w:val="3"/>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3.</w:t>
            </w:r>
          </w:p>
        </w:tc>
        <w:tc>
          <w:tcPr>
            <w:tcW w:w="1140" w:type="dxa"/>
            <w:vAlign w:val="bottom"/>
            <w:tcBorders>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5"/>
                <w:szCs w:val="15"/>
                <w:color w:val="0000FF"/>
              </w:rPr>
              <w:t>Legal Proceedings</w:t>
            </w:r>
          </w:p>
        </w:tc>
        <w:tc>
          <w:tcPr>
            <w:tcW w:w="20" w:type="dxa"/>
            <w:vAlign w:val="bottom"/>
            <w:tcBorders>
              <w:bottom w:val="single" w:sz="8" w:color="0000EE"/>
            </w:tcBorders>
          </w:tcPr>
          <w:p>
            <w:pPr>
              <w:spacing w:after="0"/>
              <w:rPr>
                <w:sz w:val="12"/>
                <w:szCs w:val="12"/>
                <w:color w:val="auto"/>
              </w:rPr>
            </w:pPr>
          </w:p>
        </w:tc>
        <w:tc>
          <w:tcPr>
            <w:tcW w:w="8360" w:type="dxa"/>
            <w:vAlign w:val="bottom"/>
            <w:gridSpan w:val="18"/>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4.</w:t>
            </w:r>
          </w:p>
        </w:tc>
        <w:tc>
          <w:tcPr>
            <w:tcW w:w="1500" w:type="dxa"/>
            <w:vAlign w:val="bottom"/>
            <w:tcBorders>
              <w:bottom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5"/>
                <w:szCs w:val="15"/>
                <w:color w:val="0000FF"/>
              </w:rPr>
              <w:t>Mine Safety Disclosures</w:t>
            </w:r>
          </w:p>
        </w:tc>
        <w:tc>
          <w:tcPr>
            <w:tcW w:w="8020" w:type="dxa"/>
            <w:vAlign w:val="bottom"/>
            <w:gridSpan w:val="15"/>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76</w:t>
            </w:r>
          </w:p>
        </w:tc>
        <w:tc>
          <w:tcPr>
            <w:tcW w:w="0" w:type="dxa"/>
            <w:vAlign w:val="bottom"/>
          </w:tcPr>
          <w:p>
            <w:pPr>
              <w:spacing w:after="0"/>
              <w:rPr>
                <w:sz w:val="1"/>
                <w:szCs w:val="1"/>
                <w:color w:val="auto"/>
              </w:rPr>
            </w:pPr>
          </w:p>
        </w:tc>
      </w:tr>
      <w:tr>
        <w:trPr>
          <w:trHeight w:val="304"/>
        </w:trPr>
        <w:tc>
          <w:tcPr>
            <w:tcW w:w="118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0000FF"/>
              </w:rPr>
              <w:t>PART II</w:t>
            </w:r>
          </w:p>
        </w:tc>
        <w:tc>
          <w:tcPr>
            <w:tcW w:w="9520" w:type="dxa"/>
            <w:vAlign w:val="bottom"/>
            <w:gridSpan w:val="27"/>
            <w:vMerge w:val="restart"/>
          </w:tcPr>
          <w:p>
            <w:pPr>
              <w:spacing w:after="0"/>
              <w:rPr>
                <w:sz w:val="20"/>
                <w:szCs w:val="20"/>
                <w:color w:val="auto"/>
              </w:rPr>
            </w:pPr>
            <w:r>
              <w:rPr>
                <w:rFonts w:ascii="Times New Roman" w:cs="Times New Roman" w:eastAsia="Times New Roman" w:hAnsi="Times New Roman"/>
                <w:sz w:val="15"/>
                <w:szCs w:val="15"/>
                <w:color w:val="0000FF"/>
              </w:rPr>
              <w:t>Market for Registrant’s Common Equity, Related Stockholder Matters and Issuer Purchases of Equity Securities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0" w:type="dxa"/>
            <w:vAlign w:val="bottom"/>
          </w:tcPr>
          <w:p>
            <w:pPr>
              <w:spacing w:after="0"/>
              <w:rPr>
                <w:sz w:val="1"/>
                <w:szCs w:val="1"/>
                <w:color w:val="auto"/>
              </w:rPr>
            </w:pPr>
          </w:p>
        </w:tc>
      </w:tr>
      <w:tr>
        <w:trPr>
          <w:trHeight w:val="142"/>
        </w:trPr>
        <w:tc>
          <w:tcPr>
            <w:tcW w:w="580" w:type="dxa"/>
            <w:vAlign w:val="bottom"/>
            <w:tcBorders>
              <w:top w:val="single" w:sz="8" w:color="0000FF"/>
            </w:tcBorders>
            <w:gridSpan w:val="2"/>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520" w:type="dxa"/>
            <w:vAlign w:val="bottom"/>
            <w:gridSpan w:val="27"/>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6.</w:t>
            </w:r>
          </w:p>
        </w:tc>
        <w:tc>
          <w:tcPr>
            <w:tcW w:w="6880" w:type="dxa"/>
            <w:vAlign w:val="bottom"/>
            <w:tcBorders>
              <w:top w:val="single" w:sz="8" w:color="0000FF"/>
            </w:tcBorders>
            <w:gridSpan w:val="26"/>
          </w:tcPr>
          <w:p>
            <w:pPr>
              <w:spacing w:after="0" w:line="142" w:lineRule="exact"/>
              <w:rPr>
                <w:sz w:val="20"/>
                <w:szCs w:val="20"/>
                <w:color w:val="auto"/>
              </w:rPr>
            </w:pPr>
            <w:r>
              <w:rPr>
                <w:rFonts w:ascii="Times New Roman" w:cs="Times New Roman" w:eastAsia="Times New Roman" w:hAnsi="Times New Roman"/>
                <w:sz w:val="15"/>
                <w:szCs w:val="15"/>
                <w:color w:val="0000FF"/>
              </w:rPr>
              <w:t>[Reserved]</w:t>
            </w:r>
          </w:p>
        </w:tc>
        <w:tc>
          <w:tcPr>
            <w:tcW w:w="26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20"/>
        </w:trPr>
        <w:tc>
          <w:tcPr>
            <w:tcW w:w="1180" w:type="dxa"/>
            <w:vAlign w:val="bottom"/>
            <w:gridSpan w:val="6"/>
            <w:vMerge w:val="restart"/>
          </w:tcPr>
          <w:p>
            <w:pPr>
              <w:ind w:left="120"/>
              <w:spacing w:after="0" w:line="162" w:lineRule="exact"/>
              <w:rPr>
                <w:sz w:val="20"/>
                <w:szCs w:val="20"/>
                <w:color w:val="auto"/>
              </w:rPr>
            </w:pPr>
            <w:r>
              <w:rPr>
                <w:rFonts w:ascii="Times New Roman" w:cs="Times New Roman" w:eastAsia="Times New Roman" w:hAnsi="Times New Roman"/>
                <w:sz w:val="15"/>
                <w:szCs w:val="15"/>
                <w:color w:val="auto"/>
              </w:rPr>
              <w:t>Item 7.</w:t>
            </w:r>
          </w:p>
        </w:tc>
        <w:tc>
          <w:tcPr>
            <w:tcW w:w="680" w:type="dxa"/>
            <w:vAlign w:val="bottom"/>
            <w:tcBorders>
              <w:right w:val="single" w:sz="8" w:color="0000EE"/>
            </w:tcBorders>
            <w:gridSpan w:val="4"/>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52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5"/>
                <w:szCs w:val="15"/>
                <w:color w:val="auto"/>
              </w:rPr>
              <w:t>79</w:t>
            </w:r>
          </w:p>
        </w:tc>
        <w:tc>
          <w:tcPr>
            <w:tcW w:w="0" w:type="dxa"/>
            <w:vAlign w:val="bottom"/>
          </w:tcPr>
          <w:p>
            <w:pPr>
              <w:spacing w:after="0" w:line="20" w:lineRule="exact"/>
              <w:rPr>
                <w:sz w:val="1"/>
                <w:szCs w:val="1"/>
                <w:color w:val="auto"/>
              </w:rPr>
            </w:pPr>
          </w:p>
        </w:tc>
      </w:tr>
      <w:tr>
        <w:trPr>
          <w:trHeight w:val="142"/>
        </w:trPr>
        <w:tc>
          <w:tcPr>
            <w:tcW w:w="1180" w:type="dxa"/>
            <w:vAlign w:val="bottom"/>
            <w:gridSpan w:val="6"/>
            <w:vMerge w:val="continue"/>
          </w:tcPr>
          <w:p>
            <w:pPr>
              <w:spacing w:after="0"/>
              <w:rPr>
                <w:sz w:val="12"/>
                <w:szCs w:val="12"/>
                <w:color w:val="auto"/>
              </w:rPr>
            </w:pPr>
          </w:p>
        </w:tc>
        <w:tc>
          <w:tcPr>
            <w:tcW w:w="9520" w:type="dxa"/>
            <w:vAlign w:val="bottom"/>
            <w:gridSpan w:val="27"/>
          </w:tcPr>
          <w:p>
            <w:pPr>
              <w:spacing w:after="0" w:line="142" w:lineRule="exact"/>
              <w:rPr>
                <w:sz w:val="20"/>
                <w:szCs w:val="20"/>
                <w:color w:val="auto"/>
              </w:rPr>
            </w:pPr>
            <w:r>
              <w:rPr>
                <w:rFonts w:ascii="Times New Roman" w:cs="Times New Roman" w:eastAsia="Times New Roman" w:hAnsi="Times New Roman"/>
                <w:sz w:val="15"/>
                <w:szCs w:val="15"/>
                <w:color w:val="0000FF"/>
              </w:rPr>
              <w:t>Management’s Discussion and Analysis of Financial Condition and Results of Operations</w:t>
            </w: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7A.</w:t>
            </w:r>
          </w:p>
        </w:tc>
        <w:tc>
          <w:tcPr>
            <w:tcW w:w="5500" w:type="dxa"/>
            <w:vAlign w:val="bottom"/>
            <w:tcBorders>
              <w:top w:val="single" w:sz="8" w:color="0000FF"/>
            </w:tcBorders>
            <w:gridSpan w:val="23"/>
          </w:tcPr>
          <w:p>
            <w:pPr>
              <w:spacing w:after="0" w:line="142" w:lineRule="exact"/>
              <w:rPr>
                <w:sz w:val="20"/>
                <w:szCs w:val="20"/>
                <w:color w:val="auto"/>
              </w:rPr>
            </w:pPr>
            <w:r>
              <w:rPr>
                <w:rFonts w:ascii="Times New Roman" w:cs="Times New Roman" w:eastAsia="Times New Roman" w:hAnsi="Times New Roman"/>
                <w:sz w:val="15"/>
                <w:szCs w:val="15"/>
                <w:color w:val="0000FF"/>
              </w:rPr>
              <w:t>Quantitative and Qualitative Disclosures About Market Risk</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20" w:type="dxa"/>
            <w:vAlign w:val="bottom"/>
            <w:gridSpan w:val="2"/>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8.</w:t>
            </w:r>
          </w:p>
        </w:tc>
        <w:tc>
          <w:tcPr>
            <w:tcW w:w="3700" w:type="dxa"/>
            <w:vAlign w:val="bottom"/>
            <w:tcBorders>
              <w:top w:val="single" w:sz="8" w:color="0000FF"/>
            </w:tcBorders>
            <w:gridSpan w:val="20"/>
          </w:tcPr>
          <w:p>
            <w:pPr>
              <w:spacing w:after="0" w:line="142" w:lineRule="exact"/>
              <w:rPr>
                <w:sz w:val="20"/>
                <w:szCs w:val="20"/>
                <w:color w:val="auto"/>
              </w:rPr>
            </w:pPr>
            <w:r>
              <w:rPr>
                <w:rFonts w:ascii="Times New Roman" w:cs="Times New Roman" w:eastAsia="Times New Roman" w:hAnsi="Times New Roman"/>
                <w:sz w:val="15"/>
                <w:szCs w:val="15"/>
                <w:color w:val="0000FF"/>
              </w:rPr>
              <w:t>Financial Statements and Supplementary Data</w:t>
            </w: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3320" w:type="dxa"/>
            <w:vAlign w:val="bottom"/>
            <w:gridSpan w:val="2"/>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20"/>
        </w:trPr>
        <w:tc>
          <w:tcPr>
            <w:tcW w:w="1180" w:type="dxa"/>
            <w:vAlign w:val="bottom"/>
            <w:gridSpan w:val="6"/>
            <w:vMerge w:val="restart"/>
          </w:tcPr>
          <w:p>
            <w:pPr>
              <w:ind w:left="120"/>
              <w:spacing w:after="0" w:line="162" w:lineRule="exact"/>
              <w:rPr>
                <w:sz w:val="20"/>
                <w:szCs w:val="20"/>
                <w:color w:val="auto"/>
              </w:rPr>
            </w:pPr>
            <w:r>
              <w:rPr>
                <w:rFonts w:ascii="Times New Roman" w:cs="Times New Roman" w:eastAsia="Times New Roman" w:hAnsi="Times New Roman"/>
                <w:sz w:val="15"/>
                <w:szCs w:val="15"/>
                <w:color w:val="auto"/>
              </w:rPr>
              <w:t>Item 9.</w:t>
            </w:r>
          </w:p>
        </w:tc>
        <w:tc>
          <w:tcPr>
            <w:tcW w:w="11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52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line="20" w:lineRule="exact"/>
              <w:rPr>
                <w:sz w:val="1"/>
                <w:szCs w:val="1"/>
                <w:color w:val="auto"/>
              </w:rPr>
            </w:pPr>
          </w:p>
        </w:tc>
      </w:tr>
      <w:tr>
        <w:trPr>
          <w:trHeight w:val="142"/>
        </w:trPr>
        <w:tc>
          <w:tcPr>
            <w:tcW w:w="1180" w:type="dxa"/>
            <w:vAlign w:val="bottom"/>
            <w:gridSpan w:val="6"/>
            <w:vMerge w:val="continue"/>
          </w:tcPr>
          <w:p>
            <w:pPr>
              <w:spacing w:after="0"/>
              <w:rPr>
                <w:sz w:val="12"/>
                <w:szCs w:val="12"/>
                <w:color w:val="auto"/>
              </w:rPr>
            </w:pPr>
          </w:p>
        </w:tc>
        <w:tc>
          <w:tcPr>
            <w:tcW w:w="9520" w:type="dxa"/>
            <w:vAlign w:val="bottom"/>
            <w:gridSpan w:val="27"/>
          </w:tcPr>
          <w:p>
            <w:pPr>
              <w:spacing w:after="0" w:line="142" w:lineRule="exact"/>
              <w:rPr>
                <w:sz w:val="20"/>
                <w:szCs w:val="20"/>
                <w:color w:val="auto"/>
              </w:rPr>
            </w:pPr>
            <w:r>
              <w:rPr>
                <w:rFonts w:ascii="Times New Roman" w:cs="Times New Roman" w:eastAsia="Times New Roman" w:hAnsi="Times New Roman"/>
                <w:sz w:val="15"/>
                <w:szCs w:val="15"/>
                <w:color w:val="0000FF"/>
              </w:rPr>
              <w:t>Changes in and Disagreements With Accountants on Accounting and Financial Disclosure</w:t>
            </w: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9A.</w:t>
            </w:r>
          </w:p>
        </w:tc>
        <w:tc>
          <w:tcPr>
            <w:tcW w:w="5540" w:type="dxa"/>
            <w:vAlign w:val="bottom"/>
            <w:tcBorders>
              <w:top w:val="single" w:sz="8" w:color="0000FF"/>
            </w:tcBorders>
            <w:gridSpan w:val="24"/>
          </w:tcPr>
          <w:p>
            <w:pPr>
              <w:spacing w:after="0" w:line="142" w:lineRule="exact"/>
              <w:rPr>
                <w:sz w:val="20"/>
                <w:szCs w:val="20"/>
                <w:color w:val="auto"/>
              </w:rPr>
            </w:pPr>
            <w:r>
              <w:rPr>
                <w:rFonts w:ascii="Times New Roman" w:cs="Times New Roman" w:eastAsia="Times New Roman" w:hAnsi="Times New Roman"/>
                <w:sz w:val="15"/>
                <w:szCs w:val="15"/>
                <w:color w:val="0000FF"/>
              </w:rPr>
              <w:t>Controls and Procedures</w:t>
            </w:r>
          </w:p>
        </w:tc>
        <w:tc>
          <w:tcPr>
            <w:tcW w:w="660" w:type="dxa"/>
            <w:vAlign w:val="bottom"/>
          </w:tcPr>
          <w:p>
            <w:pPr>
              <w:spacing w:after="0"/>
              <w:rPr>
                <w:sz w:val="12"/>
                <w:szCs w:val="12"/>
                <w:color w:val="auto"/>
              </w:rPr>
            </w:pPr>
          </w:p>
        </w:tc>
        <w:tc>
          <w:tcPr>
            <w:tcW w:w="3320" w:type="dxa"/>
            <w:vAlign w:val="bottom"/>
            <w:gridSpan w:val="2"/>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9B.</w:t>
            </w:r>
          </w:p>
        </w:tc>
        <w:tc>
          <w:tcPr>
            <w:tcW w:w="1120" w:type="dxa"/>
            <w:vAlign w:val="bottom"/>
            <w:tcBorders>
              <w:top w:val="single" w:sz="8" w:color="0000FF"/>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5"/>
                <w:szCs w:val="15"/>
                <w:color w:val="0000FF"/>
              </w:rPr>
              <w:t>Other Information</w:t>
            </w:r>
          </w:p>
        </w:tc>
        <w:tc>
          <w:tcPr>
            <w:tcW w:w="20" w:type="dxa"/>
            <w:vAlign w:val="bottom"/>
            <w:tcBorders>
              <w:top w:val="single" w:sz="8" w:color="0000FF"/>
              <w:bottom w:val="single" w:sz="8" w:color="0000EE"/>
            </w:tcBorders>
          </w:tcPr>
          <w:p>
            <w:pPr>
              <w:spacing w:after="0"/>
              <w:rPr>
                <w:sz w:val="12"/>
                <w:szCs w:val="12"/>
                <w:color w:val="auto"/>
              </w:rPr>
            </w:pPr>
          </w:p>
        </w:tc>
        <w:tc>
          <w:tcPr>
            <w:tcW w:w="36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68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gridSpan w:val="3"/>
          </w:tcPr>
          <w:p>
            <w:pPr>
              <w:spacing w:after="0"/>
              <w:rPr>
                <w:sz w:val="12"/>
                <w:szCs w:val="12"/>
                <w:color w:val="auto"/>
              </w:rPr>
            </w:pPr>
          </w:p>
        </w:tc>
        <w:tc>
          <w:tcPr>
            <w:tcW w:w="3320" w:type="dxa"/>
            <w:vAlign w:val="bottom"/>
            <w:gridSpan w:val="2"/>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94</w:t>
            </w: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9C.</w:t>
            </w:r>
          </w:p>
        </w:tc>
        <w:tc>
          <w:tcPr>
            <w:tcW w:w="4160" w:type="dxa"/>
            <w:vAlign w:val="bottom"/>
            <w:tcBorders>
              <w:bottom w:val="single" w:sz="8" w:color="0000FF"/>
            </w:tcBorders>
            <w:gridSpan w:val="21"/>
          </w:tcPr>
          <w:p>
            <w:pPr>
              <w:spacing w:after="0" w:line="142" w:lineRule="exact"/>
              <w:rPr>
                <w:sz w:val="20"/>
                <w:szCs w:val="20"/>
                <w:color w:val="auto"/>
              </w:rPr>
            </w:pPr>
            <w:r>
              <w:rPr>
                <w:rFonts w:ascii="Times New Roman" w:cs="Times New Roman" w:eastAsia="Times New Roman" w:hAnsi="Times New Roman"/>
                <w:sz w:val="15"/>
                <w:szCs w:val="15"/>
                <w:color w:val="0000FF"/>
              </w:rPr>
              <w:t>Disclosure Regarding Foreign Jurisdictions that Prevent Inspections</w:t>
            </w:r>
          </w:p>
        </w:tc>
        <w:tc>
          <w:tcPr>
            <w:tcW w:w="5360" w:type="dxa"/>
            <w:vAlign w:val="bottom"/>
            <w:gridSpan w:val="6"/>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94</w:t>
            </w:r>
          </w:p>
        </w:tc>
        <w:tc>
          <w:tcPr>
            <w:tcW w:w="0" w:type="dxa"/>
            <w:vAlign w:val="bottom"/>
          </w:tcPr>
          <w:p>
            <w:pPr>
              <w:spacing w:after="0"/>
              <w:rPr>
                <w:sz w:val="1"/>
                <w:szCs w:val="1"/>
                <w:color w:val="auto"/>
              </w:rPr>
            </w:pPr>
          </w:p>
        </w:tc>
      </w:tr>
      <w:tr>
        <w:trPr>
          <w:trHeight w:val="304"/>
        </w:trPr>
        <w:tc>
          <w:tcPr>
            <w:tcW w:w="118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0000FF"/>
              </w:rPr>
              <w:t>PART III</w:t>
            </w:r>
          </w:p>
        </w:tc>
        <w:tc>
          <w:tcPr>
            <w:tcW w:w="9520" w:type="dxa"/>
            <w:vAlign w:val="bottom"/>
            <w:gridSpan w:val="27"/>
            <w:vMerge w:val="restart"/>
          </w:tcPr>
          <w:p>
            <w:pPr>
              <w:spacing w:after="0"/>
              <w:rPr>
                <w:sz w:val="20"/>
                <w:szCs w:val="20"/>
                <w:color w:val="auto"/>
              </w:rPr>
            </w:pPr>
            <w:r>
              <w:rPr>
                <w:rFonts w:ascii="Times New Roman" w:cs="Times New Roman" w:eastAsia="Times New Roman" w:hAnsi="Times New Roman"/>
                <w:sz w:val="15"/>
                <w:szCs w:val="15"/>
                <w:color w:val="0000FF"/>
              </w:rPr>
              <w:t>Directors, Executive Officers and Corporate Governance</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42"/>
        </w:trPr>
        <w:tc>
          <w:tcPr>
            <w:tcW w:w="660" w:type="dxa"/>
            <w:vAlign w:val="bottom"/>
            <w:tcBorders>
              <w:top w:val="single" w:sz="8" w:color="0000FF"/>
            </w:tcBorders>
            <w:gridSpan w:val="5"/>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10.</w:t>
            </w:r>
          </w:p>
        </w:tc>
        <w:tc>
          <w:tcPr>
            <w:tcW w:w="520" w:type="dxa"/>
            <w:vAlign w:val="bottom"/>
          </w:tcPr>
          <w:p>
            <w:pPr>
              <w:spacing w:after="0"/>
              <w:rPr>
                <w:sz w:val="12"/>
                <w:szCs w:val="12"/>
                <w:color w:val="auto"/>
              </w:rPr>
            </w:pPr>
          </w:p>
        </w:tc>
        <w:tc>
          <w:tcPr>
            <w:tcW w:w="9520" w:type="dxa"/>
            <w:vAlign w:val="bottom"/>
            <w:gridSpan w:val="27"/>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11.</w:t>
            </w:r>
          </w:p>
        </w:tc>
        <w:tc>
          <w:tcPr>
            <w:tcW w:w="348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5"/>
                <w:szCs w:val="15"/>
                <w:color w:val="0000FF"/>
              </w:rPr>
              <w:t>Executive Compensation</w:t>
            </w:r>
          </w:p>
        </w:tc>
        <w:tc>
          <w:tcPr>
            <w:tcW w:w="1160" w:type="dxa"/>
            <w:vAlign w:val="bottom"/>
            <w:gridSpan w:val="3"/>
          </w:tcPr>
          <w:p>
            <w:pPr>
              <w:spacing w:after="0"/>
              <w:rPr>
                <w:sz w:val="12"/>
                <w:szCs w:val="12"/>
                <w:color w:val="auto"/>
              </w:rPr>
            </w:pPr>
          </w:p>
        </w:tc>
        <w:tc>
          <w:tcPr>
            <w:tcW w:w="1560" w:type="dxa"/>
            <w:vAlign w:val="bottom"/>
            <w:gridSpan w:val="3"/>
          </w:tcPr>
          <w:p>
            <w:pPr>
              <w:spacing w:after="0"/>
              <w:rPr>
                <w:sz w:val="12"/>
                <w:szCs w:val="12"/>
                <w:color w:val="auto"/>
              </w:rPr>
            </w:pPr>
          </w:p>
        </w:tc>
        <w:tc>
          <w:tcPr>
            <w:tcW w:w="3320" w:type="dxa"/>
            <w:vAlign w:val="bottom"/>
            <w:gridSpan w:val="2"/>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12.</w:t>
            </w:r>
          </w:p>
        </w:tc>
        <w:tc>
          <w:tcPr>
            <w:tcW w:w="1520" w:type="dxa"/>
            <w:vAlign w:val="bottom"/>
            <w:tcBorders>
              <w:top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5"/>
                <w:szCs w:val="15"/>
                <w:color w:val="0000FF"/>
              </w:rPr>
              <w:t>Security Ownership of</w:t>
            </w:r>
          </w:p>
        </w:tc>
        <w:tc>
          <w:tcPr>
            <w:tcW w:w="20" w:type="dxa"/>
            <w:vAlign w:val="bottom"/>
            <w:tcBorders>
              <w:top w:val="single" w:sz="8" w:color="0000EE"/>
            </w:tcBorders>
          </w:tcPr>
          <w:p>
            <w:pPr>
              <w:spacing w:after="0"/>
              <w:rPr>
                <w:sz w:val="12"/>
                <w:szCs w:val="12"/>
                <w:color w:val="auto"/>
              </w:rPr>
            </w:pPr>
          </w:p>
        </w:tc>
        <w:tc>
          <w:tcPr>
            <w:tcW w:w="7980" w:type="dxa"/>
            <w:vAlign w:val="bottom"/>
            <w:gridSpan w:val="13"/>
          </w:tcPr>
          <w:p>
            <w:pPr>
              <w:spacing w:after="0" w:line="142" w:lineRule="exact"/>
              <w:rPr>
                <w:sz w:val="20"/>
                <w:szCs w:val="20"/>
                <w:color w:val="auto"/>
              </w:rPr>
            </w:pPr>
            <w:r>
              <w:rPr>
                <w:rFonts w:ascii="Times New Roman" w:cs="Times New Roman" w:eastAsia="Times New Roman" w:hAnsi="Times New Roman"/>
                <w:sz w:val="15"/>
                <w:szCs w:val="15"/>
                <w:color w:val="0000FF"/>
              </w:rPr>
              <w:t>Certain Beneficial Owners and Management and Related Stockholder Matters</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13.</w:t>
            </w:r>
          </w:p>
        </w:tc>
        <w:tc>
          <w:tcPr>
            <w:tcW w:w="6200" w:type="dxa"/>
            <w:vAlign w:val="bottom"/>
            <w:tcBorders>
              <w:top w:val="single" w:sz="8" w:color="0000FF"/>
            </w:tcBorders>
            <w:gridSpan w:val="25"/>
          </w:tcPr>
          <w:p>
            <w:pPr>
              <w:spacing w:after="0" w:line="142" w:lineRule="exact"/>
              <w:rPr>
                <w:sz w:val="20"/>
                <w:szCs w:val="20"/>
                <w:color w:val="auto"/>
              </w:rPr>
            </w:pPr>
            <w:r>
              <w:rPr>
                <w:rFonts w:ascii="Times New Roman" w:cs="Times New Roman" w:eastAsia="Times New Roman" w:hAnsi="Times New Roman"/>
                <w:sz w:val="15"/>
                <w:szCs w:val="15"/>
                <w:color w:val="0000FF"/>
              </w:rPr>
              <w:t>Certain Relationships and Related Transactions, and Director Independence</w:t>
            </w:r>
          </w:p>
        </w:tc>
        <w:tc>
          <w:tcPr>
            <w:tcW w:w="3320" w:type="dxa"/>
            <w:vAlign w:val="bottom"/>
            <w:gridSpan w:val="2"/>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14.</w:t>
            </w:r>
          </w:p>
        </w:tc>
        <w:tc>
          <w:tcPr>
            <w:tcW w:w="2440" w:type="dxa"/>
            <w:vAlign w:val="bottom"/>
            <w:tcBorders>
              <w:top w:val="single" w:sz="8" w:color="0000FF"/>
              <w:bottom w:val="single" w:sz="8" w:color="0000FF"/>
            </w:tcBorders>
            <w:gridSpan w:val="16"/>
          </w:tcPr>
          <w:p>
            <w:pPr>
              <w:spacing w:after="0" w:line="142" w:lineRule="exact"/>
              <w:rPr>
                <w:sz w:val="20"/>
                <w:szCs w:val="20"/>
                <w:color w:val="auto"/>
              </w:rPr>
            </w:pPr>
            <w:r>
              <w:rPr>
                <w:rFonts w:ascii="Times New Roman" w:cs="Times New Roman" w:eastAsia="Times New Roman" w:hAnsi="Times New Roman"/>
                <w:sz w:val="15"/>
                <w:szCs w:val="15"/>
                <w:color w:val="0000FF"/>
              </w:rPr>
              <w:t>Principal Accounting Fees and Services</w:t>
            </w:r>
          </w:p>
        </w:tc>
        <w:tc>
          <w:tcPr>
            <w:tcW w:w="2200" w:type="dxa"/>
            <w:vAlign w:val="bottom"/>
            <w:tcBorders>
              <w:top w:val="single" w:sz="8" w:color="0000FF"/>
            </w:tcBorders>
            <w:gridSpan w:val="6"/>
          </w:tcPr>
          <w:p>
            <w:pPr>
              <w:spacing w:after="0"/>
              <w:rPr>
                <w:sz w:val="12"/>
                <w:szCs w:val="12"/>
                <w:color w:val="auto"/>
              </w:rPr>
            </w:pPr>
          </w:p>
        </w:tc>
        <w:tc>
          <w:tcPr>
            <w:tcW w:w="4880" w:type="dxa"/>
            <w:vAlign w:val="bottom"/>
            <w:gridSpan w:val="5"/>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304"/>
        </w:trPr>
        <w:tc>
          <w:tcPr>
            <w:tcW w:w="118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color w:val="0000FF"/>
              </w:rPr>
              <w:t>PART IV</w:t>
            </w:r>
          </w:p>
        </w:tc>
        <w:tc>
          <w:tcPr>
            <w:tcW w:w="9520" w:type="dxa"/>
            <w:vAlign w:val="bottom"/>
            <w:gridSpan w:val="27"/>
            <w:vMerge w:val="restart"/>
          </w:tcPr>
          <w:p>
            <w:pPr>
              <w:spacing w:after="0"/>
              <w:rPr>
                <w:sz w:val="20"/>
                <w:szCs w:val="20"/>
                <w:color w:val="auto"/>
              </w:rPr>
            </w:pPr>
            <w:r>
              <w:rPr>
                <w:rFonts w:ascii="Times New Roman" w:cs="Times New Roman" w:eastAsia="Times New Roman" w:hAnsi="Times New Roman"/>
                <w:sz w:val="15"/>
                <w:szCs w:val="15"/>
                <w:color w:val="0000FF"/>
              </w:rPr>
              <w:t>Exhibits and Financial Statement Schedules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0" w:type="dxa"/>
            <w:vAlign w:val="bottom"/>
          </w:tcPr>
          <w:p>
            <w:pPr>
              <w:spacing w:after="0"/>
              <w:rPr>
                <w:sz w:val="1"/>
                <w:szCs w:val="1"/>
                <w:color w:val="auto"/>
              </w:rPr>
            </w:pPr>
          </w:p>
        </w:tc>
      </w:tr>
      <w:tr>
        <w:trPr>
          <w:trHeight w:val="142"/>
        </w:trPr>
        <w:tc>
          <w:tcPr>
            <w:tcW w:w="620" w:type="dxa"/>
            <w:vAlign w:val="bottom"/>
            <w:tcBorders>
              <w:top w:val="single" w:sz="8" w:color="0000FF"/>
            </w:tcBorders>
            <w:gridSpan w:val="3"/>
          </w:tcPr>
          <w:p>
            <w:pPr>
              <w:ind w:left="120"/>
              <w:spacing w:after="0" w:line="142" w:lineRule="exact"/>
              <w:rPr>
                <w:sz w:val="20"/>
                <w:szCs w:val="20"/>
                <w:color w:val="auto"/>
              </w:rPr>
            </w:pPr>
            <w:r>
              <w:rPr>
                <w:rFonts w:ascii="Times New Roman" w:cs="Times New Roman" w:eastAsia="Times New Roman" w:hAnsi="Times New Roman"/>
                <w:sz w:val="15"/>
                <w:szCs w:val="15"/>
                <w:color w:val="auto"/>
                <w:w w:val="95"/>
              </w:rPr>
              <w:t>Item 15.</w:t>
            </w:r>
          </w:p>
        </w:tc>
        <w:tc>
          <w:tcPr>
            <w:tcW w:w="20" w:type="dxa"/>
            <w:vAlign w:val="bottom"/>
            <w:tcBorders>
              <w:top w:val="single" w:sz="8" w:color="0000EE"/>
            </w:tcBorders>
          </w:tcPr>
          <w:p>
            <w:pPr>
              <w:spacing w:after="0"/>
              <w:rPr>
                <w:sz w:val="12"/>
                <w:szCs w:val="12"/>
                <w:color w:val="auto"/>
              </w:rPr>
            </w:pPr>
          </w:p>
        </w:tc>
        <w:tc>
          <w:tcPr>
            <w:tcW w:w="540" w:type="dxa"/>
            <w:vAlign w:val="bottom"/>
            <w:gridSpan w:val="2"/>
          </w:tcPr>
          <w:p>
            <w:pPr>
              <w:spacing w:after="0"/>
              <w:rPr>
                <w:sz w:val="12"/>
                <w:szCs w:val="12"/>
                <w:color w:val="auto"/>
              </w:rPr>
            </w:pPr>
          </w:p>
        </w:tc>
        <w:tc>
          <w:tcPr>
            <w:tcW w:w="9520" w:type="dxa"/>
            <w:vAlign w:val="bottom"/>
            <w:gridSpan w:val="27"/>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80" w:type="dxa"/>
            <w:vAlign w:val="bottom"/>
            <w:gridSpan w:val="6"/>
          </w:tcPr>
          <w:p>
            <w:pPr>
              <w:ind w:left="120"/>
              <w:spacing w:after="0" w:line="142" w:lineRule="exact"/>
              <w:rPr>
                <w:sz w:val="20"/>
                <w:szCs w:val="20"/>
                <w:color w:val="auto"/>
              </w:rPr>
            </w:pPr>
            <w:r>
              <w:rPr>
                <w:rFonts w:ascii="Times New Roman" w:cs="Times New Roman" w:eastAsia="Times New Roman" w:hAnsi="Times New Roman"/>
                <w:sz w:val="15"/>
                <w:szCs w:val="15"/>
                <w:color w:val="auto"/>
              </w:rPr>
              <w:t>Item 16.</w:t>
            </w:r>
          </w:p>
        </w:tc>
        <w:tc>
          <w:tcPr>
            <w:tcW w:w="132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5"/>
                <w:szCs w:val="15"/>
                <w:color w:val="0000FF"/>
              </w:rPr>
              <w:t>Form 10-K Summary</w:t>
            </w:r>
          </w:p>
        </w:tc>
        <w:tc>
          <w:tcPr>
            <w:tcW w:w="20" w:type="dxa"/>
            <w:vAlign w:val="bottom"/>
            <w:tcBorders>
              <w:top w:val="single" w:sz="8" w:color="0000FF"/>
              <w:bottom w:val="single" w:sz="8" w:color="0000EE"/>
            </w:tcBorders>
          </w:tcPr>
          <w:p>
            <w:pPr>
              <w:spacing w:after="0"/>
              <w:rPr>
                <w:sz w:val="12"/>
                <w:szCs w:val="12"/>
                <w:color w:val="auto"/>
              </w:rPr>
            </w:pPr>
          </w:p>
        </w:tc>
        <w:tc>
          <w:tcPr>
            <w:tcW w:w="1340" w:type="dxa"/>
            <w:vAlign w:val="bottom"/>
            <w:tcBorders>
              <w:top w:val="single" w:sz="8" w:color="0000FF"/>
            </w:tcBorders>
            <w:gridSpan w:val="6"/>
          </w:tcPr>
          <w:p>
            <w:pPr>
              <w:spacing w:after="0"/>
              <w:rPr>
                <w:sz w:val="12"/>
                <w:szCs w:val="12"/>
                <w:color w:val="auto"/>
              </w:rPr>
            </w:pPr>
          </w:p>
        </w:tc>
        <w:tc>
          <w:tcPr>
            <w:tcW w:w="6840" w:type="dxa"/>
            <w:vAlign w:val="bottom"/>
            <w:gridSpan w:val="10"/>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5"/>
                <w:szCs w:val="15"/>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96"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SUMMARY OF THE MATERIAL RISKS ASSOCIATED WITH OUR BUSINESS</w:t>
      </w:r>
    </w:p>
    <w:p>
      <w:pPr>
        <w:spacing w:after="0" w:line="237" w:lineRule="exact"/>
        <w:rPr>
          <w:sz w:val="20"/>
          <w:szCs w:val="20"/>
          <w:color w:val="auto"/>
        </w:rPr>
      </w:pPr>
    </w:p>
    <w:p>
      <w:pPr>
        <w:ind w:left="380" w:right="40" w:hanging="372"/>
        <w:spacing w:after="0" w:line="281"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never successfully completed any large-scale, pivotal clinical trials, and we may be unable to do so for any product candidates we develop. Clinical product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77"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experience delays or difficulties in the enrollment of patients in clinical trials, our receipt of necessary regulatory approvals could be delayed or prevented.</w:t>
      </w:r>
    </w:p>
    <w:p>
      <w:pPr>
        <w:spacing w:after="0" w:line="234" w:lineRule="exact"/>
        <w:rPr>
          <w:rFonts w:ascii="Times New Roman" w:cs="Times New Roman" w:eastAsia="Times New Roman" w:hAnsi="Times New Roman"/>
          <w:sz w:val="16"/>
          <w:szCs w:val="16"/>
          <w:color w:val="auto"/>
        </w:rPr>
      </w:pPr>
    </w:p>
    <w:p>
      <w:pPr>
        <w:ind w:left="380" w:right="300" w:hanging="372"/>
        <w:spacing w:after="0" w:line="281"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w:t>
      </w:r>
    </w:p>
    <w:p>
      <w:pPr>
        <w:spacing w:after="0" w:line="177" w:lineRule="exact"/>
        <w:rPr>
          <w:rFonts w:ascii="Times New Roman" w:cs="Times New Roman" w:eastAsia="Times New Roman" w:hAnsi="Times New Roman"/>
          <w:sz w:val="16"/>
          <w:szCs w:val="16"/>
          <w:color w:val="auto"/>
        </w:rPr>
      </w:pPr>
    </w:p>
    <w:p>
      <w:pPr>
        <w:ind w:left="380" w:right="160" w:hanging="372"/>
        <w:spacing w:after="0" w:line="298"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current or future clinical trials or those of future collaborators or licensees may reveal significant adverse events not seen in our preclinical or nonclinical studies or early clinical data and may result in a safety profile that would inhibit regulatory approval or market acceptance of any of our product candidates.</w:t>
      </w:r>
    </w:p>
    <w:p>
      <w:pPr>
        <w:spacing w:after="0" w:line="164" w:lineRule="exact"/>
        <w:rPr>
          <w:rFonts w:ascii="Times New Roman" w:cs="Times New Roman" w:eastAsia="Times New Roman" w:hAnsi="Times New Roman"/>
          <w:sz w:val="16"/>
          <w:szCs w:val="16"/>
          <w:color w:val="auto"/>
        </w:rPr>
      </w:pPr>
    </w:p>
    <w:p>
      <w:pPr>
        <w:ind w:left="380" w:hanging="372"/>
        <w:spacing w:after="0" w:line="281"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spacing w:after="0" w:line="177" w:lineRule="exact"/>
        <w:rPr>
          <w:rFonts w:ascii="Times New Roman" w:cs="Times New Roman" w:eastAsia="Times New Roman" w:hAnsi="Times New Roman"/>
          <w:sz w:val="16"/>
          <w:szCs w:val="16"/>
          <w:color w:val="auto"/>
        </w:rPr>
      </w:pPr>
    </w:p>
    <w:p>
      <w:pPr>
        <w:ind w:left="380" w:right="60" w:hanging="372"/>
        <w:spacing w:after="0" w:line="281"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7"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substantial competition, which may result in others discovering, developing or commercializing products before or more successfully than we do.</w:t>
      </w:r>
    </w:p>
    <w:p>
      <w:pPr>
        <w:spacing w:after="0" w:line="234" w:lineRule="exact"/>
        <w:rPr>
          <w:rFonts w:ascii="Times New Roman" w:cs="Times New Roman" w:eastAsia="Times New Roman" w:hAnsi="Times New Roman"/>
          <w:sz w:val="16"/>
          <w:szCs w:val="16"/>
          <w:color w:val="auto"/>
        </w:rPr>
      </w:pPr>
    </w:p>
    <w:p>
      <w:pPr>
        <w:ind w:left="380" w:right="160" w:hanging="372"/>
        <w:spacing w:after="0" w:line="298"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not able to obtain, or if delays occur in obtaining, required regulatory approvals for our product candidates, we will not be able to commercialize, or will be delayed in commercializing, our product candidates, and our ability to generate revenue will be materially impaired.</w:t>
      </w:r>
    </w:p>
    <w:p>
      <w:pPr>
        <w:spacing w:after="0" w:line="164" w:lineRule="exact"/>
        <w:rPr>
          <w:rFonts w:ascii="Times New Roman" w:cs="Times New Roman" w:eastAsia="Times New Roman" w:hAnsi="Times New Roman"/>
          <w:sz w:val="16"/>
          <w:szCs w:val="16"/>
          <w:color w:val="auto"/>
        </w:rPr>
      </w:pPr>
    </w:p>
    <w:p>
      <w:pPr>
        <w:ind w:left="380" w:right="160" w:hanging="372"/>
        <w:spacing w:after="0" w:line="275"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relied on, and expect to continue to rely on, third parties to conduct our current and future clinical trials of our product candidates,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82" w:lineRule="exact"/>
        <w:rPr>
          <w:rFonts w:ascii="Times New Roman" w:cs="Times New Roman" w:eastAsia="Times New Roman" w:hAnsi="Times New Roman"/>
          <w:sz w:val="16"/>
          <w:szCs w:val="16"/>
          <w:color w:val="auto"/>
        </w:rPr>
      </w:pPr>
    </w:p>
    <w:p>
      <w:pPr>
        <w:ind w:left="380" w:right="260" w:hanging="372"/>
        <w:spacing w:after="0" w:line="298"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biopharmaceutical company with a limited operating history. We have incurred significant operating losses since our inception and anticipate that we will incur continued losses for the foreseeable future. We have no products approved for commercial sale and have not generated any revenue from product sales.</w:t>
      </w:r>
    </w:p>
    <w:p>
      <w:pPr>
        <w:spacing w:after="0" w:line="164" w:lineRule="exact"/>
        <w:rPr>
          <w:rFonts w:ascii="Times New Roman" w:cs="Times New Roman" w:eastAsia="Times New Roman" w:hAnsi="Times New Roman"/>
          <w:sz w:val="16"/>
          <w:szCs w:val="16"/>
          <w:color w:val="auto"/>
        </w:rPr>
      </w:pPr>
    </w:p>
    <w:p>
      <w:pPr>
        <w:ind w:left="380" w:right="440" w:hanging="372"/>
        <w:spacing w:after="0" w:line="298"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need to raise substantial additional funding. If we are unable to raise capital when needed, we would be forced to delay, reduce or eliminate some of our product development programs or commercialization efforts.</w:t>
      </w:r>
    </w:p>
    <w:p>
      <w:pPr>
        <w:spacing w:after="0" w:line="164" w:lineRule="exact"/>
        <w:rPr>
          <w:rFonts w:ascii="Times New Roman" w:cs="Times New Roman" w:eastAsia="Times New Roman" w:hAnsi="Times New Roman"/>
          <w:sz w:val="16"/>
          <w:szCs w:val="16"/>
          <w:color w:val="auto"/>
        </w:rPr>
      </w:pPr>
    </w:p>
    <w:p>
      <w:pPr>
        <w:jc w:val="both"/>
        <w:ind w:left="380" w:right="60" w:hanging="372"/>
        <w:spacing w:after="0" w:line="281"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will be impaired.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23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6"/>
          <w:szCs w:val="16"/>
          <w:color w:val="auto"/>
        </w:rPr>
        <w:t>This Annual Report on Form 10-K contains express or implied "forward-looking statements," within the meaning of the Private Securities Litigation Reform Act of 1995,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Annual Report on Form 10-K include, but are not limited to, implied or express statements about:</w:t>
      </w:r>
    </w:p>
    <w:p>
      <w:pPr>
        <w:spacing w:after="0" w:line="184" w:lineRule="exact"/>
        <w:rPr>
          <w:sz w:val="20"/>
          <w:szCs w:val="20"/>
          <w:color w:val="auto"/>
        </w:rPr>
      </w:pPr>
    </w:p>
    <w:p>
      <w:pPr>
        <w:ind w:left="380" w:hanging="372"/>
        <w:spacing w:after="0" w:line="281"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initiation, enrollment, timing, progress, results, and cost of our product candidates and research and development programs and our current and future preclinical and clinical studies, including statements regarding the timing of initiation and completion of studies or trials and related preparatory work, as well as the period during which the results of the trials will become available;</w:t>
      </w:r>
    </w:p>
    <w:p>
      <w:pPr>
        <w:spacing w:after="0" w:line="177" w:lineRule="exact"/>
        <w:rPr>
          <w:rFonts w:ascii="Times New Roman" w:cs="Times New Roman" w:eastAsia="Times New Roman" w:hAnsi="Times New Roman"/>
          <w:sz w:val="16"/>
          <w:szCs w:val="16"/>
          <w:color w:val="auto"/>
        </w:rPr>
      </w:pPr>
    </w:p>
    <w:p>
      <w:pPr>
        <w:ind w:left="380" w:right="420" w:hanging="372"/>
        <w:spacing w:after="0" w:line="281"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identification of research priorities, reallocation of resources among programs, and application of a risk-mitigated strategy to efficiently discover and develop product candidates, including by applying learnings from one program to other programs and from one modality to our other modalities, as well as the potential expected benefits therefrom;</w:t>
      </w:r>
    </w:p>
    <w:p>
      <w:pPr>
        <w:spacing w:after="0" w:line="177"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safety and efficacy of our product candidates and the therapeutic implications of clinical and preclinical data;</w:t>
      </w:r>
    </w:p>
    <w:p>
      <w:pPr>
        <w:spacing w:after="0" w:line="234" w:lineRule="exact"/>
        <w:rPr>
          <w:rFonts w:ascii="Times New Roman" w:cs="Times New Roman" w:eastAsia="Times New Roman" w:hAnsi="Times New Roman"/>
          <w:sz w:val="16"/>
          <w:szCs w:val="16"/>
          <w:color w:val="auto"/>
        </w:rPr>
      </w:pPr>
    </w:p>
    <w:p>
      <w:pPr>
        <w:ind w:left="380" w:right="220" w:hanging="372"/>
        <w:spacing w:after="0" w:line="298"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manufacture of our drug substances, delivery vehicles, and product candidates for preclinical use, for clinical trials, and, on a larger scale, for commercial use, if approved;</w:t>
      </w:r>
    </w:p>
    <w:p>
      <w:pPr>
        <w:spacing w:after="0" w:line="164" w:lineRule="exact"/>
        <w:rPr>
          <w:rFonts w:ascii="Times New Roman" w:cs="Times New Roman" w:eastAsia="Times New Roman" w:hAnsi="Times New Roman"/>
          <w:sz w:val="16"/>
          <w:szCs w:val="16"/>
          <w:color w:val="auto"/>
        </w:rPr>
      </w:pPr>
    </w:p>
    <w:p>
      <w:pPr>
        <w:ind w:left="380" w:right="360" w:hanging="372"/>
        <w:spacing w:after="0" w:line="298"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relationships with our third-party strategic collaborators and licensees and their ability to continue research and development and commercialization activities relating to our development candidates and product candidates;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funding for our operations necessary to complete further development and commercialization of our product candidates;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to seek regulatory approval of our product candidates;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pricing and reimbursement of our product candidates, if approved;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implementation of our business model and strategic plans for our business, product candidates, and technology;</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protection for intellectual property rights covering our product candidates and technology;</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estimates of our future expenses, revenues, capital requirements, and our needs for additional financing;</w:t>
      </w:r>
    </w:p>
    <w:p>
      <w:pPr>
        <w:spacing w:after="0" w:line="234" w:lineRule="exact"/>
        <w:rPr>
          <w:rFonts w:ascii="Times New Roman" w:cs="Times New Roman" w:eastAsia="Times New Roman" w:hAnsi="Times New Roman"/>
          <w:sz w:val="16"/>
          <w:szCs w:val="16"/>
          <w:color w:val="auto"/>
        </w:rPr>
      </w:pPr>
    </w:p>
    <w:p>
      <w:pPr>
        <w:ind w:left="380" w:right="300" w:hanging="372"/>
        <w:spacing w:after="0" w:line="298"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benefits of strategic collaboration and/or license agreements with collaborators and/or licensees with development, regulatory, and commercialization expertise;</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agreements with third parties in connection with the commercialization of product candidates and any other approved product;</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size and growth potential of the markets for our product candidates, and our ability to serve those markets;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performance;</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 and degree of market acceptance of our product candidates;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in the United States and foreign countries;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contract with third-party suppliers and manufacturers and their ability to perform adequately;</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produce our products or product candidates with advantages in turnaround times or manufacturing cost;</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competing therapies that are or may become available;</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key scientific or management personnel;</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laws and regulations on our business and programs;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4" w:name="page5"/>
    <w:bookmarkEnd w:id="4"/>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relating to our competitors and our industry;</w:t>
      </w:r>
    </w:p>
    <w:p>
      <w:pPr>
        <w:spacing w:after="0" w:line="234" w:lineRule="exact"/>
        <w:rPr>
          <w:rFonts w:ascii="Times New Roman" w:cs="Times New Roman" w:eastAsia="Times New Roman" w:hAnsi="Times New Roman"/>
          <w:sz w:val="16"/>
          <w:szCs w:val="16"/>
          <w:color w:val="auto"/>
        </w:rPr>
      </w:pPr>
    </w:p>
    <w:p>
      <w:pPr>
        <w:ind w:left="380" w:right="20" w:hanging="372"/>
        <w:spacing w:after="0" w:line="298"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public health epidemics or outbreaks of an infectious disease and ongoing geopolitical conflicts, including mitigation efforts and economic effects, on any of the foregoing or other aspects of our business operations, including, but not limited to, our preclinical studies and current and future clinical trials;</w:t>
      </w:r>
    </w:p>
    <w:p>
      <w:pPr>
        <w:spacing w:after="0" w:line="164" w:lineRule="exact"/>
        <w:rPr>
          <w:rFonts w:ascii="Times New Roman" w:cs="Times New Roman" w:eastAsia="Times New Roman" w:hAnsi="Times New Roman"/>
          <w:sz w:val="16"/>
          <w:szCs w:val="16"/>
          <w:color w:val="auto"/>
        </w:rPr>
      </w:pPr>
    </w:p>
    <w:p>
      <w:pPr>
        <w:ind w:left="380" w:right="120" w:hanging="372"/>
        <w:spacing w:after="0" w:line="298" w:lineRule="auto"/>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market conditions, including, among others, inflation, interest rates, tax rates, economic uncertainty, the actual or perceived failure or financial difficulties of additional financial institutions, and economic and trade sanctions, including their effect on our results of operations; and</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and uncertainties, including those listed under the caption "Risk Factors."</w:t>
      </w:r>
    </w:p>
    <w:p>
      <w:pPr>
        <w:spacing w:after="0" w:line="23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In some cases, you can identify forward-looking statements by terminology such as "may," "can," "should," "expects," "intends," "plans," "anticipates," "believes," "estimates," "forecasts," "goal," "likely," "predicts," "potential," "projects," "will," "might," "could," "continue," or the negative of these terms or other comparable terminology. These statements are only predictions. All statements other than statements of historical facts are statements that could be deemed forward-looking statements.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above under "Summary of the Material Risks Associated with Our Business," those listed below under the section titled "Risk Factors" and elsewhere in this Annual Report on Form 10-K.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on Form 10-K and the documents that we reference in this Annual Report on Form 10-K and have filed with the Securities and Exchange Commission, or the SEC, as exhibits hereto completely and with the understanding that our actual future results may be materially different from any future results expressed or implied by these forward-looking statements.</w:t>
      </w:r>
    </w:p>
    <w:p>
      <w:pPr>
        <w:spacing w:after="0" w:line="19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18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This Annual Report on Form 10-K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Annual Report on Form 10-K, their estimates, in particular as they relate to projections, involve numerous assumptions, are subject to risks and uncertainties, and are subject to change based on various factors, including those discussed under the section titled "Risk Factors" and elsewhere in this Annual Report on Form 10-K.</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35" w:lineRule="exact"/>
        <w:rPr>
          <w:sz w:val="20"/>
          <w:szCs w:val="20"/>
          <w:color w:val="auto"/>
        </w:rPr>
      </w:pPr>
    </w:p>
    <w:p>
      <w:pPr>
        <w:ind w:right="300"/>
        <w:spacing w:after="0" w:line="301" w:lineRule="auto"/>
        <w:rPr>
          <w:sz w:val="20"/>
          <w:szCs w:val="20"/>
          <w:color w:val="auto"/>
        </w:rPr>
      </w:pPr>
      <w:r>
        <w:rPr>
          <w:rFonts w:ascii="Times New Roman" w:cs="Times New Roman" w:eastAsia="Times New Roman" w:hAnsi="Times New Roman"/>
          <w:sz w:val="16"/>
          <w:szCs w:val="16"/>
          <w:i w:val="1"/>
          <w:iCs w:val="1"/>
          <w:color w:val="auto"/>
        </w:rPr>
        <w:t>Except where the context otherwise requires or where otherwise indicated, the terms "Relay Therapeutics," "we," "us," "our," "our company," the "Company," and "our business" refer to Relay Therapeutics, Inc. and its consolidated subsidiaries.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3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We are a clinical-stage precision medicine company transforming the drug discovery process by combining leading-edge computational and experimental technologies with the goal of bringing life-changing therapies to patients. As we believe we are among the first of a new breed of biotech created at the intersection of complementary techniques and technologies, we aim to push the boundaries of what’s possible in drug discovery. Our Dynamo® platform integrates an array of leading-edge computational and experimental approaches designed to drug protein targets that have previously been intractable or inadequately addressed. Our initial focus is on enhancing small molecule therapeutic discovery in targeted oncology and genetic disease indications.</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Precision medicine emerged as an approach for disease treatment as the understanding of the link between genetic alterations, protein dysfunction and diseases evolved. Precision medicine aims to specifically and potently drug genetically validated target proteins (i.e., genetic variants potentially implicated in biology of disease). However, some target proteins thus far have been intractable or inadequately addressed using conventional drug discovery tools. While conventional approaches are well-suited to solving some drug discovery problems such as orthosteric site kinase inhibitors, their reliance on static images of protein fragments limits their ability to gain accurate insights into the dynamic behavior of proteins in their natural state, which in turn limits their ability to discover medicines with exquisite specificity. Our approach pivots the understanding of protein targets from the industry-standard, static view, to a novel paradigm based on fundamental insights into protein motion. We then apply these novel insights into protein motion to drug discovery and design, which we term Motion-Based Drug Design®.</w:t>
      </w:r>
    </w:p>
    <w:p>
      <w:pPr>
        <w:spacing w:after="0" w:line="190" w:lineRule="exact"/>
        <w:rPr>
          <w:sz w:val="20"/>
          <w:szCs w:val="20"/>
          <w:color w:val="auto"/>
        </w:rPr>
      </w:pPr>
    </w:p>
    <w:p>
      <w:pPr>
        <w:jc w:val="both"/>
        <w:ind w:right="340"/>
        <w:spacing w:after="0" w:line="281" w:lineRule="auto"/>
        <w:rPr>
          <w:sz w:val="20"/>
          <w:szCs w:val="20"/>
          <w:color w:val="auto"/>
        </w:rPr>
      </w:pPr>
      <w:r>
        <w:rPr>
          <w:rFonts w:ascii="Times New Roman" w:cs="Times New Roman" w:eastAsia="Times New Roman" w:hAnsi="Times New Roman"/>
          <w:sz w:val="16"/>
          <w:szCs w:val="16"/>
          <w:color w:val="auto"/>
        </w:rPr>
        <w:t>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w:t>
      </w:r>
    </w:p>
    <w:p>
      <w:pPr>
        <w:spacing w:after="0" w:line="177"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We are advancing a pipeline of medicine candidates to address targets in precision oncology and genetic disease, including RLY-2608, our lead product candidate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-23495</wp:posOffset>
            </wp:positionV>
            <wp:extent cx="5760720" cy="2691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072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RLY-2608. </w:t>
      </w:r>
      <w:r>
        <w:rPr>
          <w:rFonts w:ascii="Times New Roman" w:cs="Times New Roman" w:eastAsia="Times New Roman" w:hAnsi="Times New Roman"/>
          <w:sz w:val="16"/>
          <w:szCs w:val="16"/>
          <w:color w:val="auto"/>
        </w:rPr>
        <w:t>RLY-2608 is the first known allosteric, pan-mutant and isoform-selective phosphoinostide 3 kinase alpha, or PI3Kα, inhibitor in clinical development. It is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lead program in our efforts to discover and develop mutant selective inhibitors of PI3Kα.</w:t>
      </w:r>
    </w:p>
    <w:p>
      <w:pPr>
        <w:spacing w:after="0" w:line="162" w:lineRule="exact"/>
        <w:rPr>
          <w:sz w:val="20"/>
          <w:szCs w:val="20"/>
          <w:color w:val="auto"/>
        </w:rPr>
      </w:pPr>
    </w:p>
    <w:p>
      <w:pPr>
        <w:ind w:left="1020" w:right="60" w:hanging="503"/>
        <w:spacing w:after="0" w:line="298" w:lineRule="auto"/>
        <w:tabs>
          <w:tab w:leader="none" w:pos="10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ReDiscover Trial</w:t>
      </w:r>
      <w:r>
        <w:rPr>
          <w:rFonts w:ascii="Times New Roman" w:cs="Times New Roman" w:eastAsia="Times New Roman" w:hAnsi="Times New Roman"/>
          <w:sz w:val="16"/>
          <w:szCs w:val="16"/>
          <w:color w:val="auto"/>
        </w:rPr>
        <w:t>. In December 2021, we dosed the first patient in a first-in-human clinical trial for RLY-2608, or the ReDiscover Trial. Since then, we have predominantly focused on evaluating RLY-2608 in combination with fulvestrant for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6" w:name="page7"/>
    <w:bookmarkEnd w:id="6"/>
    <w:p>
      <w:pPr>
        <w:ind w:left="1020" w:right="80"/>
        <w:spacing w:after="0" w:line="271" w:lineRule="auto"/>
        <w:rPr>
          <w:sz w:val="20"/>
          <w:szCs w:val="20"/>
          <w:color w:val="auto"/>
        </w:rPr>
      </w:pPr>
      <w:r>
        <w:rPr>
          <w:rFonts w:ascii="Times New Roman" w:cs="Times New Roman" w:eastAsia="Times New Roman" w:hAnsi="Times New Roman"/>
          <w:sz w:val="16"/>
          <w:szCs w:val="16"/>
          <w:color w:val="auto"/>
        </w:rPr>
        <w:t>patients with HR+, HER2–, PI3Kα-mutated, locally advanced or metastatic breast cancer. In the fourth quarter of 2023, we initiated a triplet combination arm with RLY-2608, fulvestrant and the cyclin dependent kinase 4/6, or CDK 4/6, inhibitor ribociclib. In the fourth quarter of 2024, we initiated an additional triplet combination arm with RLY-2608, fulvestrant, and atirmociclib, Pfizer Inc.’s, or Pfizer’s, investigative selective-CDK4 inhibitor, pursuant to a clinical trial collaboration with Pfizer. We also intend to initiate a Phase 3 registrational study, or the ReDiscover-2 Trial, which will evaluate the safety and efficacy of RLY-2608 plus fulvestrant in PI3Kα-mutated, HR+/HER2- advanced breast cancer patients previously treated with a CDK4/6 inhibitor. The comparator arm in the ReDsicover-2 Trial will be capivasertib plus fulvestrant.</w:t>
      </w:r>
    </w:p>
    <w:p>
      <w:pPr>
        <w:spacing w:after="0" w:line="184" w:lineRule="exact"/>
        <w:rPr>
          <w:sz w:val="20"/>
          <w:szCs w:val="20"/>
          <w:color w:val="auto"/>
        </w:rPr>
      </w:pPr>
    </w:p>
    <w:p>
      <w:pPr>
        <w:ind w:left="1020" w:right="60" w:hanging="503"/>
        <w:spacing w:after="0" w:line="271" w:lineRule="auto"/>
        <w:tabs>
          <w:tab w:leader="none" w:pos="1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Clinical Data</w:t>
      </w:r>
      <w:r>
        <w:rPr>
          <w:rFonts w:ascii="Times New Roman" w:cs="Times New Roman" w:eastAsia="Times New Roman" w:hAnsi="Times New Roman"/>
          <w:sz w:val="16"/>
          <w:szCs w:val="16"/>
          <w:color w:val="auto"/>
        </w:rPr>
        <w:t>. In September 2024, we announced interim clinical data for RLY-2608 with a data cut-off date of August 12, 2024, and in December 2024, we announced additional updated interim clinical data for RLY-2608 at the San Antionio Breast Cancer Symposium 2024 with a data cut-off date of November 4, 2024. These interim clinical data are discussed further below in "Our Product Pipeline and Programs —Our Lead Product Candidate— RLY-2608– Interim Clinical Data." We believe that, overall, while the clinical data from the ReDiscover Trial disclosed to date are preliminary, the data suggest differentiated interim efficacy signals in the specified patient population and support selective target engagement across doses and mutation types with an encouraging interim safety and tolerability profile.</w:t>
      </w:r>
    </w:p>
    <w:p>
      <w:pPr>
        <w:spacing w:after="0" w:line="184"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6"/>
          <w:szCs w:val="16"/>
          <w:color w:val="auto"/>
        </w:rPr>
        <w:t>While our initial focus is on precision oncology, we believe our Dynamo® platform may also be broadly applied to other areas of precision medicine, such as genetic diseases. In June 2024, we announced three new programs, including two genetic disease programs to address clinically and commercially validated targets in vascular malformations and Fabry disease, respectively, and an NRAS-selective inhibitor for NRAS-mutated solid tumors. We also have four additional active discovery stage programs across both precision oncology and genetic diseases. We are focused on using the novel insights derived from our approach to transform the lives of patients suffering from debilitating and life-threatening diseases through the discovery, development, and commercialization of our therapies.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Strategy</w:t>
      </w:r>
    </w:p>
    <w:p>
      <w:pPr>
        <w:spacing w:after="0" w:line="237"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Our mission is to leverage unique insights into protein motion to transform the lives of patients suffering from debilitating and life-threatening diseases through the discovery, development and commercialization of small molecule therapies. We believe that, by placing protein motion at the heart of Motion-Based Drug Design discovery, our unique Dynamo® platform has the potential to address previously intractable or inadequately addressed precision medicine targets. To accomplish this, we intend to continue building a team that shares our commitment to patients and rapidly advance our precision medicine pipeline of product candidates with a focus on the highest value opportunities. The key elements of our strategy are to:</w:t>
      </w:r>
    </w:p>
    <w:p>
      <w:pPr>
        <w:spacing w:after="0" w:line="18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Rapidly advance our PI3Kα franchise and other programs through clinical development with the goal of reaching as many patients as possible. </w:t>
      </w:r>
      <w:r>
        <w:rPr>
          <w:rFonts w:ascii="Times New Roman" w:cs="Times New Roman" w:eastAsia="Times New Roman" w:hAnsi="Times New Roman"/>
          <w:sz w:val="16"/>
          <w:szCs w:val="16"/>
          <w:color w:val="auto"/>
        </w:rPr>
        <w:t>We believe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RLY-2608 has the potential to address a significant portion of patients globally with HR+, HER2- breast cancer with a PI3Kα mutation, one of the largest patient populations for a precision oncology medicine. We have prioritized development of the RLY-2608 doublet and triplet combinations with the aim of reaching breast cancer patients across both CDK4/6-experienced and -naïve patients. Additionally, in June 2024, we announced our intention to advance RLY-2608 in vascular malformations, expanding our PI3Kα franchise to genetic disease. In June 2024, we also announced two additional programs, including programs to address clinically and commercially validated targets in Fabry disease and an NRAS-selective inhibitor. We plan to continue to conduct our clinical studies in genetically-defined patient populations. If we are successful in generating clinically meaningful and differentiated data for our programs, we plan to meet with regulatory authorities to discuss potential approval pathways.</w:t>
      </w:r>
    </w:p>
    <w:p>
      <w:pPr>
        <w:spacing w:after="0" w:line="18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Harness the insights and data generated from our drug discovery platform against intractable or inadequately addressed precision medicine targets, with current focus on oncology and genetic diseases. </w:t>
      </w:r>
      <w:r>
        <w:rPr>
          <w:rFonts w:ascii="Times New Roman" w:cs="Times New Roman" w:eastAsia="Times New Roman" w:hAnsi="Times New Roman"/>
          <w:sz w:val="16"/>
          <w:szCs w:val="16"/>
          <w:color w:val="auto"/>
        </w:rPr>
        <w:t>We are committed to deploying our Dynamo® platform against genetically validated targets, taking on some of the toughest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technical drug discovery challenges and creating novel medicines against those targets that can rapidly attain clinical proof-of-concept and address significant unmet medical needs. Our initial focus is on precision oncology where there are clear genetic driver alterations in the tumor genome, and genetic disease where the causal mutations are present at birth. However, we believe our platform also has potential to address targets in genetically-defined subpopulations of more common diseases in other therapeutic areas.</w:t>
      </w:r>
    </w:p>
    <w:p>
      <w:pPr>
        <w:spacing w:after="0" w:line="18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Selectively enter into strategic partnerships to maximize the value of our platform and pipeline. </w:t>
      </w:r>
      <w:r>
        <w:rPr>
          <w:rFonts w:ascii="Times New Roman" w:cs="Times New Roman" w:eastAsia="Times New Roman" w:hAnsi="Times New Roman"/>
          <w:sz w:val="16"/>
          <w:szCs w:val="16"/>
          <w:color w:val="auto"/>
        </w:rPr>
        <w:t>We intend to build a fully integrated biopharmaceutical company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independently pursue the development and commercialization of our key product candidates. Given our potential to generate novel product candidates addressing a wide variety of therapeutic indications, we may enter into strategic partnerships around certain targets, product candidates, disease areas or geographies if we believe these collaborations or licenses could accelerate the development and commercialization of our product candidates and allow us to realize additional potential in our product candidates and our platform. For example, in June 2024, we entered into a global clinical trial collaboration with Pfizer for the development of RLY-2608 in combination with fulvestrant and atirmociclib, Pfizer's investigative selective-CDK4 inhibitor, in patients with PI3Kα-mutated, HR+, HER2- metastatic breast cancer. Additionally, in December 2024, we entered into an exclusive global licensing agreement, or the Elevar Agreement, with Elevar Therapeutics, Inc., or Elevar, pursuant to which Elevar was granted global development and commercialization rights for lirafugratinib (RLY-4008), our selective oral small molecule inhibitor of fibroblast growth factor receptor 2, or FGFR2. Outside of the Elevar Agreement, we currently retain full development and commercialization rights to our pipeline of active precision medicine programs.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Our Dynamo</w:t>
      </w:r>
      <w:r>
        <w:rPr>
          <w:rFonts w:ascii="Times New Roman" w:cs="Times New Roman" w:eastAsia="Times New Roman" w:hAnsi="Times New Roman"/>
          <w:sz w:val="21"/>
          <w:szCs w:val="21"/>
          <w:b w:val="1"/>
          <w:bCs w:val="1"/>
          <w:color w:val="auto"/>
          <w:vertAlign w:val="superscript"/>
        </w:rPr>
        <w:t>®</w:t>
      </w:r>
      <w:r>
        <w:rPr>
          <w:rFonts w:ascii="Times New Roman" w:cs="Times New Roman" w:eastAsia="Times New Roman" w:hAnsi="Times New Roman"/>
          <w:sz w:val="16"/>
          <w:szCs w:val="16"/>
          <w:b w:val="1"/>
          <w:bCs w:val="1"/>
          <w:color w:val="auto"/>
        </w:rPr>
        <w:t xml:space="preserve"> Platform</w:t>
      </w:r>
    </w:p>
    <w:p>
      <w:pPr>
        <w:spacing w:after="0" w:line="193"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6"/>
          <w:szCs w:val="16"/>
          <w:color w:val="auto"/>
        </w:rPr>
        <w:t>Dynamo was built to capitalize on experimental and computational techniques to develop medicines against protein targets with greater specificity and potency. Using our Dynamo platform, we pivot from industry standard approaches, which are based on static structures and often rely on incomplete protein fragments, to a novel drug-discovery paradigm based on fundamental insights into protein motion, which we term Motion-Based Drug Design®. We leverage insights from our platform to develop novel, motion-based hypotheses for how to drug target proteins. We can then more rapidly identify and optimize effective lead compounds by integrating powerful experimental and computational tools to sample a much broader range of chemical space than is possible using conventional approaches, which are labor intensive and require significant experimental effort.</w:t>
      </w:r>
    </w:p>
    <w:p>
      <w:pPr>
        <w:spacing w:after="0" w:line="1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confluence of three forces —the proliferation of readily available genomic data, the evolution of experimental techniques, and advances in computational power and speed —led to the founding of Relay Therapeutics and the establishment of our Dynamo platform. We believe we are uniquely positioned to consolidate these advances and, when combined with our world-class team of experimental and computational experts and experience to-date, to integrate these solutions in Motion-Based Drug Design.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platform integrates a broad and tailored array of leading edge experimental and computational approaches to gain fundamental insights into protein function (</w:t>
      </w:r>
      <w:r>
        <w:rPr>
          <w:rFonts w:ascii="Times New Roman" w:cs="Times New Roman" w:eastAsia="Times New Roman" w:hAnsi="Times New Roman"/>
          <w:sz w:val="16"/>
          <w:szCs w:val="16"/>
          <w:b w:val="1"/>
          <w:bCs w:val="1"/>
          <w:color w:val="auto"/>
        </w:rPr>
        <w:t>Figure 1</w:t>
      </w:r>
      <w:r>
        <w:rPr>
          <w:rFonts w:ascii="Times New Roman" w:cs="Times New Roman" w:eastAsia="Times New Roman" w:hAnsi="Times New Roman"/>
          <w:sz w:val="16"/>
          <w:szCs w:val="16"/>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Figure 1: The Dynamo platform is an integration of our tools and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158750</wp:posOffset>
            </wp:positionV>
            <wp:extent cx="5760720" cy="25971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We deploy the power of our Dynamo platform in three key phases of Motion-Based Drug Design discovery. We first understand how to drug the protein by developing a detailed mechanistic understanding of the dynamic behavior of the target protein and by identifying pockets where binding of a small molecule can impact protein function, which allows us to generate a target modulation hypothesis. Our platform then aids in efficient hit identification, or the identification of chemical starting points through an integrated system of experimental and virtual screens. This enables rapid lead optimization until a development candidate is selected by computationally prioritizing compounds for experimental evaluation. As each cycle generates new learnings for both our team and our underlying machine learning models, our successful iteration of this process continuously improves our understanding of protein motion which leads to a more effective and efficient drug discovery process.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Product Pipeline and Programs</w:t>
      </w:r>
    </w:p>
    <w:p>
      <w:pPr>
        <w:spacing w:after="0" w:line="23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While our Dynamo platform could potentially be applied to a wide range of disease-associated protein targets, we focus on precision medicine targets, currently specifically in oncology and genetic diseases, for which alterations in specific genes are known to cause disease. The genetic diseases we pursue include cancers with clear genetic driver alterations in the tumor genome, as well as monogenic diseases where the causal mutations are present at birth.</w:t>
      </w:r>
    </w:p>
    <w:p>
      <w:pPr>
        <w:spacing w:after="0" w:line="177" w:lineRule="exact"/>
        <w:rPr>
          <w:sz w:val="20"/>
          <w:szCs w:val="20"/>
          <w:color w:val="auto"/>
        </w:rPr>
      </w:pPr>
    </w:p>
    <w:p>
      <w:pPr>
        <w:ind w:right="700"/>
        <w:spacing w:after="0" w:line="298" w:lineRule="auto"/>
        <w:rPr>
          <w:sz w:val="20"/>
          <w:szCs w:val="20"/>
          <w:color w:val="auto"/>
        </w:rPr>
      </w:pPr>
      <w:r>
        <w:rPr>
          <w:rFonts w:ascii="Times New Roman" w:cs="Times New Roman" w:eastAsia="Times New Roman" w:hAnsi="Times New Roman"/>
          <w:sz w:val="16"/>
          <w:szCs w:val="16"/>
          <w:color w:val="auto"/>
        </w:rPr>
        <w:t>We have one ongoing strategic partnership, specifically our agreement with Elevar for the global development and commercialization of lirafugratinib. Other than lirafugratinib, we retain full development and commercialization rights to our current pipeline of active precision medicine programs.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auto"/>
        </w:rPr>
        <w:t>See "—Overview" above for a table that summarizes our current portfolio of product candidates and programs.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Lead Product Candidate</w:t>
      </w:r>
    </w:p>
    <w:p>
      <w:pPr>
        <w:spacing w:after="0" w:line="239"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We have one lead product candidate in clinical development, RLY-2608, the first known investigational allosteric, pan-mutant and isoform-selective inhibitor of PI3Kα, which is discussed further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RLY-2608</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Overview</w:t>
      </w:r>
    </w:p>
    <w:p>
      <w:pPr>
        <w:spacing w:after="0" w:line="23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RLY-2608 is the lead program in our efforts to discover and develop mutant selective inhibitors of PI3Kα. PI3Kα is the most frequently mutated kinase in all cancers, with oncogenic mutations detected in about 14% of patients with solid tumors. Traditionally, the development of PI3Kα inhibitors has focused on the active, or orthosteric, site. The therapeutic index of orthosteric inhibitors is limited by the lack of clinically meaningful selectivity for mutant versus wild-type PI3Kα and off-isoform activity. Toxicity related to inhibition of wild-type PI3Kα and other PI3K isoforms results in sub-optimal inhibition of mutant PI3Kα with reductions in dose intensity and frequent discontinuation. The Dynamo® platform enabled the discovery of RLY-2608, what we believe to be the first known allosteric, pan-mutant, and isoform-selective PI3Kα inhibitor designed to overcome these limitations. By solving the full-length cryo-electron microscopy, or Cryo-EM, structure of PI3Kα and performing computational long time-scale molecular dynamic simulations to elucidate conformational differences between wild-type and mutant PI3Kα, we were able to leverage these insights to support the design of RLY-2608.</w:t>
      </w:r>
    </w:p>
    <w:p>
      <w:pPr>
        <w:spacing w:after="0" w:line="18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We dosed the first patient in the ReDiscover Trial in December 2021. Since then, we have predominantly focused on evaluating RLY-2608 in combination with fulvestrant for patients with HR+, HER2–, PI3Kα-mutated, locally advanced or metastatic breast cancer. In the fourth quarter of 2023, we initiated a triplet combination arm with RLY-2608, fulvestrant and the CDK 4/6 inhibitor, ribociclib. In the fourth quarter of 2024, we initiated an additional triplet combination arm with RLY-2608, fulvestrant, and atirmociclib, Pfizer’s investigative selective-CDK4 inhibitor, pursuant to a clinical trial collaboration with Pfizer. We also intend to initiate the ReDiscover-2 Trial, which will evaluate the safety and efficacy of RLY-2608 plus fulvestrant in PI3Kα-mutated, HR+/HER2- advanced breast cancer patients previously treated with a CDK4/6 inhibitor. The comparator arm in the ReDsicover-2 Trial will be capivasertib plus fulvestrant.</w:t>
      </w:r>
    </w:p>
    <w:p>
      <w:pPr>
        <w:spacing w:after="0" w:line="1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We believe that, overall, while the interim clinical data from the ReDiscover Trial disclosed to date are preliminary, the data suggest differentiated interim efficacy signals in the specified patient population and support selective target engagement across doses and mutation types with an encouraging interim safety and tolerability profile. RLY-2608 interim clinical data are discussed in further detail below in "—Interim Clinical Data."</w:t>
      </w:r>
    </w:p>
    <w:p>
      <w:pPr>
        <w:spacing w:after="0" w:line="177"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We believe RLY-2608 has the potential to address a significant portion of the approximately 140,000 patients with HR+, HER2- breast cancer with a PI3Kα mutation per year in the United States, one of the largest patient populations for a precision oncology medicine (</w:t>
      </w:r>
      <w:r>
        <w:rPr>
          <w:rFonts w:ascii="Times New Roman" w:cs="Times New Roman" w:eastAsia="Times New Roman" w:hAnsi="Times New Roman"/>
          <w:sz w:val="16"/>
          <w:szCs w:val="16"/>
          <w:b w:val="1"/>
          <w:bCs w:val="1"/>
          <w:color w:val="auto"/>
        </w:rPr>
        <w:t>Figure 2</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Figure 2: PI3Kα addressable patient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158750</wp:posOffset>
            </wp:positionV>
            <wp:extent cx="2682875" cy="2769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82875" cy="276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w:t>
      </w:r>
    </w:p>
    <w:p>
      <w:pPr>
        <w:spacing w:after="0" w:line="28" w:lineRule="exact"/>
        <w:rPr>
          <w:sz w:val="20"/>
          <w:szCs w:val="20"/>
          <w:color w:val="auto"/>
        </w:rPr>
      </w:pPr>
    </w:p>
    <w:p>
      <w:pPr>
        <w:ind w:right="540" w:firstLine="8"/>
        <w:spacing w:after="0" w:line="288" w:lineRule="auto"/>
        <w:tabs>
          <w:tab w:leader="none" w:pos="162"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Prevalent US patient population with a PIK3CA mutation, excluding PTEN co-mutation, in each line of therapy (Global Data HR+/HER2- Breast Cancer Global Forecast, November 2024; 3rd party source for alteration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Limitations of current PI3Kα inhibitors</w:t>
      </w:r>
    </w:p>
    <w:p>
      <w:pPr>
        <w:spacing w:after="0" w:line="2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Traditionally, the development of PI3Kα inhibitors has focused on the active, or orthosteric site. This site and its location make selectivity for PI3Kα over other PI3K isoforms and for mutant PI3Kα over wild-type PI3Kα difficult, and they do not enable pan-mutant coverage. Though these existing inhibitors have shown clinical activity in breast cancer as both monotherapy and in combination with hormonal therapy and cell cycle therapy, as well as anecdotal monotherapy responses in patients with PI3Kα mutations in other tumor types, the therapeutic index of such orthosteric inhibitors is limited by the lack of clinically meaningful selectivity for mutant versus wild-type PI3Kα and off-isoform activity. Toxicity related to inhibition of wild-type PI3Kα and other PI3K isoforms results in sub-optimal inhibition of mutant PI3Kα with reductions in dose intensity and frequent discontinuation (</w:t>
      </w:r>
      <w:r>
        <w:rPr>
          <w:rFonts w:ascii="Times New Roman" w:cs="Times New Roman" w:eastAsia="Times New Roman" w:hAnsi="Times New Roman"/>
          <w:sz w:val="16"/>
          <w:szCs w:val="16"/>
          <w:b w:val="1"/>
          <w:bCs w:val="1"/>
          <w:color w:val="auto"/>
        </w:rPr>
        <w:t>Figure 3</w:t>
      </w:r>
      <w:r>
        <w:rPr>
          <w:rFonts w:ascii="Times New Roman" w:cs="Times New Roman" w:eastAsia="Times New Roman" w:hAnsi="Times New Roman"/>
          <w:sz w:val="16"/>
          <w:szCs w:val="16"/>
          <w:color w:val="auto"/>
        </w:rPr>
        <w:t>). These agents are generally limited by high rates of severe hyperglycemia, which is an on-target toxicity, and by gastrointestinal toxicity, which may be related to inhibition of other PI3K family members, including PI3Kδ.</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RLY-2608, what we believe to be the first known allosteric, pan-mutant, and isoform-selective PI3Kα inhibitor, was designed to overcome these limitations.</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2"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Figure 3: Existing inhibitors have limited therapeutic windows.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158750</wp:posOffset>
            </wp:positionV>
            <wp:extent cx="5760720" cy="2322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*NR = Not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714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i w:val="1"/>
          <w:iCs w:val="1"/>
          <w:color w:val="auto"/>
        </w:rPr>
        <w:t>Note: fulv = fulvestrant; all referenced studies are for their patient populations which are analogous to ongoing breast cancer patient populations within RLY-2608 clinical trials; Alpelisib and fulvestrant are FDA approved, inavolisib and capivasertib are in Phase 3 clinical trials. These data are derived from different clinical trials at different points in time, with differences in trial design and patient populations. As a result, cross-trial comparisons cannot be made, and no head-to-head clinical trials have been conducted.</w:t>
      </w:r>
    </w:p>
    <w:p>
      <w:pPr>
        <w:spacing w:after="0"/>
        <w:rPr>
          <w:sz w:val="20"/>
          <w:szCs w:val="20"/>
          <w:color w:val="auto"/>
        </w:rPr>
      </w:pPr>
      <w:r>
        <w:rPr>
          <w:rFonts w:ascii="Times New Roman" w:cs="Times New Roman" w:eastAsia="Times New Roman" w:hAnsi="Times New Roman"/>
          <w:sz w:val="16"/>
          <w:szCs w:val="16"/>
          <w:i w:val="1"/>
          <w:iCs w:val="1"/>
          <w:color w:val="auto"/>
        </w:rPr>
        <w:t>Sources: Alpelisib – 1. SOLAR-1: Andre 2019 N Engl J Med 380:1929, 2. Ph 1b: SABCS 2013 P2-16-14, 3. Ph 1b: SABCS 2014 PD5-5, 4. Ph 2 ByLIEVE: Rugo 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Lancet Oncol 22:489, SABCS 2021 #P1-18-03, ASCO 2023 #1078 (18mo follow-up), 5. Ph 1b mono: Annals of Oncol 25 2014 (suppl 4), 6. Ph 2 mono: Savas Cancer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Discov 2022 Sep 12:2058, 7. Ph 1a mono: Juric 2018 J Clin Oncol 36:1291; Inavolisib – 8. ASCO 2022 #1052 (note: pooled rates across cohorts), 9. SABCS 2020 #PS11-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11, 10. AACR 2020 CT109, 11. SABCS 2019 OT1-08-04; 12. SABCS 2019 P1-19-46, 13. SABCS 2021 #P5-17-05; Capivasertib – 14. Ph 1 mono: Banerji 2018 Clin Cancer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 24:2050, ASCO 2015 #2500; 15. Ph 2 mono: SABCS 2019 P1-19-14; 16. Ph 1 combo: Smyth 2020 Clin Cancer Res 26:3947; 17. Ph 2 FAKTION: ASCO 2022 #1005;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18. Ph 3 CAPItello-291: SABCS 2022 #GS3-04, ESMO Breast 2023 #1870.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Our solution, RLY-2608</w:t>
      </w:r>
    </w:p>
    <w:p>
      <w:pPr>
        <w:spacing w:after="0" w:line="2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Given the existence of mutations in PI3Kα with different biological mechanisms underlying aberrant activity, we believe the broadest opportunity is through the development of "pan-mutant" inhibitors of PI3Kα. Addressing the challenge of mutant selectivity required us to express and then solve the structure of the full-length PI3Kα protein. This structure, which to our knowledge had previously not been solved, represented a technical challenge because PI3Kα is a membrane-bound protein. This type of protein is typically difficult both to purify in large quantities and to crystallize. Nonetheless, we were able to obtain the structure of full-length PI3Kα using Cryo-EM. The three-dimensional structure of PI3Kα was determined by collecting data from two-dimensional electron microscopic projections of thin layers of protein. The resulting three-dimensional protein structure provided us with fundamental insights into the mechanism of activation of PI3Kα and the impact of mutations on its function. The integration of these structural insights with a combination of experimental and computational techniques has led to RLY-2608, the first molecule derived from these efforts and the first known allosteric, pan-mutant and isoform-selective PI3Kα inhibitor in clinical development.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Our clinical development plan</w:t>
      </w:r>
    </w:p>
    <w:p>
      <w:pPr>
        <w:spacing w:after="0" w:line="23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The ReDiscover Trial is designed to evaluate the safety, tolerability, pharmacokinetics, pharmacodynamics and preliminary antitumor activity of RLY-2608, and consists of three separate arms (</w:t>
      </w:r>
      <w:r>
        <w:rPr>
          <w:rFonts w:ascii="Times New Roman" w:cs="Times New Roman" w:eastAsia="Times New Roman" w:hAnsi="Times New Roman"/>
          <w:sz w:val="16"/>
          <w:szCs w:val="16"/>
          <w:b w:val="1"/>
          <w:bCs w:val="1"/>
          <w:color w:val="auto"/>
        </w:rPr>
        <w:t>Figure 4</w:t>
      </w:r>
      <w:r>
        <w:rPr>
          <w:rFonts w:ascii="Times New Roman" w:cs="Times New Roman" w:eastAsia="Times New Roman" w:hAnsi="Times New Roman"/>
          <w:sz w:val="16"/>
          <w:szCs w:val="16"/>
          <w:color w:val="auto"/>
        </w:rPr>
        <w:t>). The first arm is assessing RLY-2608 as a single agent for patients with unresectable or metastatic solid tumors with PI3Kα mutation and the second arm is evaluating RLY-2608 in combination with fulvestrant for patients with PI3Kα-mutant, HR+, HER2– locally advanced or metastatic breast cancer. The third arm is evaluating the triplet combinations of (1) RLY-2608, fulvestrant and ribociclib and (2) RLY-2608, fulvestrant and atirmociclib, in each case in patients with PI3Kα-mutant, HR+, HER2– locally advanced or metastatic breast cancer. Each arm has two parts, a dose escalation (part 1) to determine the maximum tolerated dose and/or recommended Phase 2 dose, followed by a dose expansion (part 2) to evaluate RLY-2608 in genomically defined populations.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2"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Figure 4: ReDiscover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158750</wp:posOffset>
            </wp:positionV>
            <wp:extent cx="5760720" cy="2494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072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________</w:t>
      </w:r>
    </w:p>
    <w:p>
      <w:pPr>
        <w:spacing w:after="0" w:line="28" w:lineRule="exact"/>
        <w:rPr>
          <w:sz w:val="20"/>
          <w:szCs w:val="20"/>
          <w:color w:val="auto"/>
        </w:rPr>
      </w:pPr>
    </w:p>
    <w:p>
      <w:pPr>
        <w:ind w:right="180" w:firstLine="8"/>
        <w:spacing w:after="0" w:line="288" w:lineRule="auto"/>
        <w:tabs>
          <w:tab w:leader="none" w:pos="162"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Excludes PIK3CAmut clear cell OvCA, HNSCC, Cervical cancer, and colorectal patients; 2. Double mutation defined as one major PIK3CA mutation (E542X, E545X, H1047X) + ≥1 additional PIK3CA mutation per local assessment; CCOC = clear cell ovarian cancer</w:t>
      </w:r>
    </w:p>
    <w:p>
      <w:pPr>
        <w:spacing w:after="0" w:line="17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We also intend to initiate the ReDiscover-2 Trial, which will evaluate the safety and efficacy of RLY-2608 plus fulvestrant in PI3Kα-mutated, HR+/HER2- advanced breast cancer patients previously treated with a CDK4/6 inhibitor in either the adjuvant or metastatic setting (n=540). The comparator arm in the ReDsicover-2 Trial will be capivasertib plus fulvestrant. The ReDiscover-2 Trial will be a randomized, open-label, multicenter clinical trial (</w:t>
      </w:r>
      <w:r>
        <w:rPr>
          <w:rFonts w:ascii="Times New Roman" w:cs="Times New Roman" w:eastAsia="Times New Roman" w:hAnsi="Times New Roman"/>
          <w:sz w:val="16"/>
          <w:szCs w:val="16"/>
          <w:b w:val="1"/>
          <w:bCs w:val="1"/>
          <w:color w:val="auto"/>
        </w:rPr>
        <w:t>Figure 5</w:t>
      </w:r>
      <w:r>
        <w:rPr>
          <w:rFonts w:ascii="Times New Roman" w:cs="Times New Roman" w:eastAsia="Times New Roman" w:hAnsi="Times New Roman"/>
          <w:sz w:val="16"/>
          <w:szCs w:val="16"/>
          <w:color w:val="auto"/>
        </w:rPr>
        <w:t>). The Phase 3 dose in the ReDiscover-2 Trial will be 400 mg twice daily fed. A positive food effect has been observed when RLY-2608 was administered to patients in the fed state, which increased the exposure level of RLY-2608 compared to the fasted state. The 400 mg twice daily fed dose has been shown to achieve exposures equivalent to the 600 mg twice daily fasted dose, which was the dose used in the ReDiscover Trial expansion cohorts for which we reported the interim clinical data described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Figure 5: RLY-2608 – Phase 3 ReDiscover-2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158750</wp:posOffset>
            </wp:positionV>
            <wp:extent cx="5760720" cy="213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__________</w:t>
      </w:r>
    </w:p>
    <w:p>
      <w:pPr>
        <w:spacing w:after="0" w:line="28"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Disease progression during or within 1 year of completing adjuvant therapy; 2. Applies to chemotherapy administered in the advanced setting.</w:t>
      </w:r>
    </w:p>
    <w:p>
      <w:pPr>
        <w:spacing w:after="0" w:line="222" w:lineRule="exact"/>
        <w:rPr>
          <w:rFonts w:ascii="Times New Roman" w:cs="Times New Roman" w:eastAsia="Times New Roman" w:hAnsi="Times New Roman"/>
          <w:sz w:val="16"/>
          <w:szCs w:val="16"/>
          <w:i w:val="1"/>
          <w:iCs w:val="1"/>
          <w:color w:val="auto"/>
        </w:rPr>
      </w:pPr>
    </w:p>
    <w:p>
      <w:pPr>
        <w:ind w:left="554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2"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auto"/>
        </w:rPr>
        <w:t>Interim Clinical Data</w:t>
      </w:r>
    </w:p>
    <w:p>
      <w:pPr>
        <w:spacing w:after="0" w:line="235"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6"/>
          <w:szCs w:val="16"/>
          <w:color w:val="auto"/>
        </w:rPr>
        <w:t>In September 2024, we announced interim clinical data for RLY-2608, which were based on an August 12, 2024 data cut-off date, or the September 2024 Data, and in December 2024, we announced updated interim clinical data for RLY-2608, which were based on a November 4, 2024 data cut-off date, or the December 2024 Data.</w:t>
      </w:r>
    </w:p>
    <w:p>
      <w:pPr>
        <w:spacing w:after="0" w:line="16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The September 2024 Data showed that among patients with PI3Kα-mutated, HR+/HER2- metastatic breast cancer who received our recommended Phase 2 dose, or RP2D, of 600mg twice daily, or BID, and who did not have a PTEN or AKT co-mutation, the median progression free survival, or PFS, was 9.2 months and the objective response rate, or ORR, was 33% across all mutations and 53% in patients with kinase mutations. Additionally, this interim clinical data showed that RLY-2608 in combination with fulvestrant was generally well tolerated in the patients treated across all doses as of the August 12, 2024 data cut-off date. The overall tolerability profile consisted of mostly low-grade treatment-related adverse events, or TRAEs, that were manageable and reversible, and safety outcomes were generally as expected across dose levels based on exposure and consistent with mutant-selective PI3Kα inhibition.</w:t>
      </w:r>
    </w:p>
    <w:p>
      <w:pPr>
        <w:spacing w:after="0" w:line="18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We presented the December 2024 Data at the San Antonio Breast Cancer Symposium 2024. As of the November 4, 2024 data cut-off date, the RLY-2608 and fulvestrant combination arm of the study had enrolled 118 patients with PI3Kα-mutated, HR+, HER2- locally advanced or metastatic breast cancer across all doses in both the dose escalation and dose expansion portions of the study, including 64 patients at the RP2D. Among these 64 patients, 31 had a kinase mutation and 33 had a non-kinase mutation. Twelve patients also had a PTEN or AKT co-mutation and were therefore excluded from the efficacy analysis, consistent with the planned pivotal population. All patients in the RLY-2608 and fulvestrant combination arm across doses had received a significant level of prior therapy in the advanced setting, including at least one prior endocrine therapy and at least one prior CDK4/6 inhibitor.</w:t>
      </w:r>
    </w:p>
    <w:p>
      <w:pPr>
        <w:spacing w:after="0" w:line="184"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Among the 52 patients in the RLY-2608 and fulvestrant combination arm who received the RP2D and did not have a PTEN or AKT co-mutation, as of the November 4, 2024 data cut-off date:</w:t>
      </w:r>
    </w:p>
    <w:p>
      <w:pPr>
        <w:spacing w:after="0" w:line="16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median PFS was 9.2 months for all patients and 11.4 months for second line patients;</w:t>
      </w:r>
    </w:p>
    <w:p>
      <w:pPr>
        <w:spacing w:after="0" w:line="234"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oMedian PFS was 11.4 months for patients with kinase mutations;</w:t>
      </w:r>
    </w:p>
    <w:p>
      <w:pPr>
        <w:spacing w:after="0" w:line="234" w:lineRule="exact"/>
        <w:rPr>
          <w:rFonts w:ascii="Times New Roman" w:cs="Times New Roman" w:eastAsia="Times New Roman" w:hAnsi="Times New Roman"/>
          <w:sz w:val="16"/>
          <w:szCs w:val="16"/>
          <w:color w:val="auto"/>
        </w:rPr>
      </w:pPr>
    </w:p>
    <w:p>
      <w:pPr>
        <w:ind w:left="1020" w:right="500" w:hanging="503"/>
        <w:spacing w:after="0" w:line="298" w:lineRule="auto"/>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benefit rate, or CBR, was 67% across all patients (32 of 48 CBR-evaluable patients; CBR defined as the proportion of patients with complete response, partial response or stable disease for at least 24 weeks);</w:t>
      </w:r>
    </w:p>
    <w:p>
      <w:pPr>
        <w:spacing w:after="0" w:line="16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Among the 31 patients with measurable disease, 12 achieved a partial response, or PR (39% confirmed ORR);</w:t>
      </w:r>
    </w:p>
    <w:p>
      <w:pPr>
        <w:spacing w:after="0" w:line="234"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oNearly three quarters of patients experienced tumor reductions (74%; n=23);</w:t>
      </w:r>
    </w:p>
    <w:p>
      <w:pPr>
        <w:spacing w:after="0" w:line="23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Among the 15 patients with measurable disease who had a kinase mutation, two thirds achieved a PR (67% confirmed ORR; n=10); and</w:t>
      </w:r>
    </w:p>
    <w:p>
      <w:pPr>
        <w:spacing w:after="0" w:line="23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Median follow-up was 9.5 months.</w:t>
      </w:r>
    </w:p>
    <w:p>
      <w:pPr>
        <w:spacing w:after="0" w:line="23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RLY-2608 in combination with fulvestrant was generally well tolerated in the 118 patients treated across all doses as of the November 4, 2024 data cut-off date. The overall tolerability profile consisted of mostly low-grade TRAEs that were manageable and reversible. Safety outcomes were generally as expected across dose levels based on exposure and consistent with mutant-selective PI3Kα inhibition. Among the 64 patients who received the RP2D, as of the November 4, 2024 data cut-off date:</w:t>
      </w:r>
    </w:p>
    <w:p>
      <w:pPr>
        <w:spacing w:after="0" w:line="17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low rate of TRAE-related dose modifications allowed for 94% median dose intensity;</w:t>
      </w:r>
    </w:p>
    <w:p>
      <w:pPr>
        <w:spacing w:after="0" w:line="23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Only two patients discontinued treatment due to TRAEs (Grade 1 pruritis; Grade 1 nausea, loss of appetite);</w:t>
      </w:r>
    </w:p>
    <w:p>
      <w:pPr>
        <w:spacing w:after="0" w:line="23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majority of hyperglycemia was Grade 1; only two patients (3%) experienced Grade 3 hyperglycemia; no Grade 4-5 hyperglycemia; and</w:t>
      </w:r>
    </w:p>
    <w:p>
      <w:pPr>
        <w:spacing w:after="0" w:line="23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Only 31% of patients experienced a Grade 3 TRAE; no Grade 4-5 TRAEs.</w:t>
      </w:r>
    </w:p>
    <w:p>
      <w:pPr>
        <w:spacing w:after="0" w:line="235"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We believe that, overall, while the interim clinical data from the ReDiscover Trial disclosed to date are preliminary, the data suggest differentiated interim efficacy signals in the patient population defined above, and support selective target engagement across doses and mutation types with an encouraging interim safety and tolerability profile.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i w:val="1"/>
          <w:iCs w:val="1"/>
          <w:color w:val="auto"/>
        </w:rPr>
        <w:t>Other Pipeline Programs</w:t>
      </w:r>
    </w:p>
    <w:p>
      <w:pPr>
        <w:spacing w:after="0" w:line="23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In addition to our lead product candidate, we are advancing additional programs across both precision oncology and genetic diseases. As with RLY-2608, our precision oncology programs leverage insights into protein conformational dynamics to address high-value, genetically validated oncogenes that previously have been intractable to, or inadequately addressed by, conventional drug-discovery approaches. With respect to our genetic disease programs, we are working to address genetically validated targets in monogenic diseases where genetic alterations lead to disease-causing defects in protein conformational dynamics. In June 2024, we announced three new programs, including two genetic disease programs to address clinically and commercially validated targets in vascular malformations and Fabry disease, respectively, and an NRAS-selective inhibitor for NRAS-mutated solid tumors. We also have four additional active discovery stage programs across both precision oncology and genetic diseases.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Vascular malformations</w:t>
      </w:r>
    </w:p>
    <w:p>
      <w:pPr>
        <w:spacing w:after="0" w:line="23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Vascular malformations are a series of rare syndromes that occur due to atypical development of lymphatic and/or blood vessels, which enlarge or form tangles, pockets or shunting vessels that cause abnormal blood flow. They can occur in different parts of the body, vary in severity and may cause symptoms such as pain, swelling, skin discoloration, limb asymmetry and functional limits. The malformations typically grow over time, and, depending on what vessel(s) are involved, can become life-threatening. The primary vessel(s) involved determine the sub-type of malformation, which can include venous malformations, cerebral cavernous malformations, lymphatic malformations and PIK3CA-related overgrowth spectrum.</w:t>
      </w:r>
    </w:p>
    <w:p>
      <w:pPr>
        <w:spacing w:after="0" w:line="186"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6"/>
          <w:szCs w:val="16"/>
          <w:color w:val="auto"/>
        </w:rPr>
        <w:t>PI3Kα is the most common driver mutation among these sub-types, causing an estimated 55 percent of these vascular malformations. In the U.S., an estimated 170,000 people have one of these sub-types driven by a PI3Kα mutation. A mutant selective PI3Kα inhibitor provides the opportunity for greater target coverage, leading to the potential for improved efficacy and better chronic tolerability. In connection with this program, we intend to initiate clinical development of RLY-2608 in vascular malformations.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Fabry disease</w:t>
      </w:r>
    </w:p>
    <w:p>
      <w:pPr>
        <w:spacing w:after="0" w:line="23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color w:val="auto"/>
        </w:rPr>
        <w:t>In Fabry disease, a defective gene, or GLA, prohibits the body from producing enough healthy versions of an enzyme called alpha-galactosidase A, or αGal, which is responsible for breaking down globotriaosylceramide, or Gb3, a fat-like substance. As a result, harmful levels of Gb3 accumulate in blood cells and tissues throughout the body, which can lead to a range of symptoms, including potentially life-threatening ones such as kidney failure, heart failure and stroke. In the U.S., approximately 8,000 people are estimated to have this rare, progressive genetic disorder.</w:t>
      </w:r>
    </w:p>
    <w:p>
      <w:pPr>
        <w:spacing w:after="0" w:line="18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We have created what we believe to be the first investigational non-inhibitory chaperone for Fabry disease, which is designed to stabilize the αGal protein without inhibiting its activity, thus enabling greater Gb3 clearance across organs. A non-inhibitory chaperone could potentially serve as a chronic treatment option for people with Fabry disease, either as a monotherapy or in combination with enzyme replacement therapy.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NRAS-selective inhibitor (RLY-8161)</w:t>
      </w:r>
    </w:p>
    <w:p>
      <w:pPr>
        <w:spacing w:after="0" w:line="237" w:lineRule="exact"/>
        <w:rPr>
          <w:sz w:val="20"/>
          <w:szCs w:val="20"/>
          <w:color w:val="auto"/>
        </w:rPr>
      </w:pPr>
    </w:p>
    <w:p>
      <w:pPr>
        <w:jc w:val="both"/>
        <w:ind w:right="120"/>
        <w:spacing w:after="0" w:line="275" w:lineRule="auto"/>
        <w:rPr>
          <w:sz w:val="20"/>
          <w:szCs w:val="20"/>
          <w:color w:val="auto"/>
        </w:rPr>
      </w:pPr>
      <w:r>
        <w:rPr>
          <w:rFonts w:ascii="Times New Roman" w:cs="Times New Roman" w:eastAsia="Times New Roman" w:hAnsi="Times New Roman"/>
          <w:sz w:val="16"/>
          <w:szCs w:val="16"/>
          <w:color w:val="auto"/>
        </w:rPr>
        <w:t>NRAS is a known oncogene driver that belongs to the RAS family of signaling proteins. It plays an important role in cell division, cell differentiation and programmed cell death. The NRAS protein is responsible for converting GTP to GDP and is turned “on” when it binds to GTP and “off” once the GTP is converted to GDP. When mutated, the NRAS gene creates NRAS proteins that are always “on”, which makes cells grow and divide uncontrollably and can lead to a number of cancers, including melanoma, colorectal and non-small-cell lung. In the U.S., an estimated 28,000 people are diagnosed each year with mutated NRAS solid tumors.</w:t>
      </w:r>
    </w:p>
    <w:p>
      <w:pPr>
        <w:spacing w:after="0" w:line="18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Existing approved and in-development treatments either target all RAS proteins (pan-RAS) or target other downstream parts of the pathway such as RAF and MEK, which can lead to significant off-target toxicity and limits efficacy. We have created what we believe to be the first NRAS-selective inhibitor, RLY-8161, which has been designed to address the liabilities of current pan-RAS inhibitors by only binding to NRAS, while sparing KRAS and HRAS.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Partnered Programs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Lirafugratinib (RLY-4008)</w:t>
      </w:r>
    </w:p>
    <w:p>
      <w:pPr>
        <w:spacing w:after="0" w:line="237"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color w:val="auto"/>
        </w:rPr>
        <w:t>In December 2024, we entered into the Elevar Agreement with Elevar, pursuant to which Elevar was granted global development and commercialization rights for lirafugratinib, a potent, selective and oral small molecule inhibitor of FGFR2, a receptor tyrosine kinase that is frequently altered in certain cancers. Under the terms of the Elevar Agreement, Elevar assumed full responsibility for all further development activities, including submission of any new drug applications, or NDAs, all subsequent clinical development, and global commercialization for FGFR2-driven cholangiocarcinoma, or CCA and FGFR2-altered other solid tumors.</w:t>
      </w:r>
    </w:p>
    <w:p>
      <w:pPr>
        <w:spacing w:after="0" w:line="183"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FGFR2 is one of four members of the FGFR family, a set of closely related proteins with highly similar protein sequences and properties. Lirafugratinib is being evaluated in the ReFocus Trial, which is a two-part global trial in patients with FGFR2-altered tumors. The first part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14" w:name="page15"/>
    <w:bookmarkEnd w:id="14"/>
    <w:p>
      <w:pPr>
        <w:ind w:right="100"/>
        <w:spacing w:after="0" w:line="275" w:lineRule="auto"/>
        <w:rPr>
          <w:sz w:val="20"/>
          <w:szCs w:val="20"/>
          <w:color w:val="auto"/>
        </w:rPr>
      </w:pPr>
      <w:r>
        <w:rPr>
          <w:rFonts w:ascii="Times New Roman" w:cs="Times New Roman" w:eastAsia="Times New Roman" w:hAnsi="Times New Roman"/>
          <w:sz w:val="16"/>
          <w:szCs w:val="16"/>
          <w:color w:val="auto"/>
        </w:rPr>
        <w:t>of the trial, or the dose escalation, is complete, and the second part of the trial, or the dose expansion, is ongoing at a 70 mg once daily, or QD, recommended Phase 2 dose. In 2024, we closed enrollment for the ReFocus Trial to allow the relevant data to mature and inform our future clinical development decisions. We also met with the U.S. Food and Drug Administration, or the FDA, in 2024 regarding the lirafugratinib regulatory path, at which meeting the FDA suggested that we first file a NDA in CCA followed by a tumor agnostic supplemental NDA for FGFR2 fusions with data from more patients and more follow up.</w:t>
      </w:r>
    </w:p>
    <w:p>
      <w:pPr>
        <w:spacing w:after="0" w:line="18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In October 2024, we presented updated interim FGFR2 fusion tumor agnostic clinical data at the AACR-NCI-EORTC International Conference on Molecular Targets and Cancer Therapeutics. We believe that while these interim clinical data from the ReFocus Trial are preliminary, the data show interim efficacy signals in the CCA pan-FGFR, or FGFRi, treatment-naïve, FGFR2-fusion CCA cohort and non-CCA solid tumor expansion cohorts and further support our hypothesis that selective inhibition of FGFR2 can improve the treatment for patients with FGFR2-driven tumors. Additionally, the safety analysis from the interim clinical data that we previously disclosed for the CCA cohorts and tumor agnostic cohorts has been generally consistent. Most treatment emergent adverse events were expected FGFR2 on-target, low-grade, monitorable, manageable and largely reversible.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3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The biotechnology and pharmaceutical industries are characterized by rapid innovation of new technologies, fierce competition and strong defense of intellectual property. While we believe that our platform and our knowledge, experience and scientific resources provide us with competitive advantages, we face competition from major pharmaceutical and biotechnology companies, academic institutions, governmental agencies and public and private research institutions, among others.</w:t>
      </w:r>
    </w:p>
    <w:p>
      <w:pPr>
        <w:spacing w:after="0" w:line="17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We compete in the segments of the pharmaceutical, biotechnology, and other related markets that address experimentally and computationally driven structure-based drug design in cancer and genetic diseases. There are other companies focusing on structure-based drug design to develop therapies in the fields of cancer and other diseases. These companies include divisions of large pharmaceutical companies and biotechnology companies of various sizes. Any product candidates that we successfully develop and commercialize will compete with currently approved therapies and new therapies that may become available in the future from segments of the pharmaceutical, biotechnology and other related markets that pursue precision medicines. Key product features that would affect our ability to effectively compete with other therapeutics include the efficacy, safety and convenience of our products.</w:t>
      </w:r>
    </w:p>
    <w:p>
      <w:pPr>
        <w:spacing w:after="0" w:line="18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We believe principal competitive factors to our business include, among other things, the rich protein structural data sets we are able to generate, the power and accuracy of our computations and predictions, ability to integrate experimental and computational capabilities, ability to successfully transition research programs into clinical development, ability to raise capital, and the scalability of the platform, pipeline, and business.</w:t>
      </w:r>
    </w:p>
    <w:p>
      <w:pPr>
        <w:spacing w:after="0" w:line="177"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6"/>
          <w:szCs w:val="16"/>
          <w:color w:val="auto"/>
        </w:rPr>
        <w:t>While there are many pharmaceutical and biotechnology companies that use some of the same tools that we use in our platform, we believe we compete favorably on the basis of these factors. The effort and investment required to develop a highly integrated experimental and computational platform similar to ours will hinder new entrants that are unable to invest the necessary capital and time and lack the breadth and depth of technical expertise required to develop competing capabilities.</w:t>
      </w:r>
    </w:p>
    <w:p>
      <w:pPr>
        <w:spacing w:after="0" w:line="177"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6"/>
          <w:szCs w:val="16"/>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7"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6"/>
          <w:szCs w:val="16"/>
          <w:color w:val="auto"/>
        </w:rPr>
        <w:t>In addition, we will need to develop our product candidates in collaboration with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7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any of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color w:val="auto"/>
        </w:rPr>
        <w:t>developing new therapeutics, and we cannot predict what the standard of care will be as our product candidates progress through clinical development.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RLY-2608</w:t>
      </w:r>
    </w:p>
    <w:p>
      <w:pPr>
        <w:spacing w:after="0" w:line="23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We expect that RLY-2608 will compete against approved medicines, Piqray (alpelisib), a non-selective PI3Kα inhibitor marketed by Novartis for the treatment of PIK3CA mutated HR+, HER2- advanced or metastatic breast cancer, Truqap (capivasertib), an AKT inhibitor marketed by AstraZeneca for the treatment of metastatic breast cancer with a PIK3CA, AKT1 or PTEN alteration, and Itovebi (inavolisib), a non-selective PI3Kα inhibitor marketed by Roche Holding AG through its subsidiary Genentech for the treatment of PIK3CA mutated HR+, HER2- advanced or metastatic breast cancer. We are aware of other companies developing therapeutics that target both wild-type and mutant PI3Kα, including, but not limited to, Celcuity Inc and Totus Medicines. In addition, Scorpion Therapeutics and OnKure have clinical development programs for mutant-selective PI3Kα inhibitors.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Vascular Malformations</w:t>
      </w:r>
    </w:p>
    <w:p>
      <w:pPr>
        <w:spacing w:after="0" w:line="239"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6"/>
          <w:szCs w:val="16"/>
          <w:color w:val="auto"/>
        </w:rPr>
        <w:t>We expect that RLY-2608 will compete against the only approved systemic therapy medicine, Vijoice (alpelisib), a non-selective PI3Kα inhibitor marketed by Novartis for the treatment of PIK3CA-Related Overgrowth Spectrum (PROS), available under accelerated approval. There are no approved agents for any other vascular malformation sub-types.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Fabry Disease</w:t>
      </w:r>
    </w:p>
    <w:p>
      <w:pPr>
        <w:spacing w:after="0" w:line="23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We expect our non-inhibitory chaperone for Fabry disease to compete against Galafold (migalastat), an αGal chaperone marketed by Amicus Therapeutics for the treatment of Fabry disease with an amenable galactosidase alpha gene variant, as well as approved enzyme replacement therapies for Fabry disease including Fabrazyme (agalsidase beta), marketed by Sanofi, Replagal (agalsidase alfa), marketed by Takeda, and Elfabrio (pegunigalsidase alfa-iwxj), marketed by Protalix Biotherapeutics.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NRAS-Selective Inhibitor (RLY-8161)</w:t>
      </w:r>
    </w:p>
    <w:p>
      <w:pPr>
        <w:spacing w:after="0" w:line="23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While there are currently no approved products that selectively target NRAS, there are therapeutic approaches that target other nodes in the RAS/MAPK pathway which we’d expect our NRAS-selective molecule to compete against. This includes pan-RAF and MEK inhibitors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which are often used in combination, such as Braftovi (encorafenib), a BRAF inhibitor indicated for use in combination with Mektovi (binimetinib), a MEK inhibitor, both marketed by Pfizer for the treatment of metastatic melanoma with a BRAF V600E or V600K mutation. Braftovi as a single agent is additionally recommended for use in certain cases of cutaneous melanoma by the National Comprehensive Cancer Network, though has not received regulatory approval. There are also clinical stage pan-RAS molecules in development, including Revolution Medicines RMC-6236.</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Collaborations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Agreements and Strategic Collaborations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Collaboration and License Agreement with D. E. Shaw Research, LLC</w:t>
      </w: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On August 17, 2016, we entered into a Collaboration and License Agreement with D. E. Shaw Research, which has since been amended to extend the term and otherwise modify certain of the provisions thereof. We refer to this agreement, as amended and restated from time to time, as the DESRES Agreement. Under the DESRES Agreement, we agreed to collaborate with D. E. Shaw Research to research certain biological targets through the use of D. E. Shaw Research computational modeling capabilities focused on analysis of protein motion, with an aim to develop and commercialize compounds and products directed to such targets. After completing the computational modeling with D. E. Shaw Research and naming a compound development candidate, we develop and commercialize such compounds and products. D. E. Shaw Research has no involvement with the clinical development or potential commercialization of these compounds and products, regardless of any co-ownership rights pursuant to the terms of the DESRES Agreement, and instead receives solely milestone and royalty payments as described below.</w:t>
      </w:r>
    </w:p>
    <w:p>
      <w:pPr>
        <w:spacing w:after="0" w:line="1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Under the DESRES Agreement, there are three categories of targets: Category 1 Targets, Category 2 Targets and Category 3 Targets. We and D. E. Shaw Research agreed on a list of Category 1 Targets and Category 2 Targets as part of the DESRES Agreement. Category 1 Targets are targets that, among other things, we collaborate on with D. E. Shaw Research, D. E. Shaw Research has exclusivity obligations with respect to, and we may owe royalties on; Category 2 Targets are targets in connection with the potential re-categorization of which into a Category 1 Target, we may, among other things, perform certain non-clinical research and development; and Category 3 Targets are all targets other than Category 1 Targets and Category 2 Targets. There are mechanisms for re-categorizing targets, and we and D. E. Shaw Research have re-categorized a number of targets since we entered into the collaboration. Our rights and obligations, and D. E. Shaw Research’s rights and obligations, with respect to targets vary by the category of each target. However, the parties only conduct collaborative activities together for Category 1 Targets, and we are limited to a certain number of Category 1 Targets in any collaboration year. The sum of the number of Category 1 Targets and the number of Category 2 Targets is capped at twenty. The targets associated with all of our current programs in clinical development are Category 1 Targets under the DESRES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16" w:name="page17"/>
    <w:bookmarkEnd w:id="16"/>
    <w:p>
      <w:pPr>
        <w:ind w:right="180"/>
        <w:spacing w:after="0" w:line="275" w:lineRule="auto"/>
        <w:rPr>
          <w:sz w:val="20"/>
          <w:szCs w:val="20"/>
          <w:color w:val="auto"/>
        </w:rPr>
      </w:pPr>
      <w:r>
        <w:rPr>
          <w:rFonts w:ascii="Times New Roman" w:cs="Times New Roman" w:eastAsia="Times New Roman" w:hAnsi="Times New Roman"/>
          <w:sz w:val="16"/>
          <w:szCs w:val="16"/>
          <w:color w:val="auto"/>
        </w:rPr>
        <w:t>Work product that we jointly develop with D. E. Shaw Research is initially co-owned with them. We have the right to have patents claiming certain product candidates assigned to us upon issuance of those patents. For each Category 1 Target, there is a limit to the number of core compounds and total compounds, including derivatives of core compounds, that can be designated as solely owned by us, subject to certain adjustments. Each of we and D. E. Shaw Research grants to the other a perpetual, irrevocable, non-exclusive license for jointly held intellectual property, subject to certain exclusions.</w:t>
      </w:r>
    </w:p>
    <w:p>
      <w:pPr>
        <w:spacing w:after="0" w:line="18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During the initial research term, which will end on August 16, 2025, D. E. Shaw Research will not, and will cause its subsidiaries not to, research any Category 1 Target (or grant certain rights with respect to such target) with the aim of pursuing any compound designed to interact with or bind to such Category 1 Target, subject to some exceptions. Following the end of the initial research term, D. E. Shaw Research will be similarly restricted with respect to any target that was a Category 1 Target at the end of the initial research term, subject to some exceptions. However, D. E. Shaw Research will not be bound by such exclusivity provisions with respect to a particular Category 1 Target if we, and parties acting on our behalf, stop using commercially reasonable efforts to research, develop or commercialize any products against such Category 1 Target. Further, D. E. Shaw Research will be released from such exclusivity obligations with respect to a particular Category 1 Target if, at least 24 months after the end of the initial research term, D. E. Shaw Research informs us that D. E. Shaw Research will forgo all future payments with respect to such Category 1 Target.</w:t>
      </w:r>
    </w:p>
    <w:p>
      <w:pPr>
        <w:spacing w:after="0" w:line="19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During the initial research term, neither D. E. Shaw Research nor we will, and we will each cause our subsidiaries not to, research a Category 2 Target (or grant certain rights with respect to such target) with the aim of pursuing any compound designed to interact with or bind to such Category 2 Target, subject to some exceptions. These exclusivity restrictions do not extend past the initial research term.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is no exclusivity with respect to Category 3 Targets.</w:t>
      </w:r>
    </w:p>
    <w:p>
      <w:pPr>
        <w:spacing w:after="0" w:line="235"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Through December 31, 2024, we have made cash payments to D. E. Shaw Research totaling $54.3 million in the aggregate. On a product-by-product basis, we have also agreed to pay D. E. Shaw Research milestone payments upon the achievement of certain development and regulatory milestone events for products we develop under the DESRES Agreement that are directed to a Category 1 Target or any target that was a Category 1 Target. Our PI3K and FGFR2 programs are each directed to Category 1 Targets. Such payments for achievement of development and regulatory milestones total up to $7.3 million in the aggregate for each of the first three products we develop, and up to $6.3 million in the aggregate for each product we develop after the first three.</w:t>
      </w:r>
    </w:p>
    <w:p>
      <w:pPr>
        <w:spacing w:after="0" w:line="18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Additionally, we have agreed to pay D. E. Shaw Research, on a product-by-product basis, with respect to products directed to Category 1 Targets or any target that was a Category 1 Target, royalties in the low single digits on worldwide net sales of products that we commercialize directed to the targets selected for development under the DESRES Agreement, subject to certain reductions. Royalties are payable on a product-by-product and country-by-country basis until the later of twelve years after first commercial sale in such country or the expiration of all applicable regulatory exclusivities in such country. On a product-by-product basis, we also agreed to pay D. E. Shaw Research sales milestone payments up to $36.0 million in the aggregate based on sales of each product directed to a Category 1 Target or any target that was a Category 1 Target. Further, if we enter into transactions granting third parties rights to a Category 1 Target or a compound or product directed to a Category 1 Target or any target that was a Category 1 Target such as our licensing arrangement with Elevar for lirafugratinib discussed below, but subject to certain exclusions, we will share with D. E. Shaw Research a percentage of the proceeds of such transactions ranging from the low- to high-single digits, depending on the stage of development of compounds or products directed to such target at the time we enter into such transaction. We also initially agreed to pay D. E. Shaw Research an annual collaboration fee of $7.9 million in August of each year during the initial research term, and such fee was increased by mutual agreement of the parties to $9.9 million in May of 2021. Such increased fee was payable each year between 2021 and 2025.</w:t>
      </w:r>
    </w:p>
    <w:p>
      <w:pPr>
        <w:spacing w:after="0" w:line="19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Unless earlier terminated, the DESRES Agreement will continue until the end of the initial research term on August 16, 2025 and thereafter on a target-by-target basis until all payment obligations have expired. D. E. Shaw Research has the right to terminate the DESRES Agreement due to non-payment. We and D. E. Shaw Research each have the right to terminate the DESRES Agreement due to an uncured material breach by the other party, or in the event the other party becomes insolvent or enters into bankruptcy or dissolution proceedings. Our payment obligations to D. E. Shaw Research survive termination of the DESRES Agreement. If D. E. Shaw Research terminates the DESRES Agreement, the exclusivity obligations will terminate. If we terminate the DESRES Agreement, D. E. Shaw Research remains bound by its exclusivity obligations with respect to certain targets until, on a target-by-target basis, there are no further payment obligations due to D. E. Shaw Research in respect of such targets.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Exclusive Global Licensing Agreement with Elevar</w:t>
      </w:r>
    </w:p>
    <w:p>
      <w:pPr>
        <w:spacing w:after="0" w:line="237"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6"/>
          <w:szCs w:val="16"/>
          <w:color w:val="auto"/>
        </w:rPr>
        <w:t>On December 2, 2024, we entered into the Elevar Agreement. Pursuant to the Elevar Agreement, Elevar was granted global development and commercialization rights for lirafugratinib. Elevar is responsible for all further development activities and global commercialization for lirafugratinib in FGFR2-driven CCA and FGFR2-altered other solid tumors.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Collaboration and License Agreement with Genentech</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On December 11, 2020, we entered into a Collaboration and License Agreement with Genentech, Inc. and F. Hoffmann-La Roche Ltd, collectively referred to as Genentech, which was amended on February 2, 2022, to modify certain terms thereof. We refer to this agreement, as amended from time to time, as the Genentech Agreement. Pursuant to the Genentech Agreement, we and Genentech</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17" w:name="page18"/>
    <w:bookmarkEnd w:id="17"/>
    <w:p>
      <w:pPr>
        <w:ind w:right="480"/>
        <w:spacing w:after="0" w:line="298" w:lineRule="auto"/>
        <w:rPr>
          <w:sz w:val="20"/>
          <w:szCs w:val="20"/>
          <w:color w:val="auto"/>
        </w:rPr>
      </w:pPr>
      <w:r>
        <w:rPr>
          <w:rFonts w:ascii="Times New Roman" w:cs="Times New Roman" w:eastAsia="Times New Roman" w:hAnsi="Times New Roman"/>
          <w:sz w:val="16"/>
          <w:szCs w:val="16"/>
          <w:color w:val="auto"/>
        </w:rPr>
        <w:t>collaborated on the development and commercialization of RLY-1971, our inhibitor of SRC homology region 2 domain containing phosphatase 2 (now referred to as migoprotafib, or GDC-1971), or the Genentech Agreement.</w:t>
      </w:r>
    </w:p>
    <w:p>
      <w:pPr>
        <w:spacing w:after="0" w:line="164"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Under the terms of the Genentech Agreement, we received $75.0 million in an upfront payment in 2021, as well as $45.0 million in milestone payments from Genentech as of December 31, 2024. Genentech elected to terminate the Genentech Agreement without cause, effective as of January 7, 2025. As a result of the termination of the Genentech Agreement, the parties no longer have any development or commercialization obligations and the licenses that we granted to Genentech pursuant to the Genentech Agreement ceased to be in effect. As of the termination date, we are no longer entitled to receive any further milestones or other payments under the Genentech Agreement. We will not continue development of migoprotafib.</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Collaborations</w:t>
      </w:r>
    </w:p>
    <w:p>
      <w:pPr>
        <w:spacing w:after="0" w:line="23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While we have invested extensively in our in-house capabilities and know-how, we selectively work with key collaborators and field experts on certain emerging experimental and computational tools and techniques we use in our drug discovery process. Most of our experimental collaborations are focused on the technologies we use to visualize protein structure at the atomic level.</w:t>
      </w:r>
    </w:p>
    <w:p>
      <w:pPr>
        <w:spacing w:after="0" w:line="177"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In June 2024, we entered into a global clinical trial collaboration with Pfizer for the development of RLY-2608 in combination with fulvestrant and atirmociclib, Pfizer's investigative selective-CDK4 inhibitor, in patients with PI3Kα-mutated, HR+, HER2- metastatic breast cancer.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23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We seek to protect the intellectual property and proprietary technology that we consider important to our business, including by pursuing patent applications that cover our product candidates and methods of using the same, as well as any other relevant inventions and improvements that we believe to be commercially important to the development of our business. We also rely on trade secrets, know-how and continuing technological innovation to develop and maintain our proprietary and intellectual property position. Our commercial success depends, in part, on our ability to obtain, maintain, enforce and protect our intellectual property and other proprietary rights for the technology, inventions and improvements we consider important to our business, and to defend any patents we may own or in-license in the future, prevent others from infringing any patents we may own or in-license in the future, preserve the confidentiality of our trade secrets, and operate without infringing, misappropriating or otherwise violating the valid and enforceable patents and proprietary rights of third parties.</w:t>
      </w:r>
    </w:p>
    <w:p>
      <w:pPr>
        <w:spacing w:after="0" w:line="19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As with other biotechnology and pharmaceutical companies, our ability to maintain and solidify our proprietary and intellectual property position for our product candidates and technologies will depend on our success in obtaining effective patent claims and enforcing those claims if granted. However, our pending provisional and PCT patent applications, and any patent applications that we may in the future file or license from third parties, may not result in the issuance of patents and any issued patents we may obtain do not guarantee us the right to practice our technology or commercialize our product candidates. We also cannot predict the breadth of claims that may be allowed or enforced in any patents we may own or in-license in the future. Any issued patents that we currently own or may own or in-license in the future may be challenged, invalidated, circumvented or have the scope of their claims narrowed.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the protection such patent would afford the respective product and any competitive advantage such patent may provide.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The term of individual patents depends upon the date of filing of the patent application, the date of patent issuance and the legal term of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United States Patent and Trademark Office, or USPTO, in examining and granting a patent, or may be shortened if a patent is terminally disclaimed over an earlier expiring patent. The term of a patent claiming a new drug product may also be eligible for a limited patent term extension when FDA approval is granted, provided statutory and regulatory requirements are met.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The restoration period cannot be longer than five years, and the restoration period may not extend the patent term beyond 14 years from the date of FDA approval.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 In the future, if our product candidates receive approval by the FDA, we expect to apply for patent term extensions on one issued patent covering each of those products, depending upon the length of the clinical studies for each product and other factors. There can be no assurance that patents will issue from our current or future pending patent applications, or that we will benefit from any patent term extension or favorable adjustments to the terms of any patents we may own or in-license in the future. In addition,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color w:val="auto"/>
        </w:rPr>
        <w:t>enforceability of the patent. The patent term may be inadequate to protect our competitive position on our products for an adequate amount of time.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RLY-2608</w:t>
      </w:r>
    </w:p>
    <w:p>
      <w:pPr>
        <w:spacing w:after="0" w:line="23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As of December 31, 2024, we co-owned with D.E. Shaw Research pending U.S. and foreign patent applications, covering our lead PI3K program, which are directed to the composition of matter for the drug candidates of the program, including RLY-2608, analogs thereof, as well as methods of making and using these compounds. Any U.S. or foreign patents that may issue from this patent family, if granted and all appropriate maintenance fees paid, would be scheduled to expire in 2041, excluding any additional term for patent term adjustment or patent term extension, if applicable. As of the date of this Annual Report on Form 10-K, we co-own with D.E. Shaw Research granted patents in Japan and the United States covering the composition of matter of RLY-2608.</w:t>
      </w:r>
    </w:p>
    <w:p>
      <w:pPr>
        <w:spacing w:after="0" w:line="18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As of December 31, 2024, we wholly owned pending U.S. and foreign patent applications relating to RLY-2608 isotopolog composition of matter, methods of treatment, solid forms and methods of manufacture. Any U.S. or foreign patents that may issue from this patent family, if granted and all appropriate maintenance fees paid, would be scheduled to expire in 2042, excluding any additional term for patent term adjustment or patent term extension, if applicable.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Lirafugratinib (RLY-4008)</w:t>
      </w:r>
    </w:p>
    <w:p>
      <w:pPr>
        <w:spacing w:after="0" w:line="23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As of December 31, 2024, we co-owned with D. E. Shaw Research pending U.S. and foreign patent applications which relate to our FGFR2 inhibitors. Any U.S. or foreign patents that may issue from this patent family, if granted and all appropriate maintenance fees paid, would be scheduled to expire in 2040, excluding any additional term for patent term adjustment or patent term extension, if applicable. As of the date of this Annual Report on Form 10-K, we own granted patents in Eurasia, Europe, Taiwan, Japan, Hong Kong, and the United States covering the composition of matter of lirafugratinib.</w:t>
      </w:r>
    </w:p>
    <w:p>
      <w:pPr>
        <w:spacing w:after="0" w:line="183"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As of December 31, 2024, we wholly owned pending U.S. and foreign patent applications relating to lirafugratinib salts composition of matter, methods of treatment, solid forms and methods of manufacture. Any U.S. or foreign patents that may issue from this patent family, if granted and all appropriate maintenance fees paid, would be scheduled to expire in 2041, excluding any additional term for patent term adjustment or patent term extension, if applicable. As of the date of this Annual Report on Form 10-K, we own a granted patent in the United States covering solid forms of lirafugratinib.</w:t>
      </w:r>
    </w:p>
    <w:p>
      <w:pPr>
        <w:spacing w:after="0" w:line="183"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6"/>
          <w:szCs w:val="16"/>
          <w:color w:val="auto"/>
        </w:rPr>
        <w:t>As of December 31, 2024, Elevar Therapeutics, as the exclusive licensee of our FGFR2 inhibitor program, has the sole right and responsibility for the prosecution, maintenance, and enforcement of all of our solely-owned and jointly-owned (with D.E. Shaw Research) patents and patent applications directed to our FGFR2 inhibitor program. We retain certain reversion rights in the event Elevar terminates its license, or declines to prosecute claims specifically relating to lirafugratinib.</w:t>
      </w:r>
    </w:p>
    <w:p>
      <w:pPr>
        <w:spacing w:after="0" w:line="1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Patent prosecution is a lengthy process, during which the scope of the claims initially submitted for examination by the USPTO or other foreign jurisdiction are often significantly narrowed by the time they issue, if they issue at all. Any U.S. or foreign patent issuing from these provisional, PCT, or foreign patent applications (assuming they are timely converted into non-provisional applications, and such non-provisional applications are granted as issued patents) would be scheduled to expire twenty years from their earliest non-provisional priority filing date, excluding any additional term for patent term adjustment or patent term extension, and assuming national phase entries are timely made based upon the pending PCT application, and payment of all applicable maintenance or annuity fees. Any of our pending PCT patent applications are not eligible to become issued patents until, among other things, we file national stage patent applications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Our provisional patent applications may never result in issued patents and are not eligible to become issued patents until, among other things, we file a non-provisional patent application and/or PCT patent application within 12 months of filing the related provisional patent application. If we do not timely file non-provisional patent applications, we may lose our priority date with respect to our provisional patent applications and any patent protection on the inventions disclosed in our provisional patent applications. While we intend to timely file non-provisional and national stage patent applications relating to our provisional and PCT patent applications, we cannot predict whether any of our current or future patent applications for any of our product candidates or technology, will issue as patents. If we do not successfully obtain patent protection, or, even if we do obtain patent protection, if the scope of the patent protection we, Genentech, or our potential licensors, obtain with respect to any of our product candidates or technology is not sufficiently broad, we will be unable to prevent others from using our technology or from developing or commercializing technology and products similar or identical to ours or other competing products and technologies.</w:t>
      </w:r>
    </w:p>
    <w:p>
      <w:pPr>
        <w:spacing w:after="0" w:line="19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In addition to patent applications, we rely on unpatented trade secrets, know-how and continuing technological innovation to develop and maintain our competitive position. However, trade secrets and confidential know-how are difficult to protect. In particular, we anticipate that with respect to the building of our compound library, our trade secrets and know-how will over time be disseminated within the industry through independent development and public presentations describing the methodology.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consultants, scientific advisors and collaborators. The confidentiality agreements we enter into are designed to protect our proprietary information and the agreements or clauses requiring assignment of inventions to us are designed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19" w:name="page20"/>
    <w:bookmarkEnd w:id="19"/>
    <w:p>
      <w:pPr>
        <w:ind w:right="180"/>
        <w:spacing w:after="0" w:line="269" w:lineRule="auto"/>
        <w:rPr>
          <w:sz w:val="20"/>
          <w:szCs w:val="20"/>
          <w:color w:val="auto"/>
        </w:rPr>
      </w:pPr>
      <w:r>
        <w:rPr>
          <w:rFonts w:ascii="Times New Roman" w:cs="Times New Roman" w:eastAsia="Times New Roman" w:hAnsi="Times New Roman"/>
          <w:sz w:val="16"/>
          <w:szCs w:val="16"/>
          <w:color w:val="auto"/>
        </w:rPr>
        <w:t>to grant us ownership of technologies that are developed through our relationship with the respective counterparty. We cannot guarantee that we will have executed such agreements with all applicable employees and contractors, or that these agreements will afford us adequate protection of our intellectual property and proprietary information rights. In addition, our trade secrets and/or confidential know-how may become known or be independently developed by a third party or misused by any collaborator to whom we disclose such information. These agreements may also be breached, and we may not have an adequate remedy for any such breach.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For more information regarding the risks related to our intellectual property, please see "Risk Factors—Risks Related to our Intellectual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Commercialization</w:t>
      </w:r>
    </w:p>
    <w:p>
      <w:pPr>
        <w:spacing w:after="0" w:line="23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Subject to receiving marketing approvals, we expect to commence commercialization activities by building a focused sales and marketing organization in the United States to sell our products. We believe that such an organization will be able to address the community of oncologists and genetic disease specialists who are the key specialists in treating the patient populations for which our product candidates are being developed. Outside the United States, we expect to enter into distribution and other marketing arrangements with third parties for any of our product candidates that obtain marketing approval.</w:t>
      </w:r>
    </w:p>
    <w:p>
      <w:pPr>
        <w:spacing w:after="0" w:line="183"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6"/>
          <w:szCs w:val="16"/>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Manufacturing</w:t>
      </w:r>
    </w:p>
    <w:p>
      <w:pPr>
        <w:spacing w:after="0" w:line="237"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We do not have any manufacturing facilities or personnel. We currently rely, and expect to continue to rely, on third parties for the manufacture of our product candidates undergoing preclinical testing, as well as for clinical testing and commercial manufacture if our product candidates receive marketing approval.</w:t>
      </w:r>
    </w:p>
    <w:p>
      <w:pPr>
        <w:spacing w:after="0" w:line="16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All of our drug candidates are small molecules and are manufactured in synthetic processes from available or custom-made starting materials. The chemistry appears amenable to scale-up and we rely on the specialized equipment of third parties to manufacture our product candidates. We expect to continue to develop product candidates that can be produced cost-effectively at contract manufacturing facilities.</w:t>
      </w:r>
    </w:p>
    <w:p>
      <w:pPr>
        <w:spacing w:after="0" w:line="177"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Governmental Regulation</w:t>
      </w:r>
    </w:p>
    <w:p>
      <w:pPr>
        <w:spacing w:after="0" w:line="23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and contract manufacturers, are and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9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 the United States, where we are initially focusing our drug development, the FDA regulates drug products under the Federal Food, Drug, and Cosmetic Act, or FD&amp;C Act, as amended, its implementing regulations and other laws.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14" w:right="419" w:bottom="1440" w:gutter="0" w:footer="0" w:header="0"/>
        </w:sectPr>
      </w:pPr>
    </w:p>
    <w:bookmarkStart w:id="20" w:name="page21"/>
    <w:bookmarkEnd w:id="20"/>
    <w:p>
      <w:pPr>
        <w:ind w:right="520"/>
        <w:spacing w:after="0" w:line="298" w:lineRule="auto"/>
        <w:rPr>
          <w:sz w:val="20"/>
          <w:szCs w:val="20"/>
          <w:color w:val="auto"/>
        </w:rPr>
      </w:pPr>
      <w:r>
        <w:rPr>
          <w:rFonts w:ascii="Times New Roman" w:cs="Times New Roman" w:eastAsia="Times New Roman" w:hAnsi="Times New Roman"/>
          <w:sz w:val="16"/>
          <w:szCs w:val="16"/>
          <w:color w:val="auto"/>
        </w:rPr>
        <w:t>The process required by the FDA before our product candidates are approved as drugs for therapeutic indications and may be marketed in the United States generally involves the following:</w:t>
      </w:r>
    </w:p>
    <w:p>
      <w:pPr>
        <w:spacing w:after="0" w:line="164" w:lineRule="exact"/>
        <w:rPr>
          <w:sz w:val="20"/>
          <w:szCs w:val="20"/>
          <w:color w:val="auto"/>
        </w:rPr>
      </w:pPr>
    </w:p>
    <w:p>
      <w:pPr>
        <w:ind w:left="1020" w:right="480" w:hanging="503"/>
        <w:spacing w:after="0" w:line="298" w:lineRule="auto"/>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extensive preclinical studies in accordance with applicable regulations, including studies conducted in accordance with good laboratory practice, or GLP, requirements;</w:t>
      </w:r>
    </w:p>
    <w:p>
      <w:pPr>
        <w:spacing w:after="0" w:line="164" w:lineRule="exact"/>
        <w:rPr>
          <w:rFonts w:ascii="Times New Roman" w:cs="Times New Roman" w:eastAsia="Times New Roman" w:hAnsi="Times New Roman"/>
          <w:sz w:val="16"/>
          <w:szCs w:val="16"/>
          <w:color w:val="auto"/>
        </w:rPr>
      </w:pPr>
    </w:p>
    <w:p>
      <w:pPr>
        <w:ind w:left="1020" w:right="140" w:hanging="503"/>
        <w:spacing w:after="0" w:line="298" w:lineRule="auto"/>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16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to the FDA of an investigational new drug application, or IND, which must become effective before clinical trials may begin;</w:t>
      </w:r>
    </w:p>
    <w:p>
      <w:pPr>
        <w:spacing w:after="0" w:line="23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by an institutional review board, or IRB, or independent ethics committee at each clinical trial site before each trial may be initiated;</w:t>
      </w:r>
    </w:p>
    <w:p>
      <w:pPr>
        <w:spacing w:after="0" w:line="234" w:lineRule="exact"/>
        <w:rPr>
          <w:rFonts w:ascii="Times New Roman" w:cs="Times New Roman" w:eastAsia="Times New Roman" w:hAnsi="Times New Roman"/>
          <w:sz w:val="16"/>
          <w:szCs w:val="16"/>
          <w:color w:val="auto"/>
        </w:rPr>
      </w:pPr>
    </w:p>
    <w:p>
      <w:pPr>
        <w:ind w:left="1020" w:right="100" w:hanging="503"/>
        <w:spacing w:after="0" w:line="298" w:lineRule="auto"/>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16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to the FDA of a New Drug Application, or an NDA;</w:t>
      </w:r>
    </w:p>
    <w:p>
      <w:pPr>
        <w:spacing w:after="0" w:line="23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determination by the FDA within 60 days of its receipt of an NDA, to accept the filing for review;</w:t>
      </w:r>
    </w:p>
    <w:p>
      <w:pPr>
        <w:spacing w:after="0" w:line="234" w:lineRule="exact"/>
        <w:rPr>
          <w:rFonts w:ascii="Times New Roman" w:cs="Times New Roman" w:eastAsia="Times New Roman" w:hAnsi="Times New Roman"/>
          <w:sz w:val="16"/>
          <w:szCs w:val="16"/>
          <w:color w:val="auto"/>
        </w:rPr>
      </w:pPr>
    </w:p>
    <w:p>
      <w:pPr>
        <w:ind w:left="1020" w:right="280" w:hanging="503"/>
        <w:spacing w:after="0" w:line="281" w:lineRule="auto"/>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17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satisfactory completion of FDA audit of the clinical trial sites that generated the data in support of the NDA;</w:t>
      </w:r>
    </w:p>
    <w:p>
      <w:pPr>
        <w:spacing w:after="0" w:line="23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user fees for FDA review of the NDA; and</w:t>
      </w:r>
    </w:p>
    <w:p>
      <w:pPr>
        <w:spacing w:after="0" w:line="234" w:lineRule="exact"/>
        <w:rPr>
          <w:rFonts w:ascii="Times New Roman" w:cs="Times New Roman" w:eastAsia="Times New Roman" w:hAnsi="Times New Roman"/>
          <w:sz w:val="16"/>
          <w:szCs w:val="16"/>
          <w:color w:val="auto"/>
        </w:rPr>
      </w:pPr>
    </w:p>
    <w:p>
      <w:pPr>
        <w:ind w:left="1020" w:right="160" w:hanging="503"/>
        <w:spacing w:after="0" w:line="298" w:lineRule="auto"/>
        <w:tabs>
          <w:tab w:leader="none" w:pos="10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review and approval of the NDA, including consideration of the views of any FDA advisory committee, prior to any commercial marketing or sale of the drug in the United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Preclinical studies and clinical trials for drugs</w:t>
      </w:r>
    </w:p>
    <w:p>
      <w:pPr>
        <w:spacing w:after="0" w:line="23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 xml:space="preserve">Before testing any drug in humans, the product candidate must undergo rigorous preclinical testing. Preclinical studies include laboratory evaluations of drug chemistry, formulation and stability, as well as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and animal studies to assess safety and in some cases to establish the rationale for therapeutic use. The conduct of preclinical studies is subject to federal and state regulation,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 before clinical trials may begin.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The FDA must notify the trial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the FDA are corrected.</w:t>
      </w:r>
    </w:p>
    <w:p>
      <w:pPr>
        <w:spacing w:after="0" w:line="19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trial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1" w:name="page22"/>
    <w:bookmarkEnd w:id="21"/>
    <w:p>
      <w:pPr>
        <w:ind w:right="40"/>
        <w:spacing w:after="0" w:line="298" w:lineRule="auto"/>
        <w:rPr>
          <w:sz w:val="20"/>
          <w:szCs w:val="20"/>
          <w:color w:val="auto"/>
        </w:rPr>
      </w:pPr>
      <w:r>
        <w:rPr>
          <w:rFonts w:ascii="Times New Roman" w:cs="Times New Roman" w:eastAsia="Times New Roman" w:hAnsi="Times New Roman"/>
          <w:sz w:val="16"/>
          <w:szCs w:val="16"/>
          <w:color w:val="auto"/>
        </w:rPr>
        <w:t>clinical trials, including results for clinical trials other than Phase 1 investigations, must be submitted within specific timeframes for publication on www.ClinicalTrials.gov, a clinical trials database maintained by the National Institutes of Health.</w:t>
      </w:r>
    </w:p>
    <w:p>
      <w:pPr>
        <w:spacing w:after="0" w:line="16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A sponsor who wishes to conduct a clinical trial outside of the United States may, but need not, obtain FDA authorization to conduct the clinical trial under an IND. If a foreign clinical trial is not conducted under an IND, the FDA will nevertheless accept the results of the study in support of an NDA if the study was conducted in accordance with GCP requirements, and the FDA is able to validate the data through an onsite inspection if deemed necessary.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Clinical trials to evaluate therapeutic indications to support NDAs for marketing approval are typically conducted in three sequential phases, which may overlap.</w:t>
      </w:r>
    </w:p>
    <w:p>
      <w:pPr>
        <w:spacing w:after="0" w:line="233" w:lineRule="exact"/>
        <w:rPr>
          <w:sz w:val="20"/>
          <w:szCs w:val="20"/>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Phase 1</w:t>
      </w:r>
      <w:r>
        <w:rPr>
          <w:rFonts w:ascii="Times New Roman" w:cs="Times New Roman" w:eastAsia="Times New Roman" w:hAnsi="Times New Roman"/>
          <w:sz w:val="16"/>
          <w:szCs w:val="16"/>
          <w:color w:val="auto"/>
        </w:rPr>
        <w:t>—Phase 1 clinical trials involve initial introduction of the investigational product into healthy human volunteers or patients with the target disease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174" w:lineRule="exact"/>
        <w:rPr>
          <w:rFonts w:ascii="Times New Roman" w:cs="Times New Roman" w:eastAsia="Times New Roman" w:hAnsi="Times New Roman"/>
          <w:sz w:val="16"/>
          <w:szCs w:val="16"/>
          <w:color w:val="auto"/>
        </w:rPr>
      </w:pPr>
    </w:p>
    <w:p>
      <w:pPr>
        <w:ind w:left="1020" w:right="260" w:hanging="503"/>
        <w:spacing w:after="0" w:line="282" w:lineRule="auto"/>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Phase 2</w:t>
      </w:r>
      <w:r>
        <w:rPr>
          <w:rFonts w:ascii="Times New Roman" w:cs="Times New Roman" w:eastAsia="Times New Roman" w:hAnsi="Times New Roman"/>
          <w:sz w:val="16"/>
          <w:szCs w:val="16"/>
          <w:color w:val="auto"/>
        </w:rPr>
        <w:t>—Phase 2 clinical trials typically involve administration of the investigational product to a limited patient population with a specified disease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condition to evaluate the drug’s potential efficacy, to determine the optimal dosages and dosing schedule and to identify possible adverse side effects and safety risks.</w:t>
      </w:r>
    </w:p>
    <w:p>
      <w:pPr>
        <w:spacing w:after="0" w:line="174" w:lineRule="exact"/>
        <w:rPr>
          <w:rFonts w:ascii="Times New Roman" w:cs="Times New Roman" w:eastAsia="Times New Roman" w:hAnsi="Times New Roman"/>
          <w:sz w:val="16"/>
          <w:szCs w:val="16"/>
          <w:color w:val="auto"/>
        </w:rPr>
      </w:pPr>
    </w:p>
    <w:p>
      <w:pPr>
        <w:jc w:val="both"/>
        <w:ind w:left="1020" w:hanging="503"/>
        <w:spacing w:after="0" w:line="276" w:lineRule="auto"/>
        <w:tabs>
          <w:tab w:leader="none" w:pos="10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Phase 3</w:t>
      </w:r>
      <w:r>
        <w:rPr>
          <w:rFonts w:ascii="Times New Roman" w:cs="Times New Roman" w:eastAsia="Times New Roman" w:hAnsi="Times New Roman"/>
          <w:sz w:val="16"/>
          <w:szCs w:val="16"/>
          <w:color w:val="auto"/>
        </w:rPr>
        <w:t>—Phase 3 clinical trials typically involve administration of the investigational product to an expanded patient population to further evaluate dosage,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w:t>
      </w:r>
    </w:p>
    <w:p>
      <w:pPr>
        <w:spacing w:after="0" w:line="182"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In March 2022, the FDA released a final guidance entitled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the FDA. Expansion cohort trials can potentially bring efficiency to drug development and reduce development costs and time.</w:t>
      </w:r>
    </w:p>
    <w:p>
      <w:pPr>
        <w:spacing w:after="0" w:line="18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approval.</w:t>
      </w:r>
    </w:p>
    <w:p>
      <w:pPr>
        <w:spacing w:after="0" w:line="177"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marketing approval for drugs</w:t>
      </w:r>
    </w:p>
    <w:p>
      <w:pPr>
        <w:spacing w:after="0" w:line="23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package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22" w:name="page23"/>
    <w:bookmarkEnd w:id="22"/>
    <w:p>
      <w:pPr>
        <w:ind w:right="320"/>
        <w:spacing w:after="0" w:line="298" w:lineRule="auto"/>
        <w:rPr>
          <w:sz w:val="20"/>
          <w:szCs w:val="20"/>
          <w:color w:val="auto"/>
        </w:rPr>
      </w:pPr>
      <w:r>
        <w:rPr>
          <w:rFonts w:ascii="Times New Roman" w:cs="Times New Roman" w:eastAsia="Times New Roman" w:hAnsi="Times New Roman"/>
          <w:sz w:val="16"/>
          <w:szCs w:val="16"/>
          <w:color w:val="auto"/>
        </w:rPr>
        <w:t>data submitted must be sufficient in quality and quantity to establish the safety and efficacy of the investigational product to the satisfaction of the FDA. The FDA must approve an NDA before a drug may be marketed in the United States.</w:t>
      </w:r>
    </w:p>
    <w:p>
      <w:pPr>
        <w:spacing w:after="0" w:line="16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FDA reviews all submitted NDAs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drug is safe and effective for the indications sought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w:t>
      </w:r>
    </w:p>
    <w:p>
      <w:pPr>
        <w:spacing w:after="0" w:line="186"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6"/>
          <w:szCs w:val="16"/>
          <w:color w:val="auto"/>
        </w:rPr>
        <w:t>Further, under PDUFA, as amended,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7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or other risk-minimization tools.</w:t>
      </w:r>
    </w:p>
    <w:p>
      <w:pPr>
        <w:spacing w:after="0" w:line="17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8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8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Orphan drug designation and exclusivity</w:t>
      </w:r>
    </w:p>
    <w:p>
      <w:pPr>
        <w:spacing w:after="0" w:line="23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Under the Orphan Drug Act, the FDA may grant orphan drug designation to a drug intended to treat a rare disease or condition, which is a disease or condition that affects fewer than 200,000 individuals in the United States, or if it affects 200,000 or more individuals in the United States, there is no reasonable expectation that the cost of developing and making the product available in the United States for the disease or condition will be recovered from sales of the product. Orphan drug designation must be requested before submitting an NDA.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86"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6"/>
          <w:szCs w:val="16"/>
          <w:color w:val="auto"/>
        </w:rPr>
        <w:t>If a product that has orphan drug designation subsequently receives the first FDA approval for the disease or condition for which it has such designation, the product is entitled to a seven-year period of marketing exclusivity during which the FDA may not approve any other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23" w:name="page24"/>
    <w:bookmarkEnd w:id="23"/>
    <w:p>
      <w:pPr>
        <w:ind w:right="20"/>
        <w:spacing w:after="0" w:line="269" w:lineRule="auto"/>
        <w:rPr>
          <w:sz w:val="20"/>
          <w:szCs w:val="20"/>
          <w:color w:val="auto"/>
        </w:rPr>
      </w:pPr>
      <w:r>
        <w:rPr>
          <w:rFonts w:ascii="Times New Roman" w:cs="Times New Roman" w:eastAsia="Times New Roman" w:hAnsi="Times New Roman"/>
          <w:sz w:val="16"/>
          <w:szCs w:val="16"/>
          <w:color w:val="auto"/>
        </w:rPr>
        <w:t>applications to market the same therapeutic agent for the same indication, except in limited circumstances, such as a subsequent product’s showing of clinical superiority over the product with orphan drug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drug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Expedited development and review programs for drugs</w:t>
      </w:r>
    </w:p>
    <w:p>
      <w:pPr>
        <w:spacing w:after="0" w:line="23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more quickly than standard FDA review timelines typically permit.</w:t>
      </w:r>
    </w:p>
    <w:p>
      <w:pPr>
        <w:spacing w:after="0" w:line="18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A new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 potential for rolling review once a marketing application is filed. Rolling review means that the agency may review portions of the marketing application before the sponsor submits the complete application. In addition, a new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pacing w:after="0" w:line="18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or Biologics License Application is submitted, if the drug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8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Accelerated Approval is usually contingent on a sponsor’s agreement to conduct additional post-approval studies to verify and describe the product’s clinical benefit. As a condition of approval, the FDA may require that a sponsor of a drug receiving Accelerated Approval perform adequate and well-controlled post-marketing clinical trials with due diligence and, under the Food and Drug Omnibus Reform Act of 2022, or FDORA, the FDA is permitted to require, as appropriate, that such trials be underway prior to approval or within a specific time period after the date of approval for a product granted Accelerated Approval. Under FDORA, the FDA has increased authority for expedited procedures to withdraw approval of a drug or an indication approved if, for example, the confirmatory trial fails to verify the predicted clinical benefit of the product. In addition, for products being considered for Accelerated Approval, the FDA generally requires, unless otherwise informed by the agency, pre-approval of promotional materials, which could adversely impact the timing of the commercial launch of the product.</w:t>
      </w:r>
    </w:p>
    <w:p>
      <w:pPr>
        <w:spacing w:after="0" w:line="19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Pediatric information and pediatric exclusivity</w:t>
      </w:r>
    </w:p>
    <w:p>
      <w:pPr>
        <w:spacing w:after="0" w:line="23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Under the Pediatric Research Equity Act, or PREA, as amended, certain NDAs and NDA supplements must contain data that can be used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drug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4" w:name="page25"/>
    <w:bookmarkEnd w:id="24"/>
    <w:p>
      <w:pPr>
        <w:ind w:right="40"/>
        <w:spacing w:after="0" w:line="275" w:lineRule="auto"/>
        <w:rPr>
          <w:sz w:val="20"/>
          <w:szCs w:val="20"/>
          <w:color w:val="auto"/>
        </w:rPr>
      </w:pPr>
      <w:r>
        <w:rPr>
          <w:rFonts w:ascii="Times New Roman" w:cs="Times New Roman" w:eastAsia="Times New Roman" w:hAnsi="Times New Roman"/>
          <w:sz w:val="16"/>
          <w:szCs w:val="16"/>
          <w:color w:val="auto"/>
        </w:rPr>
        <w:t>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8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A drug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post-approval requirements for drugs</w:t>
      </w:r>
    </w:p>
    <w:p>
      <w:pPr>
        <w:spacing w:after="0" w:line="23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18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Manufacturers and other parties involved in the drug supply chain for prescription drug products and those supplying products, ingredients, and components of them, must also comply with product tracking and tracing requirements, including electronic systems for identification and tracing, and are responsible for notifying the FDA of counterfeit, diverted, stolen and intentionally adulterated products or products that are otherwise unfit for distribution in the United States.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392" w:lineRule="exact"/>
        <w:rPr>
          <w:sz w:val="20"/>
          <w:szCs w:val="20"/>
          <w:color w:val="auto"/>
        </w:rPr>
      </w:pPr>
    </w:p>
    <w:p>
      <w:pPr>
        <w:jc w:val="both"/>
        <w:ind w:right="420"/>
        <w:spacing w:after="0" w:line="281" w:lineRule="auto"/>
        <w:rPr>
          <w:sz w:val="20"/>
          <w:szCs w:val="20"/>
          <w:color w:val="auto"/>
        </w:rPr>
      </w:pPr>
      <w:r>
        <w:rPr>
          <w:rFonts w:ascii="Times New Roman" w:cs="Times New Roman" w:eastAsia="Times New Roman" w:hAnsi="Times New Roman"/>
          <w:sz w:val="16"/>
          <w:szCs w:val="16"/>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7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marketing or manufacturing of the product, complete withdrawal of the product from the market or product recalls;</w:t>
      </w:r>
    </w:p>
    <w:p>
      <w:pPr>
        <w:spacing w:after="0" w:line="234" w:lineRule="exact"/>
        <w:rPr>
          <w:rFonts w:ascii="Times New Roman" w:cs="Times New Roman" w:eastAsia="Times New Roman" w:hAnsi="Times New Roman"/>
          <w:sz w:val="16"/>
          <w:szCs w:val="16"/>
          <w:color w:val="auto"/>
        </w:rPr>
      </w:pPr>
    </w:p>
    <w:p>
      <w:pPr>
        <w:ind w:left="1020" w:right="100" w:hanging="503"/>
        <w:spacing w:after="0" w:line="298" w:lineRule="auto"/>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safety alerts, Dear Healthcare Provider letters, press releases or other communications containing warnings or other safety information about the product;</w:t>
      </w:r>
    </w:p>
    <w:p>
      <w:pPr>
        <w:spacing w:after="0" w:line="16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warning letters or holds on post-approval clinical trials;</w:t>
      </w:r>
    </w:p>
    <w:p>
      <w:pPr>
        <w:spacing w:after="0" w:line="23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of the FDA to approve applications or supplements to approved applications, or suspension or revocation of product approvals;</w:t>
      </w:r>
    </w:p>
    <w:p>
      <w:pPr>
        <w:spacing w:after="0" w:line="23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 or detention, or refusal to permit the import or export of products;</w:t>
      </w:r>
    </w:p>
    <w:p>
      <w:pPr>
        <w:spacing w:after="0" w:line="23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or criminal penalties; and</w:t>
      </w:r>
    </w:p>
    <w:p>
      <w:pPr>
        <w:spacing w:after="0" w:line="234" w:lineRule="exact"/>
        <w:rPr>
          <w:rFonts w:ascii="Times New Roman" w:cs="Times New Roman" w:eastAsia="Times New Roman" w:hAnsi="Times New Roman"/>
          <w:sz w:val="16"/>
          <w:szCs w:val="16"/>
          <w:color w:val="auto"/>
        </w:rPr>
      </w:pPr>
    </w:p>
    <w:p>
      <w:pPr>
        <w:ind w:left="1020" w:right="560" w:hanging="503"/>
        <w:spacing w:after="0" w:line="298" w:lineRule="auto"/>
        <w:tabs>
          <w:tab w:leader="none" w:pos="10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 decrees, corporate integrity agreements, debarment or exclusion from federal healthcare programs; or mandated modification of promotional materials and labeling and issuance of corrective information.</w:t>
      </w:r>
    </w:p>
    <w:p>
      <w:pPr>
        <w:spacing w:after="0" w:line="164"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5" w:name="page26"/>
    <w:bookmarkEnd w:id="25"/>
    <w:p>
      <w:pPr>
        <w:ind w:right="200"/>
        <w:spacing w:after="0" w:line="298" w:lineRule="auto"/>
        <w:rPr>
          <w:sz w:val="20"/>
          <w:szCs w:val="20"/>
          <w:color w:val="auto"/>
        </w:rPr>
      </w:pPr>
      <w:r>
        <w:rPr>
          <w:rFonts w:ascii="Times New Roman" w:cs="Times New Roman" w:eastAsia="Times New Roman" w:hAnsi="Times New Roman"/>
          <w:sz w:val="16"/>
          <w:szCs w:val="16"/>
          <w:color w:val="auto"/>
        </w:rPr>
        <w:t>regulations, guidance, and policies are often revised or reinterpreted by the agency in ways that may significantly affect the manner in which pharmaceutical products are regulated and marketed.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 of companion diagnostics</w:t>
      </w:r>
    </w:p>
    <w:p>
      <w:pPr>
        <w:spacing w:after="0" w:line="23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Companion diagnostics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approval of a premarket approval application, or PMA.</w:t>
      </w:r>
    </w:p>
    <w:p>
      <w:pPr>
        <w:spacing w:after="0" w:line="18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PMA. In making a determination that the device is substantially equivalent to a predicate device, the FDA compares the proposed device to the predicate device and assesses whether the subject device is comparable to the predicate device with respect to intended use, technology, design and other features which could affect safety and effectiveness. If the FDA determines that the subject device is substantially equivalent to the predicate device, the subject device may be cleared for marketing. The 510(k) premarket notification pathway generally takes from three to twelve months from the date the application is completed, but can take significantly longer.</w:t>
      </w:r>
    </w:p>
    <w:p>
      <w:pPr>
        <w:spacing w:after="0" w:line="19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A PMA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The FDA’s review of an initial PMA is required by statute to take between six to ten months, although the process typically takes longer, and may require several years to complete. If the FDA evaluations of both the PMA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p>
    <w:p>
      <w:pPr>
        <w:spacing w:after="0" w:line="19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On July 31, 2014, the FDA issued a final guidance document addressing the development and approval process for "In Vitro Companion Diagnostic Devices." According to the guidance document, for novel therapeutic products that depend on the use of a diagnostic test and where the diagnostic device could be essential for the safe and effective use of the corresponding therapeutic product,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 The FDA also issued a draft guidance document in July 2016 setting forth the principles for co-development of an in vitro companion diagnostic device with a therapeutic product. The draft guidance describes principles to guide the development and contemporaneous marketing authorization for the therapeutic product and its corresponding in vitro companion diagnostic.</w:t>
      </w:r>
    </w:p>
    <w:p>
      <w:pPr>
        <w:spacing w:after="0" w:line="18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Once cleared or approved, the companion diagnostic device must adhere to post-marketing requirements including the requirements of the FDA’s QSR, adverse event reporting, recalls and corrections along with product marketing requirements and limitations. Like drug makers, companion diagnostic makers are subject to unannounced FDA inspections at any time during which the FDA will conduct an audit of the product(s) and the company’s facilities for compliance with its authorities.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regulatory matters</w:t>
      </w:r>
    </w:p>
    <w:p>
      <w:pPr>
        <w:spacing w:after="0" w:line="23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4"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i w:val="1"/>
          <w:iCs w:val="1"/>
          <w:color w:val="auto"/>
        </w:rPr>
        <w:t>Other healthcare laws</w:t>
      </w:r>
    </w:p>
    <w:p>
      <w:pPr>
        <w:spacing w:after="0" w:line="23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Insurance coverage and reimbursement</w:t>
      </w:r>
    </w:p>
    <w:p>
      <w:pPr>
        <w:spacing w:after="0" w:line="23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6"/>
          <w:szCs w:val="16"/>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9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and net prices for our products may also be reduced by any future relaxation of laws that presently restrict imports of drugs from countries where they may be sold at lower prices than in the United States.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or licensees receive regulatory approval, less favorable coverage policies and reimbursement rates may be implemented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Current and future healthcare reform legislation</w:t>
      </w:r>
    </w:p>
    <w:p>
      <w:pPr>
        <w:spacing w:after="0" w:line="23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2010, the United States Congress enacted the Affordable Care Act, or ACA, which, among other things, includes changes to the coverage and payment for products under government health care programs. The ACA includes provisions of importance to our potential product candidates that:</w:t>
      </w:r>
    </w:p>
    <w:p>
      <w:pPr>
        <w:spacing w:after="0" w:line="183" w:lineRule="exact"/>
        <w:rPr>
          <w:sz w:val="20"/>
          <w:szCs w:val="20"/>
          <w:color w:val="auto"/>
        </w:rPr>
      </w:pPr>
    </w:p>
    <w:p>
      <w:pPr>
        <w:ind w:left="1020" w:right="340" w:hanging="503"/>
        <w:spacing w:after="0" w:line="298" w:lineRule="auto"/>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16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expanded eligibility criteria for Medicaid programs, thereby potentially increasing a manufacturer’s Medicaid rebate liability;</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27" w:name="page28"/>
    <w:bookmarkEnd w:id="27"/>
    <w:p>
      <w:pPr>
        <w:ind w:left="1020" w:hanging="503"/>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expanded manufacturers’ rebate liability under the Medicaid Drug Rebate Program;</w:t>
      </w:r>
    </w:p>
    <w:p>
      <w:pPr>
        <w:spacing w:after="0" w:line="234"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expanded the types of entities eligible for the 340B drug discount program;</w:t>
      </w:r>
    </w:p>
    <w:p>
      <w:pPr>
        <w:spacing w:after="0" w:line="234" w:lineRule="exact"/>
        <w:rPr>
          <w:rFonts w:ascii="Times New Roman" w:cs="Times New Roman" w:eastAsia="Times New Roman" w:hAnsi="Times New Roman"/>
          <w:sz w:val="16"/>
          <w:szCs w:val="16"/>
          <w:color w:val="auto"/>
        </w:rPr>
      </w:pPr>
    </w:p>
    <w:p>
      <w:pPr>
        <w:ind w:left="1020" w:right="180" w:hanging="503"/>
        <w:spacing w:after="0" w:line="281" w:lineRule="auto"/>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177" w:lineRule="exact"/>
        <w:rPr>
          <w:rFonts w:ascii="Times New Roman" w:cs="Times New Roman" w:eastAsia="Times New Roman" w:hAnsi="Times New Roman"/>
          <w:sz w:val="16"/>
          <w:szCs w:val="16"/>
          <w:color w:val="auto"/>
        </w:rPr>
      </w:pPr>
    </w:p>
    <w:p>
      <w:pPr>
        <w:ind w:left="1020" w:right="60" w:hanging="503"/>
        <w:spacing w:after="0" w:line="298" w:lineRule="auto"/>
        <w:tabs>
          <w:tab w:leader="none" w:pos="10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created a Patient-Centered Outcomes Research Institute to oversee, identify priorities in, and conduct comparative clinical effectiveness research, along with funding for such research.</w:t>
      </w:r>
    </w:p>
    <w:p>
      <w:pPr>
        <w:spacing w:after="0" w:line="16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Other legislative changes have been proposed and adopted in the United States since the ACA was enacted. In August 2011, the Budget Control Act of 2011, among other things, included aggregate reductions of Medicare payments to providers of 2% per fiscal year, which went into effect in April 2013 and, due to subsequent legislative amendments to the statute, will remain in effect through 2031 unless additional Congressional action is taken.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86"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The American Rescue Plan Act of 2021 eliminated the statutory Medicaid drug rebate cap, previously set at 100% of a drug’s average manufacturer price, for single source and innovator multiple source drugs, starting January 1, 2024. Due to the Statutory Pay-As-You-Go Act of 2010, estimated budget deficit increases resulting from the American Rescue Plan Act of 2021, and subsequent legislation, Medicare payments to providers will be further reduced starting in 2025 absent further legislation.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The Inflation Reduction Act of 2022, or the IRA, was signed into law in August 2022. The IRA includes several provisions that could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until January 1, 2032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Although the effects of the IRA on our business and the healthcare industry in general are not yet known, we are taking into consideration the potential impact of the IRA on our development and commercialization activities.</w:t>
      </w:r>
    </w:p>
    <w:p>
      <w:pPr>
        <w:spacing w:after="0" w:line="18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The Creating and Restoring Equal Access to Equivalent Samples Act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spacing w:after="0" w:line="18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In addition, former President Biden issued, and the Trump Administration is expected to issue, executive orders that seek to reduce prescription drug costs. Although a number of these and other proposed measures may require authorization through additional legislation to become effective, and the Trump Administration may reverse or otherwise change these measures, the current and future administration and Congress have indicated that they will continue to seek new legislative measures to control drug costs.</w:t>
      </w:r>
    </w:p>
    <w:p>
      <w:pPr>
        <w:spacing w:after="0" w:line="18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8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In the European Union, or EU,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8" w:name="page29"/>
    <w:bookmarkEnd w:id="28"/>
    <w:p>
      <w:pPr>
        <w:ind w:right="20"/>
        <w:spacing w:after="0" w:line="271" w:lineRule="auto"/>
        <w:rPr>
          <w:sz w:val="20"/>
          <w:szCs w:val="20"/>
          <w:color w:val="auto"/>
        </w:rPr>
      </w:pPr>
      <w:r>
        <w:rPr>
          <w:rFonts w:ascii="Times New Roman" w:cs="Times New Roman" w:eastAsia="Times New Roman" w:hAnsi="Times New Roman"/>
          <w:sz w:val="16"/>
          <w:szCs w:val="16"/>
          <w:color w:val="auto"/>
        </w:rPr>
        <w:t>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Compliance with other federal and state laws or requirements; changing legal requirements</w:t>
      </w:r>
    </w:p>
    <w:p>
      <w:pPr>
        <w:spacing w:after="0" w:line="23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color w:val="auto"/>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which we may be subject.</w:t>
      </w:r>
    </w:p>
    <w:p>
      <w:pPr>
        <w:spacing w:after="0" w:line="183" w:lineRule="exact"/>
        <w:rPr>
          <w:sz w:val="20"/>
          <w:szCs w:val="20"/>
          <w:color w:val="auto"/>
        </w:rPr>
      </w:pPr>
    </w:p>
    <w:p>
      <w:pPr>
        <w:ind w:right="600"/>
        <w:spacing w:after="0" w:line="298" w:lineRule="auto"/>
        <w:rPr>
          <w:sz w:val="20"/>
          <w:szCs w:val="20"/>
          <w:color w:val="auto"/>
        </w:rPr>
      </w:pPr>
      <w:r>
        <w:rPr>
          <w:rFonts w:ascii="Times New Roman" w:cs="Times New Roman" w:eastAsia="Times New Roman" w:hAnsi="Times New Roman"/>
          <w:sz w:val="16"/>
          <w:szCs w:val="16"/>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6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6"/>
          <w:szCs w:val="16"/>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184" w:lineRule="exact"/>
        <w:rPr>
          <w:sz w:val="20"/>
          <w:szCs w:val="20"/>
          <w:color w:val="auto"/>
        </w:rPr>
      </w:pPr>
    </w:p>
    <w:p>
      <w:pPr>
        <w:jc w:val="both"/>
        <w:ind w:right="800"/>
        <w:spacing w:after="0" w:line="281" w:lineRule="auto"/>
        <w:rPr>
          <w:sz w:val="20"/>
          <w:szCs w:val="20"/>
          <w:color w:val="auto"/>
        </w:rPr>
      </w:pPr>
      <w:r>
        <w:rPr>
          <w:rFonts w:ascii="Times New Roman" w:cs="Times New Roman" w:eastAsia="Times New Roman" w:hAnsi="Times New Roman"/>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U.S. environmental, health and safety laws and regulations</w:t>
      </w:r>
    </w:p>
    <w:p>
      <w:pPr>
        <w:spacing w:after="0" w:line="23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4" w:lineRule="exact"/>
        <w:rPr>
          <w:sz w:val="20"/>
          <w:szCs w:val="20"/>
          <w:color w:val="auto"/>
        </w:rPr>
      </w:pPr>
    </w:p>
    <w:p>
      <w:pPr>
        <w:jc w:val="both"/>
        <w:ind w:right="520"/>
        <w:spacing w:after="0" w:line="298" w:lineRule="auto"/>
        <w:rPr>
          <w:sz w:val="20"/>
          <w:szCs w:val="20"/>
          <w:color w:val="auto"/>
        </w:rPr>
      </w:pPr>
      <w:r>
        <w:rPr>
          <w:rFonts w:ascii="Times New Roman" w:cs="Times New Roman" w:eastAsia="Times New Roman" w:hAnsi="Times New Roman"/>
          <w:sz w:val="16"/>
          <w:szCs w:val="16"/>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6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 regulation of drugs outside of the United States</w:t>
      </w:r>
    </w:p>
    <w:p>
      <w:pPr>
        <w:spacing w:after="0" w:line="23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To market any product outside of the United States, we would need to comply with numerous and varying regulatory requirements of other countries regarding safety and efficacy and governing, among other things, clinical trials, marketing authorization or identification of an alternate regulatory pathway, manufacturing, commercial sales and distribution of our products.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Clinical trial approval</w:t>
      </w:r>
    </w:p>
    <w:p>
      <w:pPr>
        <w:spacing w:after="0" w:line="23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In April 2014, the EU adopted the new Clinical Trials Regulation, (EU) No 536/2014 (Clinical Trials Regulation) which replaced the current Clinical Trials Directive 2001/20/EC on January 31, 2022. The Clinical Trials Regulation is directly applicable in all the EU Member States (meaning no national implementing legislation is required). The Clinical Trials Regulation aims to simplify and streamline the approval of clinical trials in the EU. The main characteristics of the Clinical Trials Regulation include: a streamlined application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29" w:name="page30"/>
    <w:bookmarkEnd w:id="29"/>
    <w:p>
      <w:pPr>
        <w:spacing w:after="0" w:line="271" w:lineRule="auto"/>
        <w:rPr>
          <w:sz w:val="20"/>
          <w:szCs w:val="20"/>
          <w:color w:val="auto"/>
        </w:rPr>
      </w:pPr>
      <w:r>
        <w:rPr>
          <w:rFonts w:ascii="Times New Roman" w:cs="Times New Roman" w:eastAsia="Times New Roman" w:hAnsi="Times New Roman"/>
          <w:sz w:val="16"/>
          <w:szCs w:val="16"/>
          <w:color w:val="auto"/>
        </w:rPr>
        <w:t>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continues to be governed by the national law of the concerned EU Member State, however, overall related timelines are defined by the Clinical Trials Regulation.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Drug Review and Approval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EU, medicinal products must be authorized for marketing by using either the centralized authorization procedure or national authorization procedures.</w:t>
      </w:r>
    </w:p>
    <w:p>
      <w:pPr>
        <w:spacing w:after="0" w:line="233" w:lineRule="exact"/>
        <w:rPr>
          <w:sz w:val="20"/>
          <w:szCs w:val="20"/>
          <w:color w:val="auto"/>
        </w:rPr>
      </w:pPr>
    </w:p>
    <w:p>
      <w:pPr>
        <w:ind w:left="1020" w:right="20" w:hanging="503"/>
        <w:spacing w:after="0" w:line="266"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Centralized authorization procedure</w:t>
      </w:r>
      <w:r>
        <w:rPr>
          <w:rFonts w:ascii="Times New Roman" w:cs="Times New Roman" w:eastAsia="Times New Roman" w:hAnsi="Times New Roman"/>
          <w:sz w:val="16"/>
          <w:szCs w:val="16"/>
          <w:color w:val="auto"/>
        </w:rPr>
        <w:t>—If pursuing marketing authorization of a product candidate for a therapeutic indication under the centralized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procedure, following the opining of the EMA’s Committee for Medicinal Products for Human Use, or, CHMP, the European Commission issues a single marketing authorization valid across the EU and in the additional Member States of the European Economic Area (Iceland, Liechtenstein and Norway). The centralized procedure is compulsory for human medicines derived from biotechnology processes, advanced therapy medicinal products (i.e. gene therapy, somatic cell therapy and tissue engineered products), products that contain a new active substance indicated for the treatment of certain diseases, such as HIV/AIDS, cancer, neurodegenerative disorders, diabetes, autoimmune diseases and other immune dysfunctions and viral diseases, and products designated as orphan medicines. For medicines that do not fall within these categories, an applicant has the option of submitting an application for a centralized marketing authorization to the EMA, as long as the medicine concerned contains a new active substance not yet authorized in the EU, is a significant therapeutic, scientific or technical innovation, or if its authorization would be in the interest of public health in the EU. Under the centralized procedure the maximum timeframe for the evaluation of a marketing authorization application, or MAA, by the European Medicines Agency, or EMA, is 210 days, excluding clock stops, when additional written or oral information is to be provided by the applicant in response to questions asked by the CHMP. Where the CHMP gives a positive opinion, it provides the opinion together with supporting documentation to the European Commission, who makes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can revert to the standard time limit for the centralized procedure if it considers that it is no longer appropriate to conduct an accelerated assessment.</w:t>
      </w:r>
    </w:p>
    <w:p>
      <w:pPr>
        <w:spacing w:after="0" w:line="395" w:lineRule="exact"/>
        <w:rPr>
          <w:rFonts w:ascii="Times New Roman" w:cs="Times New Roman" w:eastAsia="Times New Roman" w:hAnsi="Times New Roman"/>
          <w:sz w:val="16"/>
          <w:szCs w:val="16"/>
          <w:color w:val="auto"/>
        </w:rPr>
      </w:pPr>
    </w:p>
    <w:p>
      <w:pPr>
        <w:ind w:left="1020" w:right="60" w:hanging="503"/>
        <w:spacing w:after="0" w:line="301"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National authorization procedures</w:t>
      </w:r>
      <w:r>
        <w:rPr>
          <w:rFonts w:ascii="Times New Roman" w:cs="Times New Roman" w:eastAsia="Times New Roman" w:hAnsi="Times New Roman"/>
          <w:sz w:val="16"/>
          <w:szCs w:val="16"/>
          <w:color w:val="auto"/>
        </w:rPr>
        <w:t>—There are also two other possible routes to authorize products for therapeutic indications in several countries, which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available for products that fall outside the scope of the centralized procedure:</w:t>
      </w:r>
    </w:p>
    <w:p>
      <w:pPr>
        <w:spacing w:after="0" w:line="159" w:lineRule="exact"/>
        <w:rPr>
          <w:rFonts w:ascii="Times New Roman" w:cs="Times New Roman" w:eastAsia="Times New Roman" w:hAnsi="Times New Roman"/>
          <w:sz w:val="16"/>
          <w:szCs w:val="16"/>
          <w:color w:val="auto"/>
        </w:rPr>
      </w:pPr>
    </w:p>
    <w:p>
      <w:pPr>
        <w:jc w:val="both"/>
        <w:ind w:left="1020" w:right="500" w:hanging="503"/>
        <w:spacing w:after="0" w:line="301"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Decentralized procedure</w:t>
      </w:r>
      <w:r>
        <w:rPr>
          <w:rFonts w:ascii="Times New Roman" w:cs="Times New Roman" w:eastAsia="Times New Roman" w:hAnsi="Times New Roman"/>
          <w:sz w:val="16"/>
          <w:szCs w:val="16"/>
          <w:color w:val="auto"/>
        </w:rPr>
        <w:t>—Using the decentralized procedure, an applicant may apply for simultaneous authorization in more than one EU country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medicinal products that have not yet been authorized in any EU country and that do not fall within the mandatory scope of the centralized procedure.</w:t>
      </w:r>
    </w:p>
    <w:p>
      <w:pPr>
        <w:spacing w:after="0" w:line="159" w:lineRule="exact"/>
        <w:rPr>
          <w:rFonts w:ascii="Times New Roman" w:cs="Times New Roman" w:eastAsia="Times New Roman" w:hAnsi="Times New Roman"/>
          <w:sz w:val="16"/>
          <w:szCs w:val="16"/>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Mutual recognition procedure</w:t>
      </w:r>
      <w:r>
        <w:rPr>
          <w:rFonts w:ascii="Times New Roman" w:cs="Times New Roman" w:eastAsia="Times New Roman" w:hAnsi="Times New Roman"/>
          <w:sz w:val="16"/>
          <w:szCs w:val="16"/>
          <w:color w:val="auto"/>
        </w:rPr>
        <w:t>—In the mutual recognition procedure, a medicine is first authorized in one EU Member State, in accordance with the national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procedures of that country. Following this, additional marketing authorizations can be sought from other EU countries in a procedure whereby the countries concerned recognize the validity of the original, national marketing authorization.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Periods of authorization and renewals</w:t>
      </w:r>
    </w:p>
    <w:p>
      <w:pPr>
        <w:spacing w:after="0" w:line="23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national competent authority decides, on justified grounds relating to pharmacovigilance, to proceed with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Drug and market exclusivity</w:t>
      </w:r>
    </w:p>
    <w:p>
      <w:pPr>
        <w:spacing w:after="0" w:line="237"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6"/>
          <w:szCs w:val="16"/>
          <w:color w:val="auto"/>
        </w:rPr>
        <w:t>In the EU, innovative products for therapeutic indications that are authorized for marketing (i.e., reference products) qualify for eight years of data exclusivity and an additional two years of market exclusivity upon marketing authorization. The data exclusivity period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0" w:name="page31"/>
    <w:bookmarkEnd w:id="30"/>
    <w:p>
      <w:pPr>
        <w:spacing w:after="0" w:line="269" w:lineRule="auto"/>
        <w:rPr>
          <w:sz w:val="20"/>
          <w:szCs w:val="20"/>
          <w:color w:val="auto"/>
        </w:rPr>
      </w:pPr>
      <w:r>
        <w:rPr>
          <w:rFonts w:ascii="Times New Roman" w:cs="Times New Roman" w:eastAsia="Times New Roman" w:hAnsi="Times New Roman"/>
          <w:sz w:val="16"/>
          <w:szCs w:val="16"/>
          <w:color w:val="auto"/>
        </w:rPr>
        <w:t>the reference product was first authorized in the EU.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independent and data package of pharmaceutical tests, preclinical tests and clinical trials.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Pediatric studies and exclusivity</w:t>
      </w:r>
    </w:p>
    <w:p>
      <w:pPr>
        <w:spacing w:after="0" w:line="23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6"/>
          <w:szCs w:val="16"/>
          <w:color w:val="auto"/>
        </w:rPr>
        <w:t>Prior to obtaining a marketing authorization in the EU, applicants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 provided an application for such extension is made at the same time as filing the SPC application for the product, or at any point up to two years before the SPC expires, even where the trial results are negative.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Orphan drug designation and exclusivity</w:t>
      </w:r>
    </w:p>
    <w:p>
      <w:pPr>
        <w:spacing w:after="0" w:line="23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6"/>
          <w:szCs w:val="16"/>
          <w:color w:val="auto"/>
        </w:rPr>
        <w:t>The criteria for designating an “orphan medicinal product” in the EU are similar in principle to those in the United States. In the EU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An orphan product can also obtain an additional two years of market exclusivity in the EU for pediatric studies conducted in compliance with a PIP.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(i) the second applicant can establish that its product, although similar, is safer, more effective or otherwise clinically superior to the authorized orphan product;</w:t>
      </w:r>
    </w:p>
    <w:p>
      <w:pPr>
        <w:spacing w:after="0" w:line="9" w:lineRule="exact"/>
        <w:rPr>
          <w:sz w:val="20"/>
          <w:szCs w:val="20"/>
          <w:color w:val="auto"/>
        </w:rPr>
      </w:pPr>
    </w:p>
    <w:p>
      <w:pPr>
        <w:ind w:right="320" w:firstLine="8"/>
        <w:spacing w:after="0" w:line="288" w:lineRule="auto"/>
        <w:tabs>
          <w:tab w:leader="none" w:pos="23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marketing authorization holder for the authorized orphan product consents to a second orphan medicinal product application; or (iii) the marketing authorization holder for the authorized orphan product cannot supply enough orphan medicinal product.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Regulatory requirements after a marketing authorization has been obtained</w:t>
      </w:r>
    </w:p>
    <w:p>
      <w:pPr>
        <w:spacing w:after="0" w:line="237"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If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164" w:lineRule="exact"/>
        <w:rPr>
          <w:sz w:val="20"/>
          <w:szCs w:val="20"/>
          <w:color w:val="auto"/>
        </w:rPr>
      </w:pPr>
    </w:p>
    <w:p>
      <w:pPr>
        <w:ind w:left="1020" w:right="300" w:hanging="503"/>
        <w:spacing w:after="0" w:line="298" w:lineRule="auto"/>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the EU’s stringent pharmacovigilance or safety reporting rules must be ensured. These rules can impose post-authorization studies and additional monitoring obligations.</w:t>
      </w:r>
    </w:p>
    <w:p>
      <w:pPr>
        <w:spacing w:after="0" w:line="164" w:lineRule="exact"/>
        <w:rPr>
          <w:rFonts w:ascii="Times New Roman" w:cs="Times New Roman" w:eastAsia="Times New Roman" w:hAnsi="Times New Roman"/>
          <w:sz w:val="16"/>
          <w:szCs w:val="16"/>
          <w:color w:val="auto"/>
        </w:rPr>
      </w:pPr>
    </w:p>
    <w:p>
      <w:pPr>
        <w:ind w:left="1020" w:right="60" w:hanging="503"/>
        <w:spacing w:after="0" w:line="275" w:lineRule="auto"/>
        <w:tabs>
          <w:tab w:leader="none" w:pos="10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manufacturing of authorized medicinal products, for which a separate manufacturer’s license is mandatory, must also be conducted in strict compliance with the applicable EU laws, regulations and guidance, including Directive 2001/83/EC, Directive 2003/94/EC and Regulation (EC) No 726/2004.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4" w:right="379" w:bottom="1440" w:gutter="0" w:footer="0" w:header="0"/>
        </w:sectPr>
      </w:pPr>
    </w:p>
    <w:bookmarkStart w:id="31" w:name="page32"/>
    <w:bookmarkEnd w:id="31"/>
    <w:p>
      <w:pPr>
        <w:ind w:left="1020" w:right="100" w:hanging="503"/>
        <w:spacing w:after="0" w:line="281" w:lineRule="auto"/>
        <w:tabs>
          <w:tab w:leader="none" w:pos="10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w:t>
      </w:r>
    </w:p>
    <w:p>
      <w:pPr>
        <w:spacing w:after="0" w:line="177"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The aforementioned EU rules are generally applicable in the European Economic Area, or EEA, which consists of the EU Member States, plus Norway, Liechtenstein and Iceland.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Brexit and the regulatory framework in the United Kingdom</w:t>
      </w:r>
    </w:p>
    <w:p>
      <w:pPr>
        <w:spacing w:after="0" w:line="23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On June 23, 2016, the electorate in the United Kingdom, or UK, voted in favor of leaving the EU, commonly referred to as Brexit, and 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currently continues to apply in Northern Ireland). Except in respect of the new EU Clinical Trials Regulation, the regulatory regime in Great Britain for medicines therefore largely aligns with EU regulations, however, it is possible that these regimes will diverge more significantly in the future now that Great Britain’s regulatory system is independent from the EU and the TCA does not provide for mutual recognition of UK and EU pharmaceutical legislation.</w:t>
      </w:r>
    </w:p>
    <w:p>
      <w:pPr>
        <w:spacing w:after="0" w:line="39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Medicines and Healthcare products Regulatory Agency, or MHRA, the UK medicines regulator, will be responsible for approving all medicinal products destined for the UK market (i.e., Great Britain and Northern Ireland), and the EMA will no longer have any role in approving medicinal products destined for Northern Ireland. A single UK-wide MA will be granted by the MHRA for all medicinal products to be sold in the UK, enabling products to be sold in a single pack and under a single authorization throughout the UK. The Windsor Framework was approved by the European Union-United Kingdom Joint Committee on March 24, 2023, and the UK government and the EU will therefore enact legislative measures to bring it into law. On June 9, 2023, the MHRA announced that the medicines aspects of the Windsor Framework will apply starting on January 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 regulation of the processing of personal data collected outside of the United States</w:t>
      </w:r>
    </w:p>
    <w:p>
      <w:pPr>
        <w:spacing w:after="0" w:line="23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If we continue to enroll subjects in our ongoing or future clinical trials in the EEA and UK, we will continue to be subject to additional data protection restrictions. The collection and use of personal data in the EEA, is governed by the General Data Protection Regulation, or the GDPR, which became effective on May 25, 2018. The GDPR applies to the processing of personal data of data subjects in the EEA by any company established in the EEA and to companies established outside the EEA to the extent they process personal data in connection with the offering of goods or services to data subjects in the EEA or the monitoring of the behavior of data subjects in the EEA. The GDPR sets forth data protection obligations for data controllers of personal data, including stringent requirements relating to notifying data subjects about how their personal data are being handled and how they can exercise their data protection rights, ensuring there is a valid legal basis to process personal data, and condition to process special categories of personal data (if this is consent, the requirements for obtaining consent carry a higher threshold), requirements to conduct data protection impact assessments for certain “high risk” processing, requirements to appoint a data protection officer where sensitive personal data are processed on a “large scale,” limitations on retention of personal data, mandatory data breach notification in certain circumstances, requirements to ensure appropriate technical and organizational measures are in place to safeguard personal data, and “privacy by design” requirements, and also creates direct obligations on service providers acting as data processors.</w:t>
      </w:r>
    </w:p>
    <w:p>
      <w:pPr>
        <w:spacing w:after="0" w:line="19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The GDPR imposes strict rules on the transfer of personal data outside of the EEA to countries that do not ensure an adequate level of protection. Failure to comply with the requirements of the GDPR and the related national data protection laws of the EEA, which may deviate slightly from the GDPR, may result in fines of up to 4% of a company’s global revenues for the preceding financial year, or €20,000,000, whichever is greater. Moreover, the GDPR grants data subjects the right to claim material and non-material damages resulting from infringement of the GDPR. Given the breadth and depth of changes in data protection obligations, maintaining compliance with the GDPR will require significant time, resources and expense, and we may be required to put in place additional controls and processes to ensure compliance with the new data protection rules. Further to the UK’s exit from the EU on January 31, 2020, the GDPR ceased to apply in the UK but the UK incorporated the GDPR (as it existed on December 31, 2020 but subject to certain UK specific amendments) into UK law, referred to as the UK GDPR. The UK GDPR and the UK Data Protection Act 2018 set forth the UK’s data protection regime, which is independent from but currently still aligned to the EU’s GDPR. Non-compliance with the UK GDPR may result in monetary penalties of up to £17.5 million or 4% of worldwide revenue, whichever is higher.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2" w:name="page33"/>
    <w:bookmarkEnd w:id="32"/>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Resources</w:t>
      </w:r>
    </w:p>
    <w:p>
      <w:pPr>
        <w:spacing w:after="0" w:line="237"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6"/>
          <w:szCs w:val="16"/>
          <w:color w:val="auto"/>
        </w:rPr>
        <w:t>As of December 31, 2024, we had 261 full-time employees. 104 of our employees have M.D. or Ph.D. degrees. Within our workforce, 80% of employees are engaged in research and development and 20%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7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We believe that our people are among our greatest assets and that a diverse and inclusive organization is more innovative and higher performing. We are committed to providing an inclusive, diverse and equitable environment for all employees, and creating an inclusive and collaborative culture that welcomes our differences and creates a safe space for employees to voice their different perspectives. As of December 31, 2024, among our employees, 49% were female and 51% were male. Among our leadership (which we define as employees at the vice president level and above), approximately 31% were female. As of December 31, 2024, 31% of our employees and 25% of our leadership identify as being from diverse racial and ethnic groups. On our Board of Directors, five of our eight directors are women and/or from a diverse racial and ethnic group.</w:t>
      </w:r>
    </w:p>
    <w:p>
      <w:pPr>
        <w:spacing w:after="0" w:line="184"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color w:val="auto"/>
        </w:rPr>
        <w:t>Our goal is for all employees, regardless of tenure and background, to feel a sense of belonging. As part of our efforts to create an environment where diverse perspectives and backgrounds are welcomed, we have two employee resource groups, which are led by our employees and focus on a specific community. Both organizations work in parallel to make our company the most inclusive organization possible, and to give back to the communities in and surrounding Cambridge, Massachusetts, where our primary office and laboratory space is located.</w:t>
      </w:r>
    </w:p>
    <w:p>
      <w:pPr>
        <w:spacing w:after="0" w:line="18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We are not only focused on recruiting top talent from a diverse range of backgrounds, industries and experiences, but also focused on retaining, developing and promoting our current employees. While the competition for talent remains strong as the number of biotechnology and pharmaceutical companies in the Cambridge area increases, we believe we can attract and retain the talent we need to be successful. We maintain a robust onboarding program to ensure all new hires are grounded in our business and culture and we conduct periodic talent reviews to identify high performing and high potential talent within the organization. This data is used to inform specific development opportunities for current and future leaders, create leadership training opportunities, drive meaningful development conversations and enable succession planning for key roles.</w:t>
      </w:r>
    </w:p>
    <w:p>
      <w:pPr>
        <w:spacing w:after="0" w:line="184"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6"/>
          <w:szCs w:val="16"/>
          <w:color w:val="auto"/>
        </w:rPr>
        <w:t>We regularly host company-wide sessions (virtual and onsite) where our employees brainstorm ideas, provide feedback on corporate initiatives, share scientific breakthroughs and recognize each other’s contributions and accomplishments. Instead of an annual employee survey, we conduct quarterly pulse checks to create a feedback-to-action loop, respond in a more timely fashion, celebrate team milestones and continue to leverage our strengths. These quarterly employee surveys help us measure employee engagement and inform future talent initiatives.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23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6"/>
          <w:szCs w:val="16"/>
          <w:color w:val="auto"/>
        </w:rPr>
        <w:t>We were incorporated under the laws of the State of Delaware on May 4, 2015 under the name Allostery, Inc. In December 2015, we changed our name to Relay Therapeutics, Inc. Our principal corporate office is located at 399 Binney Street,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6"/>
          <w:szCs w:val="16"/>
          <w:color w:val="auto"/>
        </w:rPr>
        <w:t xml:space="preserve"> Floor, Cambridge, MA 02142, and our telephone number is (617) 370-8837. Our website address is www.relaytx.com. Our website and the information contained on, or that can be accessed through, the website will not be deemed to be incorporated by reference in, and are not considered part of, this Annual Report on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23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Our website address is www.relaytx.com. 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&amp; Media" portion of our website free of charge as soon as reasonably practicable after we electronically file such material with, or furnish it to, the SEC. Information on our website is not part of this Annual Report on Form 10-K or any of our other filings with the SEC unless specifically incorporated herein or therein by reference. In addition, our filings with the SEC may be accessed through the SEC’s Interactive Data Electronic Applications system at www.sec.gov. All statements made in any of our filings with the SEC or documents available on our website,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86"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6"/>
          <w:szCs w:val="16"/>
          <w:color w:val="auto"/>
        </w:rPr>
        <w:t>Our code of conduct, corporate governance guidelines and the charters of our Audit Committee, Research and Development Committee, Compensation Committee and Nominating and Corporate Governance Committee are available through the "Investors &amp; Media" portion of our website.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3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and "Management’s Discussion and Analysis of Financial Condition and Results of Operations," before deciding whether to invest in our common stock. We believe the risks described below include risks that are material to us as well as other risks that may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materially harm our business, financial condition, results of operations and growth prospects and could result in a complete loss of your investment. Consequently, you should not consider the following to be a complete discussion of all potential risks or uncertainties.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Product Candidates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Clinical Development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never successfully completed any large-scale, pivotal clinical trials, and we may be unable to do so for any product candidates we develop.</w:t>
      </w:r>
    </w:p>
    <w:p>
      <w:pPr>
        <w:spacing w:after="0" w:line="2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6"/>
          <w:szCs w:val="16"/>
          <w:color w:val="auto"/>
        </w:rPr>
        <w:t>We have not yet demonstrated our ability to successfully complete any large-scale, pivotal clinical trials, obtain regulatory approvals, manufacture a commercial scale product, or arrange for a third party to do so on our behalf, or conduct sales and marketing activities necessary for successful commercialization. Our lead product candidate is in clinical development. We may not be able to file investigational new drug applications, or INDs, for any of our other product candidates on the timelines we expect, if at all. For example, we may experience manufacturing delays or delays with IND-enabling studies. Moreover, we cannot be sure that once we have submitted an IND, the FDA will allow further clinical trials to begin, or that, once begun, issues will not arise that require us to suspend or terminate clinical trials. The FDA or other regulatory authorities may impose a clinical hold before or after a trial begins for a number of reasons outlined in FDA regulations, including if the FDA believes the study drug raises a significant risk of illness or injury. If the FDA imposes a clinical hold, trials may not commence or recommence without FDA authorization and then only under terms authorized by the FDA. Accordingly, the submission of an IND does not mean the FDA will allow clinical trials to begin and, if and when clinical trials do commence under an active IND, issues may arise that require suspension or termination of such trials. Further, commencing each of these clinical trials is subject to finalizing the trial design based on discussions with the FDA and other regulatory authorities. Any guidance we receive from the FDA or other regulatory authorities is subject to change. Regulatory authorities could change their position, including, on the acceptability of our trial designs or the clinical endpoints selected, which may require us to complete additional clinical trials or impose stricter approval conditions than we currently expect. Successful completion of our clinical trials is a prerequisite to submitting a new drug application, or NDA, to the FDA and a Marketing Authorization Application, or MAA, to the EMA for each product candidate and, consequently, the ultimate approval and commercial marketing of each product candidate. While we have an ongoing first-in-human clinical trial for our lead product candidate, we do not know whether any of our current clinical trials will be completed on schedule, if at all, or whether any of our future clinical trials will begin on time or be completed on schedule, if at all.</w:t>
      </w:r>
    </w:p>
    <w:p>
      <w:pPr>
        <w:spacing w:after="0" w:line="19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77"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delayed in obtaining marketing approval for our product candidates;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obtain marketing approval at all;</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approval for indications or patient populations that are not as broad as intended or desired;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subject to post-marketing requirements; or</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the product removed from the market after obtaining marketing approval.</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Clinical product development involves a lengthy and expensive process, with an uncertain outcome.</w:t>
      </w:r>
    </w:p>
    <w:p>
      <w:pPr>
        <w:spacing w:after="0" w:line="23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It is impossible to predict when or if any of our product candidates will prove effective and safe in humans or will receive regulatory approval. Before obtaining marketing approval from regulatory authorities for the sale of any product candidate, we must complete preclinical studies and then conduct the required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and other nonclinical studies and clinical trials have nonetheless failed to obtain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color w:val="auto"/>
        </w:rPr>
        <w:t>marketing approval of their product candidates. Our preclinical and other nonclinical studies and future clinical trials may not be successful.</w:t>
      </w:r>
    </w:p>
    <w:p>
      <w:pPr>
        <w:spacing w:after="0" w:line="23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auto"/>
        </w:rPr>
        <w:t>From time to time, we may publish interim, top-line or preliminary data from our clinical trials. Interim data from clinical trials are subject to the risk that one or more of the clinical outcomes may materially change as more participants enroll and as data mature. Preliminary or top-line data also remain subject to cleaning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384" w:lineRule="exact"/>
        <w:rPr>
          <w:sz w:val="20"/>
          <w:szCs w:val="20"/>
          <w:color w:val="auto"/>
        </w:rPr>
      </w:pPr>
    </w:p>
    <w:p>
      <w:pPr>
        <w:ind w:right="7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incur additional costs or experience delays in completing, or ultimately be unable to complete, the development and commercialization of our product candidates.</w:t>
      </w:r>
    </w:p>
    <w:p>
      <w:pPr>
        <w:spacing w:after="0" w:line="16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product candidates, including:</w:t>
      </w:r>
    </w:p>
    <w:p>
      <w:pPr>
        <w:spacing w:after="0" w:line="177" w:lineRule="exact"/>
        <w:rPr>
          <w:sz w:val="20"/>
          <w:szCs w:val="20"/>
          <w:color w:val="auto"/>
        </w:rPr>
      </w:pPr>
    </w:p>
    <w:p>
      <w:pPr>
        <w:ind w:left="380" w:right="60" w:hanging="372"/>
        <w:spacing w:after="0" w:line="298"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regulators or institutional review boards, or IRBs, or ethics committees may not authorize us or our investigators to commence a clinical trial or conduct a clinical trial at a prospective trial site;</w:t>
      </w:r>
    </w:p>
    <w:p>
      <w:pPr>
        <w:spacing w:after="0" w:line="164" w:lineRule="exact"/>
        <w:rPr>
          <w:rFonts w:ascii="Times New Roman" w:cs="Times New Roman" w:eastAsia="Times New Roman" w:hAnsi="Times New Roman"/>
          <w:sz w:val="16"/>
          <w:szCs w:val="16"/>
          <w:color w:val="auto"/>
        </w:rPr>
      </w:pPr>
    </w:p>
    <w:p>
      <w:pPr>
        <w:ind w:left="380" w:right="200" w:hanging="372"/>
        <w:spacing w:after="0" w:line="298"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existing clinical trial sites may drop out of the clinical trial, which may require that we add new clinical trial sites or investigators;</w:t>
      </w:r>
    </w:p>
    <w:p>
      <w:pPr>
        <w:spacing w:after="0" w:line="234" w:lineRule="exact"/>
        <w:rPr>
          <w:rFonts w:ascii="Times New Roman" w:cs="Times New Roman" w:eastAsia="Times New Roman" w:hAnsi="Times New Roman"/>
          <w:sz w:val="16"/>
          <w:szCs w:val="16"/>
          <w:color w:val="auto"/>
        </w:rPr>
      </w:pPr>
    </w:p>
    <w:p>
      <w:pPr>
        <w:ind w:left="380" w:right="680" w:hanging="372"/>
        <w:spacing w:after="0" w:line="298"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trials of our product candidates may produce negative or inconclusive results, and we may decide, or regulators may require us, to conduct additional nonclinical studies or clinical trials or we may decide to abandon product development programs;</w:t>
      </w:r>
    </w:p>
    <w:p>
      <w:pPr>
        <w:spacing w:after="0" w:line="164" w:lineRule="exact"/>
        <w:rPr>
          <w:rFonts w:ascii="Times New Roman" w:cs="Times New Roman" w:eastAsia="Times New Roman" w:hAnsi="Times New Roman"/>
          <w:sz w:val="16"/>
          <w:szCs w:val="16"/>
          <w:color w:val="auto"/>
        </w:rPr>
      </w:pPr>
    </w:p>
    <w:p>
      <w:pPr>
        <w:ind w:left="380" w:right="140" w:hanging="372"/>
        <w:spacing w:after="0" w:line="298"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64" w:lineRule="exact"/>
        <w:rPr>
          <w:rFonts w:ascii="Times New Roman" w:cs="Times New Roman" w:eastAsia="Times New Roman" w:hAnsi="Times New Roman"/>
          <w:sz w:val="16"/>
          <w:szCs w:val="16"/>
          <w:color w:val="auto"/>
        </w:rPr>
      </w:pPr>
    </w:p>
    <w:p>
      <w:pPr>
        <w:ind w:left="380" w:right="340" w:hanging="372"/>
        <w:spacing w:after="0" w:line="298"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third-party contractors may fail to comply with regulatory requirements or meet their contractual obligations to us in a timely manner, or at all, or may deviate from the clinical trial protocol;</w:t>
      </w:r>
    </w:p>
    <w:p>
      <w:pPr>
        <w:spacing w:after="0" w:line="164" w:lineRule="exact"/>
        <w:rPr>
          <w:rFonts w:ascii="Times New Roman" w:cs="Times New Roman" w:eastAsia="Times New Roman" w:hAnsi="Times New Roman"/>
          <w:sz w:val="16"/>
          <w:szCs w:val="16"/>
          <w:color w:val="auto"/>
        </w:rPr>
      </w:pPr>
    </w:p>
    <w:p>
      <w:pPr>
        <w:ind w:left="380" w:right="40" w:hanging="372"/>
        <w:spacing w:after="0" w:line="298"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elect to, or regulators or IRBs or ethics committees may require us or our investigators to, suspend or terminate clinical research for various reasons, including noncompliance with regulatory requirements or a finding that the participants are being exposed to unacceptable health risks;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clinical trials of our product candidates may be greater than we anticipate;</w:t>
      </w:r>
    </w:p>
    <w:p>
      <w:pPr>
        <w:spacing w:after="0" w:line="234" w:lineRule="exact"/>
        <w:rPr>
          <w:rFonts w:ascii="Times New Roman" w:cs="Times New Roman" w:eastAsia="Times New Roman" w:hAnsi="Times New Roman"/>
          <w:sz w:val="16"/>
          <w:szCs w:val="16"/>
          <w:color w:val="auto"/>
        </w:rPr>
      </w:pPr>
    </w:p>
    <w:p>
      <w:pPr>
        <w:ind w:left="380" w:right="540" w:hanging="372"/>
        <w:spacing w:after="0" w:line="298"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adequately project the timing and quantity of our product candidates or other materials necessary to conduct clinical trials of our product candidates or the supply or quality of these materials may be insufficient or inadequate; and</w:t>
      </w:r>
    </w:p>
    <w:p>
      <w:pPr>
        <w:spacing w:after="0" w:line="164" w:lineRule="exact"/>
        <w:rPr>
          <w:rFonts w:ascii="Times New Roman" w:cs="Times New Roman" w:eastAsia="Times New Roman" w:hAnsi="Times New Roman"/>
          <w:sz w:val="16"/>
          <w:szCs w:val="16"/>
          <w:color w:val="auto"/>
        </w:rPr>
      </w:pPr>
    </w:p>
    <w:p>
      <w:pPr>
        <w:jc w:val="both"/>
        <w:ind w:left="380" w:right="100" w:hanging="372"/>
        <w:spacing w:after="0" w:line="281"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 candidates may have undesirable side effects or other unexpected characteristics, causing us or our investigators, regulators or IRBs or ethics committees to suspend or terminate the clinical trials, or reports may arise from nonclinical studies or clinical testing of other therapies that raise safety or efficacy concerns about our product candidates.</w:t>
      </w:r>
    </w:p>
    <w:p>
      <w:pPr>
        <w:spacing w:after="0" w:line="17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a suspension or termination or clinical hold due to a number of factors, including failure to conduct the clinical trial in accordance with regulatory requirements or our clinical protocols, inspection of the clinical trial operations or clinical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Our product development costs will also increase if we experience delays in preclinical studies, clinical trials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5" w:name="page36"/>
    <w:bookmarkEnd w:id="35"/>
    <w:p>
      <w:pPr>
        <w:ind w:right="80"/>
        <w:spacing w:after="0" w:line="298" w:lineRule="auto"/>
        <w:rPr>
          <w:sz w:val="20"/>
          <w:szCs w:val="20"/>
          <w:color w:val="auto"/>
        </w:rPr>
      </w:pPr>
      <w:r>
        <w:rPr>
          <w:rFonts w:ascii="Times New Roman" w:cs="Times New Roman" w:eastAsia="Times New Roman" w:hAnsi="Times New Roman"/>
          <w:sz w:val="16"/>
          <w:szCs w:val="16"/>
          <w:color w:val="auto"/>
        </w:rPr>
        <w:t>to market before we do and impair our ability to successfully commercialize our product candidates and may harm our business and results of operations. Any delays in our preclinical or current or future clinical development programs may harm our business, financial condition and prospects significantly.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experience delays or difficulties in the enrollment of patients in clinical trials, our receipt of necessary regulatory approvals could be delayed or prevented.</w:t>
      </w:r>
    </w:p>
    <w:p>
      <w:pPr>
        <w:spacing w:after="0" w:line="23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will be deploying our drug discovery platform across a broad target space, our ability to enroll eligible patients may be limited or may result in slower enrollment than we anticipate.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8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In addition to the competitive clinical trial environment, the eligibility criteria of our planned clinical trials will further limit the pool of available study participants as we will require that patients have specific characteristics that we can measure to assure their cancer or other disease is either severe enough or not too advanced to include them in a study. Additionally, the process of finding patients may prove costly. Where our clinical trials involve multiple combination arms, our ability to enroll eligible patients may be limited or may result in slower enrollment than we anticipate. We also may not be able to identify, recruit and enroll a sufficient number of patients to complete our clinical studies because of the perceived risks and benefits of the product candidates under study or any of the other therapies used in combination with such product candidates,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We have engaged and may continue to engage third parties to develop companion diagnostics for use in our clinical trials, but such third parties may not be successful in developing such companion diagnostics, furthering the difficulty in identifying patients with the targeted genetic mutations for our clinical trials. Further, if we are required to develop companion diagnostics and are unable to include patients with the targeted genetic mutations, this could compromise our ability to seek participation in the FDA’s expedited review and development programs, including Breakthrough Therapy Designation and Fast Track Designation, or otherwise to seek to accelerate clinical development and regulatory timelines. The FDA has indicated that if we continue RLY-2608 in a specific biomarker-defined population, a companion diagnostic device will be required to ensure its safe and effective use. If any of our future third-party companion diagnostic partners is unable or unwilling to obtain or maintain regulatory approval for a companion diagnostic for any of our product candidates, regulatory approval for such product candidates, if obtained at all, may be delayed.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Clinical trial enrollment may be affected by other factors including:</w:t>
      </w:r>
    </w:p>
    <w:p>
      <w:pPr>
        <w:spacing w:after="0" w:line="235"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severity of the disease under investigation;</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eligibility criteria for the clinical trial in question;</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an appropriate genomic screening test;</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perceived risks and benefits of the product candidate under study;</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resources and efforts required to facilitate timely enrollment in clinical trials;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approved products that treat the same indications as our product candidates;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patient referral practices of physicians;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monitor patients adequately during and after treatment;</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proximity and availability of clinical trial sites for prospective patients; and</w:t>
      </w:r>
    </w:p>
    <w:p>
      <w:pPr>
        <w:spacing w:after="0" w:line="234" w:lineRule="exact"/>
        <w:rPr>
          <w:rFonts w:ascii="Times New Roman" w:cs="Times New Roman" w:eastAsia="Times New Roman" w:hAnsi="Times New Roman"/>
          <w:sz w:val="16"/>
          <w:szCs w:val="16"/>
          <w:color w:val="auto"/>
        </w:rPr>
      </w:pPr>
    </w:p>
    <w:p>
      <w:pPr>
        <w:ind w:left="380" w:right="280" w:hanging="372"/>
        <w:spacing w:after="0" w:line="298" w:lineRule="auto"/>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factors we may not be able to control that may limit patients, principal investigators or staff or clinical site availability, such as uncertain geopolitical conditions or current or future pandemics.</w:t>
      </w:r>
    </w:p>
    <w:p>
      <w:pPr>
        <w:spacing w:after="0" w:line="164" w:lineRule="exact"/>
        <w:rPr>
          <w:sz w:val="20"/>
          <w:szCs w:val="20"/>
          <w:color w:val="auto"/>
        </w:rPr>
      </w:pPr>
    </w:p>
    <w:p>
      <w:pPr>
        <w:jc w:val="both"/>
        <w:ind w:right="200"/>
        <w:spacing w:after="0" w:line="275" w:lineRule="auto"/>
        <w:rPr>
          <w:sz w:val="20"/>
          <w:szCs w:val="20"/>
          <w:color w:val="auto"/>
        </w:rPr>
      </w:pPr>
      <w:r>
        <w:rPr>
          <w:rFonts w:ascii="Times New Roman" w:cs="Times New Roman" w:eastAsia="Times New Roman" w:hAnsi="Times New Roman"/>
          <w:sz w:val="16"/>
          <w:szCs w:val="16"/>
          <w:color w:val="auto"/>
        </w:rPr>
        <w:t>Additionally, for certain of our current and future clinical trials, we have and may utilize, an "open-label" trial design. An "open-label" clinical trial is one where both the patient and investigator know whether the patient is receiving the investigational product candidate or either an active drug or placebo. Most typically, open-label clinical trials test only the investigational product candidate and sometimes may do so at different dose levels. Open-label clinical trials are subject to various limitations that may exaggerate any therapeutic effect as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36" w:name="page37"/>
    <w:bookmarkEnd w:id="36"/>
    <w:p>
      <w:pPr>
        <w:ind w:right="180"/>
        <w:spacing w:after="0" w:line="272" w:lineRule="auto"/>
        <w:rPr>
          <w:sz w:val="20"/>
          <w:szCs w:val="20"/>
          <w:color w:val="auto"/>
        </w:rPr>
      </w:pPr>
      <w:r>
        <w:rPr>
          <w:rFonts w:ascii="Times New Roman" w:cs="Times New Roman" w:eastAsia="Times New Roman" w:hAnsi="Times New Roman"/>
          <w:sz w:val="16"/>
          <w:szCs w:val="16"/>
          <w:color w:val="auto"/>
        </w:rPr>
        <w:t>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when studied in a blinded trial.</w:t>
      </w:r>
    </w:p>
    <w:p>
      <w:pPr>
        <w:spacing w:after="0" w:line="182"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w:t>
      </w:r>
    </w:p>
    <w:p>
      <w:pPr>
        <w:spacing w:after="0" w:line="17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Any positive data from our preclinical or early clinical studies of our product candidates may not necessarily be predictive of the results of later clinical studies and any future clinical trials of our product candidates. Similarly, even if we are able to complete our planned preclinical and clinical studies or any future clinical trials of our product candidates according to our current development timeline, the positive data from such preclinical or early clinical studies and clinical trials of our product candidates may not be replicated in subsequent nonclinical studies or clinical trial results.</w:t>
      </w:r>
    </w:p>
    <w:p>
      <w:pPr>
        <w:spacing w:after="0" w:line="18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6"/>
          <w:szCs w:val="16"/>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other nonclinical and clinical data are often susceptible to varying interpretations and analyses and many companies that believed their product candidates performed satisfactorily in preclinical studies and clinical trials nonetheless failed to obtain FDA, EMA or other regulatory authority approval.</w:t>
      </w:r>
    </w:p>
    <w:p>
      <w:pPr>
        <w:spacing w:after="0" w:line="180" w:lineRule="exact"/>
        <w:rPr>
          <w:sz w:val="20"/>
          <w:szCs w:val="20"/>
          <w:color w:val="auto"/>
        </w:rPr>
      </w:pPr>
    </w:p>
    <w:p>
      <w:pPr>
        <w:ind w:right="2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current or future clinical trials or those of future collaborators or licensees may reveal significant adverse events not seen in our preclinical or other nonclinical studies or early clinical data and may result in a safety profile that would inhibit regulatory approval or market acceptance of any of our product candidates.</w:t>
      </w:r>
    </w:p>
    <w:p>
      <w:pPr>
        <w:spacing w:after="0" w:line="16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6"/>
          <w:szCs w:val="16"/>
          <w:color w:val="auto"/>
        </w:rPr>
        <w:t>Before obtaining regulatory approvals for the commercial sale of any products, we must demonstrate through lengthy, complex and expensive preclinical or other nonclinical studies and clinical trials that our product candidates are both safe and effective for use in each target indication. Clinical testing is expensive and can take many years to complete, and its outcome is inherently uncertain. Failure can occur at any time during the clinical trial process. The results of preclinical or other nonclinical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or other nonclinical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194"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We are developing certain product candidates and may develop future product candidates, in combination with one or more cancer or other therapies. The uncertainty resulting from the use of our product candidates in combination with other therapies may make it difficult to accurately predict side effects in future clinical trials.</w:t>
      </w:r>
    </w:p>
    <w:p>
      <w:pPr>
        <w:spacing w:after="0" w:line="16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As is the case with many treatments for cancer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clinical trials, or we may be required to abandon the clinical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If used in combination with other therapies in the future, our product candidates could exacerbate adverse events associated with the therapy, as well as result in adverse events from drug-drug interaction. Some potential therapeutics developed in the biotechnology industry that initially showed therapeutic promise in early-stage clinical trials have later been found to cause side effects that prevented their further development. Even if the side effects do not preclude the product from obtaining or maintaining marketing approval, undesirable side effects may inhibit market acceptance of the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color w:val="auto"/>
        </w:rPr>
        <w:t>approved product due to its tolerability versus other therapies. Any of these developments could materially harm our business, financial condition and prospects.</w:t>
      </w:r>
    </w:p>
    <w:p>
      <w:pPr>
        <w:spacing w:after="0" w:line="231"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spacing w:after="0" w:line="17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For example, as part of our research efforts, we develop various protein models and make predictions as to how molecules might move, with subsequent validation efforts in our and our CROs’ labs. There can be no assurance that we will find potential additional targets using this approach, that any such targets will be tractable, that preclinical development of any of our research programs will be successful or that any clinical validations will be successful. Our research programs may initially show promise in identifying potential indications and/or product candidates, yet fail to yield results for clinical development for a number of reasons, including:</w:t>
      </w:r>
    </w:p>
    <w:p>
      <w:pPr>
        <w:spacing w:after="0" w:line="184"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research methodology used may not be successful in identifying potential indications and/or product candidates;</w:t>
      </w:r>
    </w:p>
    <w:p>
      <w:pPr>
        <w:spacing w:after="0" w:line="234" w:lineRule="exact"/>
        <w:rPr>
          <w:rFonts w:ascii="Times New Roman" w:cs="Times New Roman" w:eastAsia="Times New Roman" w:hAnsi="Times New Roman"/>
          <w:sz w:val="16"/>
          <w:szCs w:val="16"/>
          <w:color w:val="auto"/>
        </w:rPr>
      </w:pPr>
    </w:p>
    <w:p>
      <w:pPr>
        <w:ind w:left="380" w:right="220" w:hanging="372"/>
        <w:spacing w:after="0" w:line="298" w:lineRule="auto"/>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product candidates may, after further study, be shown to have harmful adverse effects or other characteristics that indicate they are unlikely to be effective products; or</w:t>
      </w:r>
    </w:p>
    <w:p>
      <w:pPr>
        <w:spacing w:after="0" w:line="164" w:lineRule="exact"/>
        <w:rPr>
          <w:rFonts w:ascii="Times New Roman" w:cs="Times New Roman" w:eastAsia="Times New Roman" w:hAnsi="Times New Roman"/>
          <w:sz w:val="16"/>
          <w:szCs w:val="16"/>
          <w:color w:val="auto"/>
        </w:rPr>
      </w:pPr>
    </w:p>
    <w:p>
      <w:pPr>
        <w:ind w:left="380" w:hanging="372"/>
        <w:spacing w:after="0" w:line="298" w:lineRule="auto"/>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16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In June 2024, we announced three programs focused on vascular malformations, Fabry disease, and NRAS, but these programs are in preclinical development and may not reach clinical development on the timelines we expect or ever. Because we have limited financial and human resources, we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86"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6"/>
          <w:szCs w:val="16"/>
          <w:color w:val="auto"/>
        </w:rPr>
        <w:t>Accordingly, there can be no assurance that we will ever be able to identify additional therapeutic opportunities for our product candidates or to develop suitable potential product candidates through internal research programs or in collaboration with third parties, which could materially adversely affect our future growth and prospects. We may focus our efforts and resources on potential product candidates or other potential programs that ultimately prove to be unsuccessful.</w:t>
      </w:r>
    </w:p>
    <w:p>
      <w:pPr>
        <w:spacing w:after="0" w:line="173" w:lineRule="exact"/>
        <w:rPr>
          <w:sz w:val="20"/>
          <w:szCs w:val="20"/>
          <w:color w:val="auto"/>
        </w:rPr>
      </w:pPr>
    </w:p>
    <w:p>
      <w:pPr>
        <w:ind w:right="2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intend to develop our lead product candidate, may develop other current product candidates and potentially future product candidates, in combination with other therapies, which exposes us to additional risks.</w:t>
      </w:r>
    </w:p>
    <w:p>
      <w:pPr>
        <w:spacing w:after="0" w:line="160"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6"/>
          <w:szCs w:val="16"/>
          <w:color w:val="auto"/>
        </w:rPr>
        <w:t>We intend to develop RLY-2608 and may develop our other current product candidates and future product candidates, for use in combination with one or more currently approved cancer or other therapies. Even if any product candidate we develop was to receive marketing approval or be commercialized for use in combination with other existing therapies, we would continue to bear the risks that the FDA or similar regulatory authorities could revoke approval of the therapy used in combination with our product candidates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18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We are also evaluating RLY-2608 and may in the future evaluate other current product candidates or any future product candidates in combination with one or more cancer or other therapies that have not yet been approved for marketing by the FDA or similar regulatory authorities. For example, in June 2024, we entered into a clinical trial collaboration with Pfizer to evaluate atirmociclib, Pfizer’s investigative selective-CDK4 inhibitor, in combination with RLY-2608 and fulvestrant in patients with PI3Kα-mutated, HR+, HER2- metastatic breast cancer. We will not be able to market and sell any of our product candidates we develop in combination with any such unapproved therapies that do not ultimately obtain marketing approval. In addition, unapproved therapies face the same risks described with respect to our product candidates currently in development and clinical trials, including the potential for serious adverse effects, supply and/or manufacturing issues, delay in their clinical trials, and lack of FDA approval.</w:t>
      </w:r>
    </w:p>
    <w:p>
      <w:pPr>
        <w:spacing w:after="0" w:line="1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The uncertainty resulting from the use of our product candidates in combination with other approved or unapproved therapies may make it difficult to accurately predict side effects in current or future clinical trials. If the FDA or similar regulatory authorities do not approve these other drugs or revoke their approval of, or if safety, efficacy, manufacturing, or supply issues arise with, the drugs we choose to evaluate in combination with our lead product candidate or any other current or future product candidate we develop, we may be unable to obtain approval of or market any of such product candidates.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38" w:name="page39"/>
    <w:bookmarkEnd w:id="38"/>
    <w:p>
      <w:pPr>
        <w:ind w:right="2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product candidates utilize a novel mechanism of action and novel binding locations, which may result in greater research and development expenses, regulatory issues that could delay or prevent approval, or discovery of unknown or unanticipated adverse effects.</w:t>
      </w:r>
    </w:p>
    <w:p>
      <w:pPr>
        <w:spacing w:after="0" w:line="160"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6"/>
          <w:szCs w:val="16"/>
          <w:color w:val="auto"/>
        </w:rPr>
        <w:t>Our product candidates utilize novel mechanisms of action and novel binding locations, which may result in greater research and development expenses, regulatory issues that could delay or prevent approval, or discovery of unknown or unanticipated adverse effects. Our Dynamo® platform uses advanced computational models in tight integration with our medicinal chemistry, structural biology, enzymology and biophysics capabilities to predict and design the compounds that will achieve the most desirable characteristics, including potency, selectivity, bioavailability, and drug-like properties. A disruption in any of these capabilities may have significant adverse effects in our abilities to expand our Dynamo® platform, and we cannot predict whether we will continue to have access to these capabilities in the future to support our Dynamo® platform. In addition, there can be no assurance that we will be able to rapidly identify, design and synthesize the necessary compounds or that these or other problems related to the development of this novel mechanism will not arise in the future, which may cause significant delays, or raise problems that we may not be able to resolve.</w:t>
      </w:r>
    </w:p>
    <w:p>
      <w:pPr>
        <w:spacing w:after="0" w:line="18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our mechanism of action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Because our inhibitors utilize a novel mechanism of action that has not been the subject of extensive study compared to more well-known product candidates, there is also an increased risk that we may discover previously unknown or unanticipated adverse effects during our preclinical or other nonclinical studies and clinical trials. Any such events could adversely impact our business prospects, financial condition and results of operations.</w:t>
      </w:r>
    </w:p>
    <w:p>
      <w:pPr>
        <w:spacing w:after="0" w:line="391" w:lineRule="exact"/>
        <w:rPr>
          <w:sz w:val="20"/>
          <w:szCs w:val="20"/>
          <w:color w:val="auto"/>
        </w:rPr>
      </w:pPr>
    </w:p>
    <w:p>
      <w:pPr>
        <w:ind w:right="38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are conducting, or have filed clinical trial applications to conduct, clinical trials for our product candidates outside the United States, and the FDA and similar foreign regulatory authorities may not accept data from such trials.</w:t>
      </w:r>
    </w:p>
    <w:p>
      <w:pPr>
        <w:spacing w:after="0" w:line="16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6"/>
          <w:szCs w:val="16"/>
          <w:color w:val="auto"/>
        </w:rPr>
        <w:t>We have conducted or are conducting, or have filed clinical trial applications to conduct, additional clinical trials outside the United States, including Australia, the United Kingdom, Europe and Asia and may conduct, or file clinical trial applications to conduct, additional clinical trials in other foreign jurisdictions in the future.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clinical trials conducted outside of the United States or the applicable jurisdiction. If the FDA or any similar foreign regulatory authority does not accept such data, it would result in the need for additional clinical trials, which would be costly and time-consuming and delay aspects of our business plan, and which may result in our product candidates not receiving approval or clearance for commercialization in the applicable jurisdiction.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Obtaining Regulatory Approvals</w:t>
      </w:r>
    </w:p>
    <w:p>
      <w:pPr>
        <w:spacing w:after="0" w:line="231" w:lineRule="exact"/>
        <w:rPr>
          <w:sz w:val="20"/>
          <w:szCs w:val="20"/>
          <w:color w:val="auto"/>
        </w:rPr>
      </w:pPr>
    </w:p>
    <w:p>
      <w:pPr>
        <w:ind w:right="2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are not able to obtain, or if delays occur in obtaining, required regulatory approvals for our product candidates, we will not be able to commercialize, or will be delayed in commercializing, our product candidates, and our ability to generate revenue will be materially impaired.</w:t>
      </w:r>
    </w:p>
    <w:p>
      <w:pPr>
        <w:spacing w:after="0" w:line="16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similar authorities in other countries. Before we can commercialize any of our product candidates, we must obtain marketing approval. Currently, all of our product candidates are in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nonclinical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9" w:name="page40"/>
    <w:bookmarkEnd w:id="39"/>
    <w:p>
      <w:pPr>
        <w:ind w:right="420"/>
        <w:spacing w:after="0" w:line="298" w:lineRule="auto"/>
        <w:rPr>
          <w:sz w:val="20"/>
          <w:szCs w:val="20"/>
          <w:color w:val="auto"/>
        </w:rPr>
      </w:pPr>
      <w:r>
        <w:rPr>
          <w:rFonts w:ascii="Times New Roman" w:cs="Times New Roman" w:eastAsia="Times New Roman" w:hAnsi="Times New Roman"/>
          <w:sz w:val="16"/>
          <w:szCs w:val="16"/>
          <w:color w:val="auto"/>
        </w:rPr>
        <w:t>addition, regulatory authorities may find fault with our manufacturing process or facilities or that of third-party contract manufacturers. We may also face greater than expected difficulty in manufacturing our product candidates.</w:t>
      </w:r>
    </w:p>
    <w:p>
      <w:pPr>
        <w:spacing w:after="0" w:line="16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The process of obtaining regulatory approvals, both in the United States and abroad, is expensive and often takes many years. If the FDA or a similar foreign regulatory authority requires that we perform additional nonclinical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a 510(k) or other premarket approval application, or PMA, or equivalent application types, may cause delays in the approval or rejection of an application. The FDA and similar authorities in other countries have substantial discretion in the approval process and may refuse to accept any application or may decide that our data are insufficient for approval and require additional nonclinical, clinical or other studies. It is also unclear how FDA marketing approval policies along with FDA interpretations of law or regulatory discretion could change as a result of the U.S. Supreme Court’s decision to overturn prior established case law giving deference to agency decisions and interpretations. Our product candidates could be delayed in receiving, or fail to receive, regulatory approval for many reasons, including the following:</w:t>
      </w:r>
    </w:p>
    <w:p>
      <w:pPr>
        <w:spacing w:after="0" w:line="189"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similar foreign regulatory authorities may disagree with or change their position regarding the design or implementation of our clinical trials;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enroll a sufficient number of patients in our clinical studies;</w:t>
      </w:r>
    </w:p>
    <w:p>
      <w:pPr>
        <w:spacing w:after="0" w:line="234" w:lineRule="exact"/>
        <w:rPr>
          <w:rFonts w:ascii="Times New Roman" w:cs="Times New Roman" w:eastAsia="Times New Roman" w:hAnsi="Times New Roman"/>
          <w:sz w:val="16"/>
          <w:szCs w:val="16"/>
          <w:color w:val="auto"/>
        </w:rPr>
      </w:pPr>
    </w:p>
    <w:p>
      <w:pPr>
        <w:ind w:left="380" w:right="100" w:hanging="372"/>
        <w:spacing w:after="0" w:line="298" w:lineRule="auto"/>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demonstrate to the satisfaction of the FDA or similar foreign regulatory authorities that a product candidate is safe and effective for its proposed indication or a related companion diagnostic is suitable to identify appropriate patient populations;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of clinical trials may not meet the level of statistical significance required by the FDA or similar foreign regulatory authorities for approval;</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demonstrate that a product candidate’s clinical and other benefits outweigh its safety risks;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similar foreign regulatory authorities may disagree with our interpretation of data from nonclinical studies or clinical trials;</w:t>
      </w:r>
    </w:p>
    <w:p>
      <w:pPr>
        <w:spacing w:after="0" w:line="234" w:lineRule="exact"/>
        <w:rPr>
          <w:rFonts w:ascii="Times New Roman" w:cs="Times New Roman" w:eastAsia="Times New Roman" w:hAnsi="Times New Roman"/>
          <w:sz w:val="16"/>
          <w:szCs w:val="16"/>
          <w:color w:val="auto"/>
        </w:rPr>
      </w:pPr>
    </w:p>
    <w:p>
      <w:pPr>
        <w:ind w:left="380" w:right="60" w:hanging="372"/>
        <w:spacing w:after="0" w:line="298" w:lineRule="auto"/>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data collected from clinical trials of our product candidates may not be sufficient to support the submission of an NDA or other submission or to obtain regulatory approval in the United States or elsewhere;</w:t>
      </w:r>
    </w:p>
    <w:p>
      <w:pPr>
        <w:spacing w:after="0" w:line="164" w:lineRule="exact"/>
        <w:rPr>
          <w:rFonts w:ascii="Times New Roman" w:cs="Times New Roman" w:eastAsia="Times New Roman" w:hAnsi="Times New Roman"/>
          <w:sz w:val="16"/>
          <w:szCs w:val="16"/>
          <w:color w:val="auto"/>
        </w:rPr>
      </w:pPr>
    </w:p>
    <w:p>
      <w:pPr>
        <w:ind w:left="380" w:right="200" w:hanging="372"/>
        <w:spacing w:after="0" w:line="298" w:lineRule="auto"/>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or similar foreign regulatory authorities may find deficiencies with or fail to approve the manufacturing processes or facilities of third-party manufacturers with which we contract for clinical and commercial supplies; and</w:t>
      </w:r>
    </w:p>
    <w:p>
      <w:pPr>
        <w:spacing w:after="0" w:line="164" w:lineRule="exact"/>
        <w:rPr>
          <w:rFonts w:ascii="Times New Roman" w:cs="Times New Roman" w:eastAsia="Times New Roman" w:hAnsi="Times New Roman"/>
          <w:sz w:val="16"/>
          <w:szCs w:val="16"/>
          <w:color w:val="auto"/>
        </w:rPr>
      </w:pPr>
    </w:p>
    <w:p>
      <w:pPr>
        <w:ind w:left="380" w:right="520" w:hanging="372"/>
        <w:spacing w:after="0" w:line="298" w:lineRule="auto"/>
        <w:tabs>
          <w:tab w:leader="none" w:pos="3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policies or regulations of the FDA or similar foreign regulatory authorities may significantly change such that our clinical data are insufficient for approval.</w:t>
      </w:r>
    </w:p>
    <w:p>
      <w:pPr>
        <w:spacing w:after="0" w:line="16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Even if we were to obtain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Commercialization</w:t>
      </w:r>
    </w:p>
    <w:p>
      <w:pPr>
        <w:spacing w:after="0" w:line="23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7"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Our projections of both the number of people who have the diseases our product candidates are targeting, as well as the subset of people with such disease who have the potential to benefit from treatment with any of our product candidates, are based on estimates.</w:t>
      </w:r>
    </w:p>
    <w:p>
      <w:pPr>
        <w:spacing w:after="0" w:line="16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color w:val="auto"/>
        </w:rPr>
        <w:t>The total addressable market opportunity will ultimately depend upon, among other things, the diagnosis criteria included in the final label, and, if our product candidates are approved for sale for these indications, acceptance by the medical community and patient access, product pricing and reimbursement. The number of patients with cancers and solid tumors may turn out to be lower than expected, patients may not be otherwise amenable to treatment with our products, or new patients may become increasingly difficult to identify or gain access to, all of</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4" w:right="379" w:bottom="1440" w:gutter="0" w:footer="0" w:header="0"/>
        </w:sectPr>
      </w:pPr>
    </w:p>
    <w:bookmarkStart w:id="40" w:name="page41"/>
    <w:bookmarkEnd w:id="40"/>
    <w:p>
      <w:pPr>
        <w:ind w:right="60"/>
        <w:spacing w:after="0" w:line="272" w:lineRule="auto"/>
        <w:rPr>
          <w:sz w:val="20"/>
          <w:szCs w:val="20"/>
          <w:color w:val="auto"/>
        </w:rPr>
      </w:pPr>
      <w:r>
        <w:rPr>
          <w:rFonts w:ascii="Times New Roman" w:cs="Times New Roman" w:eastAsia="Times New Roman" w:hAnsi="Times New Roman"/>
          <w:sz w:val="16"/>
          <w:szCs w:val="16"/>
          <w:color w:val="auto"/>
        </w:rPr>
        <w:t>which would adversely affect our results of operations and our business. We may not be successful in our efforts to identify additional product candidates. Due to our limited resources and access to capital, we must prioritize development of certain product candidates. For example, in early 2024, we deprioritized RLY-5836, our second chemically distinct pan-mutant PI3K</w:t>
      </w:r>
      <w:r>
        <w:rPr>
          <w:rFonts w:ascii="Arial" w:cs="Arial" w:eastAsia="Arial" w:hAnsi="Arial"/>
          <w:sz w:val="16"/>
          <w:szCs w:val="16"/>
          <w:color w:val="auto"/>
        </w:rPr>
        <w:t>ɑ</w:t>
      </w:r>
      <w:r>
        <w:rPr>
          <w:rFonts w:ascii="Times New Roman" w:cs="Times New Roman" w:eastAsia="Times New Roman" w:hAnsi="Times New Roman"/>
          <w:sz w:val="16"/>
          <w:szCs w:val="16"/>
          <w:color w:val="auto"/>
        </w:rPr>
        <w:t xml:space="preserve"> inhibitor, in order to focus our resources on advancing RLY-2608 and, in December 2024, we entered into the exclusive global licensing agreement with Elevar for lirafugratinib, allowing us to maintain focus on the remainder of our portfolio. These and other prioritization decisions may prove to be the wrong choice and may adversely affect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substantial competition, which may result in others discovering, developing or commercializing products before or more successfully than we do.</w:t>
      </w:r>
    </w:p>
    <w:p>
      <w:pPr>
        <w:spacing w:after="0" w:line="23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6"/>
          <w:szCs w:val="16"/>
          <w:color w:val="auto"/>
        </w:rPr>
        <w:t>The development and commercialization of new products in the biopharmaceutical and related industries is highly competitive. We compete in the segments of the pharmaceutical, biotechnology, and other related markets that address computationally focused structure-based drug design in cancer and genetic diseases. There are other companies focusing on structure-based drug design to develop therapies in the fields of cancer and other diseases.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Any product candidates that we successfully develop and commercialize will compete with currently approved therapies and new therapies that may become available in the future from segments of the pharmaceutical, biotechnology and other related markets that pursue precision medicines. Key product features that would affect our ability to effectively compete with other therapeutics include the efficacy, safety and convenience of our products. We believe principal competitive factors to our business include, among other things, the accuracy of our computations and predictions, ability to integrate computational and experimental capabilities, ability to successfully transition research programs into clinical development, ability to raise capital, and the scalability of the platform, pipeline, and business.</w:t>
      </w:r>
    </w:p>
    <w:p>
      <w:pPr>
        <w:spacing w:after="0" w:line="18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Many of the companies that we compete against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Smaller or earlier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In addition, we cannot predict whether our current competitive advantages, such as our ability to leverage our Dynamo® platform and our relationships with external collaborators, will remain in place in the future. If these or other barriers to entry do not remain in place, other companies may be able to more directly or effectively compete with us.</w:t>
      </w:r>
    </w:p>
    <w:p>
      <w:pPr>
        <w:spacing w:after="0" w:line="18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more rapidly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182" w:lineRule="exact"/>
        <w:rPr>
          <w:sz w:val="20"/>
          <w:szCs w:val="20"/>
          <w:color w:val="auto"/>
        </w:rPr>
      </w:pPr>
    </w:p>
    <w:p>
      <w:pPr>
        <w:ind w:right="2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spacing w:after="0" w:line="16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Sales of these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4" w:right="379" w:bottom="1440" w:gutter="0" w:footer="0" w:header="0"/>
        </w:sectPr>
      </w:pPr>
    </w:p>
    <w:bookmarkStart w:id="41" w:name="page42"/>
    <w:bookmarkEnd w:id="41"/>
    <w:p>
      <w:pPr>
        <w:ind w:right="500"/>
        <w:spacing w:after="0" w:line="301" w:lineRule="auto"/>
        <w:rPr>
          <w:sz w:val="20"/>
          <w:szCs w:val="20"/>
          <w:color w:val="auto"/>
        </w:rPr>
      </w:pPr>
      <w:r>
        <w:rPr>
          <w:rFonts w:ascii="Times New Roman" w:cs="Times New Roman" w:eastAsia="Times New Roman" w:hAnsi="Times New Roman"/>
          <w:sz w:val="16"/>
          <w:szCs w:val="16"/>
          <w:color w:val="auto"/>
        </w:rPr>
        <w:t>reimbursement amount may not be high enough to allow us to establish or maintain pricing sufficient to realize a sufficient return on our investment. See "</w:t>
      </w:r>
      <w:r>
        <w:rPr>
          <w:rFonts w:ascii="Times New Roman" w:cs="Times New Roman" w:eastAsia="Times New Roman" w:hAnsi="Times New Roman"/>
          <w:sz w:val="16"/>
          <w:szCs w:val="16"/>
          <w:i w:val="1"/>
          <w:iCs w:val="1"/>
          <w:color w:val="auto"/>
        </w:rPr>
        <w:t>Business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Governmental Regulation – Insurance coverage and reimbursement.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There is also significant uncertainty related to the insurance coverage and reimbursement of newly approved products and coverage may be more limited than the purposes for which the medicine is approved by the FDA or similar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w:t>
      </w:r>
    </w:p>
    <w:p>
      <w:pPr>
        <w:spacing w:after="0" w:line="183"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6"/>
          <w:szCs w:val="16"/>
          <w:color w:val="auto"/>
        </w:rPr>
        <w:t>Factors payors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spacing w:after="0" w:line="16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in a timely manner. Further, these prices for drugs may be reduced by mandatory discounts or rebates required by government healthcare programs.</w:t>
      </w:r>
    </w:p>
    <w:p>
      <w:pPr>
        <w:spacing w:after="0" w:line="19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U.S. and generally prices tend to be significantly lower.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Reliance on Third Parties</w:t>
      </w:r>
    </w:p>
    <w:p>
      <w:pPr>
        <w:spacing w:after="0" w:line="23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have relied on, and expect to continue to rely on, third parties to conduct our current and future clinical trials of our product candidates,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7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pacing w:after="0" w:line="18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 to be inadequate compared to the first-hand knowledge we might have gained had the investigator-sponsored trials been sponsored and conducted by us, then our ability to design and conduct any future clinical trials ourselves may be adversely affected.</w:t>
      </w:r>
    </w:p>
    <w:p>
      <w:pPr>
        <w:spacing w:after="0" w:line="19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We rely and expect to continue to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2" w:right="359" w:bottom="1440" w:gutter="0" w:footer="0" w:header="0"/>
        </w:sectPr>
      </w:pPr>
    </w:p>
    <w:bookmarkStart w:id="42" w:name="page43"/>
    <w:bookmarkEnd w:id="42"/>
    <w:p>
      <w:pPr>
        <w:spacing w:after="0" w:line="267" w:lineRule="auto"/>
        <w:rPr>
          <w:sz w:val="20"/>
          <w:szCs w:val="20"/>
          <w:color w:val="auto"/>
        </w:rPr>
      </w:pPr>
      <w:r>
        <w:rPr>
          <w:rFonts w:ascii="Times New Roman" w:cs="Times New Roman" w:eastAsia="Times New Roman" w:hAnsi="Times New Roman"/>
          <w:sz w:val="16"/>
          <w:szCs w:val="16"/>
          <w:color w:val="auto"/>
        </w:rPr>
        <w:t>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similar foreign regulatory authorities for any products in clinical development, including the EMA and the MHRA. These regulatory authorities enforce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similar foreign regulatory authorities may require us to perform additional clinical trials before approving our marketing applications. We cannot assure you that, upon inspection, these regulatory authorities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9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Although we designed our first-in-human clinical trial of our lead product candidate and intend to design the future clinical trials for any other product candidates that we develop, we expect that CROs will conduct all of our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6"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staffing difficulties;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 to comply with contractual obligations;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 regulatory compliance issues;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undergo changes in priorities or become financially distressed; or</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relationships with other entities, some of which may be our competitors.</w:t>
      </w:r>
    </w:p>
    <w:p>
      <w:pPr>
        <w:spacing w:after="0" w:line="23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84"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6"/>
          <w:szCs w:val="16"/>
          <w:color w:val="auto"/>
        </w:rPr>
        <w:t>If any of our relationships with these third-party principal investigators or CROs terminate, we may not be able to enter into arrangements with alternative CROs. If principal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8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contract with third parties for the manufacture of our product candidates for preclinical development,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7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products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3"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43" w:name="page44"/>
    <w:bookmarkEnd w:id="43"/>
    <w:p>
      <w:pPr>
        <w:spacing w:after="0" w:line="268" w:lineRule="auto"/>
        <w:rPr>
          <w:sz w:val="20"/>
          <w:szCs w:val="20"/>
          <w:color w:val="auto"/>
        </w:rPr>
      </w:pPr>
      <w:r>
        <w:rPr>
          <w:rFonts w:ascii="Times New Roman" w:cs="Times New Roman" w:eastAsia="Times New Roman" w:hAnsi="Times New Roman"/>
          <w:sz w:val="16"/>
          <w:szCs w:val="16"/>
          <w:color w:val="auto"/>
        </w:rPr>
        <w:t>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similar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89"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64"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the third party for regulatory compliance and quality assurance;</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possible breach of the manufacturing agreement by the third party;</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possible misappropriation of our proprietary information, including our trade secrets and know-how; and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possible termination or nonrenewal of the agreement by the third party at a time that is costly or inconvenient for us.</w:t>
      </w:r>
    </w:p>
    <w:p>
      <w:pPr>
        <w:spacing w:after="0" w:line="23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 Due to capacity constraints at cGMP manufacturers, we have been required to forecast the amount of clinical trial supply needed for our clinical trials further in advance than had typically been required, and there is limited flexibility to adjust our manufacturing needs as our clinical trials progress, which may lead to added costs or delays in our clinical trials.</w:t>
      </w:r>
    </w:p>
    <w:p>
      <w:pPr>
        <w:spacing w:after="0" w:line="18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6"/>
          <w:szCs w:val="16"/>
          <w:color w:val="auto"/>
        </w:rPr>
        <w:t>Any performance failure on the part of our existing or future manufacturers could delay clinical development or marketing approval. We are also unable to predict how the effects of ongoing geopolitical conflicts may affect our third-party manufacturers, including any potential disruptions to our global supply chain. If our current contract manufacturers cannot perform as agreed, we may be required to replace such manufacturers, which we may not be able to do on reasonable terms, if at all, or manufacture the materials ourselves, for which we may not have the capabilities or resources. In either scenario, our clinical trials supply could be delayed significantly as we establish alternative supply sources. In some cases, the technical skills required to manufacture our products or product candidates may be unique or proprietary to the original contract manufacturing organization, or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may incur added costs and delays in identifying and qualifying any such replacement. Furthermore, a CMO may possess technology related to the manufacture of our product candidates that such CMO owns independently. This would increase our reliance on such CMO or require us to obtain a license from such CMO in order to have another CMO manufacture our product candidates.</w:t>
      </w:r>
    </w:p>
    <w:p>
      <w:pPr>
        <w:spacing w:after="0" w:line="18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We currently rely on foreign CMOs for the manufacture of certain of our product candidates for preclinical development and clinical testing and will likely continue to do so in the future. Foreign CMOs may be subject to U.S. legislation or investigations, such as the previously proposed BIOSECURE Act in the United States, sanctions, trade restrictions and other foreign regulatory requirements, which could increase the cost or reduce the supply of material available to us, delay the procurement or supply of such material, delay or impact clinical trials, have an adverse effect on our ability to secure significant commitments from governments to purchase our product candidates, if ever approved, and could adversely affect our financial condition and business prospects.</w:t>
      </w:r>
    </w:p>
    <w:p>
      <w:pPr>
        <w:spacing w:after="0" w:line="186" w:lineRule="exact"/>
        <w:rPr>
          <w:sz w:val="20"/>
          <w:szCs w:val="20"/>
          <w:color w:val="auto"/>
        </w:rPr>
      </w:pPr>
    </w:p>
    <w:p>
      <w:pPr>
        <w:jc w:val="both"/>
        <w:ind w:right="80"/>
        <w:spacing w:after="0" w:line="298" w:lineRule="auto"/>
        <w:rPr>
          <w:sz w:val="20"/>
          <w:szCs w:val="20"/>
          <w:color w:val="auto"/>
        </w:rPr>
      </w:pPr>
      <w:r>
        <w:rPr>
          <w:rFonts w:ascii="Times New Roman" w:cs="Times New Roman" w:eastAsia="Times New Roman" w:hAnsi="Times New Roman"/>
          <w:sz w:val="16"/>
          <w:szCs w:val="16"/>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60"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third parties upon whom we rely for the supply of the active pharmaceutical ingredients, drug product and starting materials used in our product candidates are our sole source of supply, and the loss of any of these suppliers could significantly harm our business.</w:t>
      </w:r>
    </w:p>
    <w:p>
      <w:pPr>
        <w:spacing w:after="0" w:line="160"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6"/>
          <w:szCs w:val="16"/>
          <w:color w:val="auto"/>
        </w:rPr>
        <w:t>The active pharmaceutical ingredients, or API, drug product and starting materials used in our product candidates are supplied to us primarily from single-source suppliers. Our ability to successfully develop our product candidates, and to ultimately supply our commercial products in quantities sufficient to meet the market demand, depends in part on our ability to obtain the API, drug product and starting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44" w:name="page45"/>
    <w:bookmarkEnd w:id="44"/>
    <w:p>
      <w:pPr>
        <w:spacing w:after="0" w:line="269" w:lineRule="auto"/>
        <w:rPr>
          <w:sz w:val="20"/>
          <w:szCs w:val="20"/>
          <w:color w:val="auto"/>
        </w:rPr>
      </w:pPr>
      <w:r>
        <w:rPr>
          <w:rFonts w:ascii="Times New Roman" w:cs="Times New Roman" w:eastAsia="Times New Roman" w:hAnsi="Times New Roman"/>
          <w:sz w:val="16"/>
          <w:szCs w:val="16"/>
          <w:color w:val="auto"/>
        </w:rPr>
        <w:t>materials for these products in accordance with regulatory requirements and in sufficient quantities for clinical testing and commercialization. We do not currently have arrangements in place for a redundant or second-source supply of any such API, drug product or starting materials in the event any of our current suppliers of such API, drug product or starting materials ceases its operations for any reason. If any of our third-party suppliers or manufacturers ceases its operations for any reason or is unable or unwilling to supply API, drug product or starting material in sufficient quantities, on the timelines necessary, or at acceptable prices, to meet our needs, it could impede, delay, limit or prevent our development efforts, which could harm our business, results of operations, financial condition and prospects. We are also unable to predict how changing global economic conditions or ongoing geopolitical conflicts and related global economic sanctions, or potential global health concerns will affect our third-party suppliers and manufacturers. Any negative impact of such matters on our third-party suppliers and manufacturers may also have an adverse impact on our results of operations or financial condition.</w:t>
      </w:r>
    </w:p>
    <w:p>
      <w:pPr>
        <w:spacing w:after="0" w:line="186"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For all of our product candidates, we intend to identify and qualify additional manufacturers to provide such API, drug product and starting materials prior to or after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6"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6"/>
          <w:szCs w:val="16"/>
          <w:color w:val="auto"/>
        </w:rPr>
        <w:t>Establishing additional or replacement suppliers for the API, drug product and starting materials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drug product and starting materials used in our product candidates, any interruption or delay in the supply of components or materials, or our inability to obtain such API, drug product or starting materials from alternate sources at acceptable prices in a timely manner could impede, delay, limit or prevent our development efforts, which could harm our business, results of operations, financial condition and prospects.</w:t>
      </w:r>
    </w:p>
    <w:p>
      <w:pPr>
        <w:spacing w:after="0" w:line="180"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have and may enter into other licenses or collaborations with third parties for the research, development, manufacture and commercialization of one or more of our programs or product candidates. If these licenses or collaborations are not successful, our business could be adversely affected.</w:t>
      </w:r>
    </w:p>
    <w:p>
      <w:pPr>
        <w:spacing w:after="0" w:line="16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We have entered into and may enter into licenses or collaborations with third parties for one or more of our programs or product candidates, such as the Elevar Agreement to develop and commercialize lirafugratinib. If we enter into any such arrangements with any third parties, we will likely have limited control over the amount and timing of resources that any licensees or collaborators dedicate to the development or commercialization of our product candidates. Our ability to generate revenue from these arrangements will depend on our licensees' or collaborators’ abilities to successfully perform the functions assigned to them.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licenses or collaborations we have entered into or will enter into may pose risks, including the following:</w:t>
      </w:r>
    </w:p>
    <w:p>
      <w:pPr>
        <w:spacing w:after="0" w:line="235"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Licensees or collaborators may have significant discretion in determining the efforts and resources that they will apply to these licenses or collaborations;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Licensees or collaborators may not perform their obligations as expected;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clinical trials conducted as part of these licenses or collaborations may not be successful;</w:t>
      </w:r>
    </w:p>
    <w:p>
      <w:pPr>
        <w:spacing w:after="0" w:line="234" w:lineRule="exact"/>
        <w:rPr>
          <w:rFonts w:ascii="Times New Roman" w:cs="Times New Roman" w:eastAsia="Times New Roman" w:hAnsi="Times New Roman"/>
          <w:sz w:val="16"/>
          <w:szCs w:val="16"/>
          <w:color w:val="auto"/>
        </w:rPr>
      </w:pPr>
    </w:p>
    <w:p>
      <w:pPr>
        <w:ind w:left="380" w:right="240" w:hanging="372"/>
        <w:spacing w:after="0" w:line="281" w:lineRule="auto"/>
        <w:tabs>
          <w:tab w:leader="none" w:pos="3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Licensees or collaborators may not pursue development and/or commercialization of any product candidates that achieve regulatory approval or may elect not to continue or renew development or commercialization programs based on clinical trial results, changes in the licensees' or collaborators’ strategic focus or available funding or external factors, such as an acquisition, that divert resources or create competing priorities;</w:t>
      </w:r>
    </w:p>
    <w:p>
      <w:pPr>
        <w:spacing w:after="0" w:line="177" w:lineRule="exact"/>
        <w:rPr>
          <w:rFonts w:ascii="Times New Roman" w:cs="Times New Roman" w:eastAsia="Times New Roman" w:hAnsi="Times New Roman"/>
          <w:sz w:val="16"/>
          <w:szCs w:val="16"/>
          <w:color w:val="auto"/>
        </w:rPr>
      </w:pPr>
    </w:p>
    <w:p>
      <w:pPr>
        <w:ind w:left="380" w:right="540" w:hanging="372"/>
        <w:spacing w:after="0" w:line="298" w:lineRule="auto"/>
        <w:tabs>
          <w:tab w:leader="none" w:pos="3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Licensees or collaborators may delay clinical trials, provide insufficient funding for clinical trials, stop a clinical trial or abandon a product candidate, repeat or conduct new clinical trials or require a new formulation of a product candidate for clinical testing;</w:t>
      </w:r>
    </w:p>
    <w:p>
      <w:pPr>
        <w:spacing w:after="0" w:line="164" w:lineRule="exact"/>
        <w:rPr>
          <w:rFonts w:ascii="Times New Roman" w:cs="Times New Roman" w:eastAsia="Times New Roman" w:hAnsi="Times New Roman"/>
          <w:sz w:val="16"/>
          <w:szCs w:val="16"/>
          <w:color w:val="auto"/>
        </w:rPr>
      </w:pPr>
    </w:p>
    <w:p>
      <w:pPr>
        <w:ind w:left="380" w:right="60" w:hanging="372"/>
        <w:spacing w:after="0" w:line="298" w:lineRule="auto"/>
        <w:tabs>
          <w:tab w:leader="none" w:pos="3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have access to, or may be restricted from disclosing, certain information regarding product candidates being developed or commercialized under a license or collaboration and, consequently, may have limited ability to inform our stockholders about the status of such product candidates;</w:t>
      </w:r>
    </w:p>
    <w:p>
      <w:pPr>
        <w:spacing w:after="0" w:line="164" w:lineRule="exact"/>
        <w:rPr>
          <w:rFonts w:ascii="Times New Roman" w:cs="Times New Roman" w:eastAsia="Times New Roman" w:hAnsi="Times New Roman"/>
          <w:sz w:val="16"/>
          <w:szCs w:val="16"/>
          <w:color w:val="auto"/>
        </w:rPr>
      </w:pPr>
    </w:p>
    <w:p>
      <w:pPr>
        <w:ind w:left="380" w:right="220" w:hanging="372"/>
        <w:spacing w:after="0" w:line="281" w:lineRule="auto"/>
        <w:tabs>
          <w:tab w:leader="none" w:pos="3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Licensees or collaborators could independently develop, or develop with third parties, products that compete directly or indirectly with our product candidates if the licensees or collaborators believe that competitive products are more likely to be successfully developed or can be commercialized under terms that are more economically attractive than ours;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45" w:name="page46"/>
    <w:bookmarkEnd w:id="45"/>
    <w:p>
      <w:pPr>
        <w:ind w:left="380" w:right="220" w:hanging="372"/>
        <w:spacing w:after="0" w:line="298" w:lineRule="auto"/>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candidates developed in collaboration with us may be viewed by any licensee or collaborator as competitive with their own product candidates or products, which may cause licensees or collaborators to cease to devote resources to the commercialization of our product candidates;</w:t>
      </w:r>
    </w:p>
    <w:p>
      <w:pPr>
        <w:spacing w:after="0" w:line="164" w:lineRule="exact"/>
        <w:rPr>
          <w:rFonts w:ascii="Times New Roman" w:cs="Times New Roman" w:eastAsia="Times New Roman" w:hAnsi="Times New Roman"/>
          <w:sz w:val="16"/>
          <w:szCs w:val="16"/>
          <w:color w:val="auto"/>
        </w:rPr>
      </w:pPr>
    </w:p>
    <w:p>
      <w:pPr>
        <w:ind w:left="380" w:right="100" w:hanging="372"/>
        <w:spacing w:after="0" w:line="298" w:lineRule="auto"/>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licensee or collaborator with marketing and distribution rights to one or more of our product candidates that achieve regulatory approval may not commit sufficient resources to the marketing and distribution of any such product candidate;</w:t>
      </w:r>
    </w:p>
    <w:p>
      <w:pPr>
        <w:spacing w:after="0" w:line="164" w:lineRule="exact"/>
        <w:rPr>
          <w:rFonts w:ascii="Times New Roman" w:cs="Times New Roman" w:eastAsia="Times New Roman" w:hAnsi="Times New Roman"/>
          <w:sz w:val="16"/>
          <w:szCs w:val="16"/>
          <w:color w:val="auto"/>
        </w:rPr>
      </w:pPr>
    </w:p>
    <w:p>
      <w:pPr>
        <w:ind w:left="380" w:right="180" w:hanging="372"/>
        <w:spacing w:after="0" w:line="275" w:lineRule="auto"/>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Disagreements with licensees or collaborators, including disagreements over proprietary rights, contract interpretation or the preferred course of development of any programs or product candidates, may cause delays or termination of the research, development, manufacture or commercialization of such programs or product candidates, may lead to additional responsibilities for us with respect to such programs or product candidates or may result in litigation or arbitration, any of which would be time-consuming and expensive;</w:t>
      </w:r>
    </w:p>
    <w:p>
      <w:pPr>
        <w:spacing w:after="0" w:line="182" w:lineRule="exact"/>
        <w:rPr>
          <w:rFonts w:ascii="Times New Roman" w:cs="Times New Roman" w:eastAsia="Times New Roman" w:hAnsi="Times New Roman"/>
          <w:sz w:val="16"/>
          <w:szCs w:val="16"/>
          <w:color w:val="auto"/>
        </w:rPr>
      </w:pPr>
    </w:p>
    <w:p>
      <w:pPr>
        <w:ind w:left="380" w:right="440" w:hanging="372"/>
        <w:spacing w:after="0" w:line="298" w:lineRule="auto"/>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Licensees or 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may arise with respect to the ownership of intellectual property developed pursuant to our licenses or collaborations;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Licensees or collaborators may infringe the intellectual property rights of third parties, which may expose us to litigation and potential liability; and</w:t>
      </w:r>
    </w:p>
    <w:p>
      <w:pPr>
        <w:spacing w:after="0" w:line="234" w:lineRule="exact"/>
        <w:rPr>
          <w:rFonts w:ascii="Times New Roman" w:cs="Times New Roman" w:eastAsia="Times New Roman" w:hAnsi="Times New Roman"/>
          <w:sz w:val="16"/>
          <w:szCs w:val="16"/>
          <w:color w:val="auto"/>
        </w:rPr>
      </w:pPr>
    </w:p>
    <w:p>
      <w:pPr>
        <w:ind w:left="380" w:right="40" w:hanging="372"/>
        <w:spacing w:after="0" w:line="281" w:lineRule="auto"/>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Licenses or collaborations may be terminated for the convenience of the licensee or collaborator and, if terminated, we could be required to raise additional capital to pursue further development or commercialization of the applicable product candidates. For example, Genentech terminated the Genentech Agreement for convenience effective as of January 7, 2025.</w:t>
      </w:r>
    </w:p>
    <w:p>
      <w:pPr>
        <w:spacing w:after="0" w:line="17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If our licenses or collaborations do not result in the successful development and commercialization of products, or if one of any future licensees or collaborators terminates its agreement with us, we may not receive any milestone or royalty payments under the license or collaboration. If we do not receive the payments we expect under these agreements, our development of product candidates could be delayed and we may need additional resources to develop our product candidates. All of the risks relating to product development, regulatory approval and commercialization summarized and described in this report also apply to the activities of our licensees or collaborators.</w:t>
      </w:r>
    </w:p>
    <w:p>
      <w:pPr>
        <w:spacing w:after="0" w:line="183"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In addition, if any licensee or collaborator terminates its agreement with us, we may find it more difficult to attract new licensees or collaborators and our reputation among the business and financial communities could be adversely affected.</w:t>
      </w:r>
    </w:p>
    <w:p>
      <w:pPr>
        <w:spacing w:after="0" w:line="160"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seek to establish additional licenses and/or collaborations, and, if we are not able to establish them on commercially reasonable terms, or at all, we may have to alter our development and commercialization plans.</w:t>
      </w:r>
    </w:p>
    <w:p>
      <w:pPr>
        <w:spacing w:after="0" w:line="16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Our product development programs and the potential commercialization of our product candidates will require substantial additional cash to fund expenses. For some of our product candidates, we may decide to license to, or collaborate with, additional pharmaceutical and biotechnology companies for the development and potential commercialization of those product candidates.</w:t>
      </w:r>
    </w:p>
    <w:p>
      <w:pPr>
        <w:spacing w:after="0" w:line="1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We face significant competition in seeking appropriate licensees and/or collaborators. Whether we reach a definitive agreement for a license or collaboration will depend, among other things, upon our assessment of the licensee's or collaborator’s resources and expertise, the terms and conditions of the proposed license or collaboration and the proposed licensee's or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licensee or collaborator may also consider alternative product candidates or technologies for similar indications that may be available to license or collaborate on and whether such a license or collaboration could be more attractive than the one with us for our product candidate. The terms of any additional licenses or collaborations or other arrangements that we may establish may not be favorable to us.</w:t>
      </w:r>
    </w:p>
    <w:p>
      <w:pPr>
        <w:spacing w:after="0" w:line="18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We may also be restricted under license or collaboration agreements from entering into future agreements on certain terms with potential licensees or collaborators. Licenses and collaborations are complex and time-consuming to negotiate and document. In addition, there have been a significant number of recent business combinations among large pharmaceutical companies that have resulted in a reduced number of potential future licensees and/or collaborators.</w:t>
      </w:r>
    </w:p>
    <w:p>
      <w:pPr>
        <w:spacing w:after="0" w:line="17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We may not be able to negotiate additional licenses or collaborations on a timely basis, on acceptable terms, or at all. If we are unable to do so, we may have to curtail the development of the product candidate for which we are seeking to license or collaborate, reduce or delay its development program or one or more of our other development programs, delay its potential commercialization or reduce the scope of any</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46" w:name="page47"/>
    <w:bookmarkEnd w:id="46"/>
    <w:p>
      <w:pPr>
        <w:ind w:right="320"/>
        <w:spacing w:after="0" w:line="281" w:lineRule="auto"/>
        <w:rPr>
          <w:sz w:val="20"/>
          <w:szCs w:val="20"/>
          <w:color w:val="auto"/>
        </w:rPr>
      </w:pPr>
      <w:r>
        <w:rPr>
          <w:rFonts w:ascii="Times New Roman" w:cs="Times New Roman" w:eastAsia="Times New Roman" w:hAnsi="Times New Roman"/>
          <w:sz w:val="16"/>
          <w:szCs w:val="16"/>
          <w:color w:val="auto"/>
        </w:rPr>
        <w:t>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3"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Under the DESRES Agreement, as amended, we collaborate with D. E. Shaw Research to develop various protein models, a process that depends on D. E. Shaw Research’s use of their proprietary supercomputer, Anton 2. Any disagreements or disputes with D.E. Shaw Research could have a material adverse effect on our business, financial condition, results of operations, and prospects.</w:t>
      </w:r>
    </w:p>
    <w:p>
      <w:pPr>
        <w:spacing w:after="0" w:line="17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 addition to the computational tools and capabilities we have developed internally, under the DESRES Agreement, we collaborate with D. E. Shaw Research to develop various protein models to make predictions as to how molecules might move in connection with identifying potential new biological targets and prospective drug compounds. There can be no assurance these protein models, or the technology used by D. E. Shaw Research to develop them (including the Anton 2 supercomputer), will provide reliable data or target information, or that the findings from these activities and our subsequent validation efforts will translate into the ability to develop therapeutically effective compounds. Though we have developed and primarily rely on our own robust in-house long timescale molecular dynamics and machine learning capabilities across our preclinical research pipeline, we currently actively collaborate with D. E. Shaw Research on one early preclinical program. The initial research term under the DESRES Agreement will not extend past its current end date of August 16, 2025, and there can be no assurance that at any time while the collaboration is in effect D. E. Shaw Research will provide a level of service that benefits our programs in a meaningfully positive manner. While we also have other computational collaborations, mostly focused on developing machine learning models, such collaborations do not provide a direct substitute for the technology made available through our collaboration with D. E. Shaw Research. The expiration or termination of the DESRES Agreement or any significant reduction in our collaboration with D. E. Shaw Research will require us to rely more heavily on these other collaborations and our own internal resources, and could delay or impair our preclinical research efforts, in each case with respect to the preclinical program on which we collaborate with D.E. Shaw Research.</w:t>
      </w:r>
    </w:p>
    <w:p>
      <w:pPr>
        <w:spacing w:after="0" w:line="19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Furthermore, while the expiration or termination of the DESRES Agreement will not directly impact the development of our lead product candidate, we cannot predict the effects such expiration or termination could have on our preclinical studies and development efforts and our ability to discover and develop additional product candidates. In particular, the technologies accessed through D. E. Shaw Research, including the Anton 2 supercomputer, are useful aspects of our Dynamo® platform, and we do not currently have access to another source of computational power comparable to that provided by the Anton 2 supercomputer. Currently, not only is our collaboration with D. E. Shaw Research for a limited time period, but it is also limited with respect to the number of target proteins available under the collaboration (with such number subject to increases or decreases from year to year, and with the number of total targets across categories capped at twenty, subject to some limitations), which could restrict our ability to broaden our platform across a larger number of targets and programs.</w:t>
      </w:r>
    </w:p>
    <w:p>
      <w:pPr>
        <w:spacing w:after="0" w:line="19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Under the DESRES Agreement, D. E. Shaw Research controls the rights to its technology, we control the rights to certain compounds, and we jointly own with D. E. Shaw Research any other work product created by D. E. Shaw Research and us. Any work product we jointly own with D. E. Shaw Research and any other information that we or D. E. Shaw Research share is subject to a non-exclusive cross-license between us and D. E. Shaw Research, subject to certain exceptions. In some instances, D. E. Shaw Research is required to assign to us some of the work product created by D. E. Shaw Research. Disputes may arise between us and D. E. Shaw Research, as well as any future potential licensees or collaborators, regarding intellectual property subject to the DESRES Agreement. If disputes over intellectual property that we co-own or we own individually prevent or impair our ability to maintain our current licenses or collaboration arrangements on acceptable terms, or undermine our ability to successfully control the intellectual property necessary to protect our product candidates, we may be unable to successfully develop and commercialize the affected product candidates. Uncertainties or disagreements around our rights under any such intellectual property may undermine our ability to partner our programs with third parties.</w:t>
      </w:r>
    </w:p>
    <w:p>
      <w:pPr>
        <w:spacing w:after="0" w:line="18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6"/>
          <w:szCs w:val="16"/>
          <w:color w:val="auto"/>
        </w:rPr>
        <w:t>In addition, the DESRES Agreement is complex and certain provisions may be susceptible to multiple interpretations. The resolution of any contract interpretation disagreement that may arise could be adverse to us, for example, by narrowing what we believe to be the scope of our rights to certain intellectual property, or increasing what we believe to be our financial or other obligations under the DESRES Agreement, and any such outcome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generally also subject to all of the same risks with respect to protection of intellectual property that we co-own, as we are for intellectual property that we own. See "</w:t>
      </w:r>
    </w:p>
    <w:p>
      <w:pPr>
        <w:spacing w:after="0" w:line="2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i w:val="1"/>
          <w:iCs w:val="1"/>
          <w:color w:val="auto"/>
        </w:rPr>
        <w:t>– Risks Related to Our Intellectual Property – Risks Related to Protecting our Intellectual Property</w:t>
      </w:r>
      <w:r>
        <w:rPr>
          <w:rFonts w:ascii="Times New Roman" w:cs="Times New Roman" w:eastAsia="Times New Roman" w:hAnsi="Times New Roman"/>
          <w:sz w:val="16"/>
          <w:szCs w:val="16"/>
          <w:color w:val="auto"/>
        </w:rPr>
        <w:t>." If we or D. E. Shaw Research fail to adequately protect this intellectual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property, our ability to commercialize products could suffer.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Moreover, we are subject to certain payment obligations under the DESRES Agreement, including payments to D. E. Shaw Research in connection with certain transactions.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payment obligations may decrease the value to us of certain transactional opportunities or otherwise burden our ability to enter into such transactions.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47" w:name="page48"/>
    <w:bookmarkEnd w:id="47"/>
    <w:p>
      <w:pPr>
        <w:ind w:right="5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be required to pay certain milestones and royalties under our license or collaboration agreements with third-party licensors or collaborators, which may adversely affect the overall profitability of any products that we may seek to commercialize.</w:t>
      </w:r>
    </w:p>
    <w:p>
      <w:pPr>
        <w:spacing w:after="0" w:line="1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Under our current and future license or collaboration agreements, including our DESRES Agreement, we may be required to pay milestones, royalties and other payments based on our revenues, including revenues from product sales, and these milestones and royalty payments could adversely affect the overall profitability of any products that we may seek to commercialize. In order to maintain our rights under these agreements, we may need to meet certain specified milestones in the development of our product candidates. Further, our licensors (or their licensors), licensees or other strategic collaborators may dispute the terms, including amounts, that we are required to pay under the respective license or collaboration agreements. If these claims result in a material increase in the amounts that we are required to pay to our licensors or collaborators, or in the event of a claim of breach of the license, our ability to research, develop and obtain approval of product candidates or to commercialize our products could be significantly impaired.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Financial Position and Ability to Raise Additional Capital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Our Operating History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a biopharmaceutical company with a limited operating history.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a biopharmaceutical company with a limited operating history and have incurred net losses in each year since our inception. Our net losses were $337.7 million,</w:t>
      </w:r>
    </w:p>
    <w:p>
      <w:pPr>
        <w:spacing w:after="0" w:line="2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$342.0 million, and $290.5 million for the years ended December 31, 2024, 2023, and 2022, respectively. We had an accumulated deficit of $1.7 billion as of December 31, 2024. Biopharmaceutical product development is a highly speculative undertaking and involves a substantial degree of risk. We commenced operations in May 2015. Since inception, we have focused substantially all of our efforts and financial resources on developing our Dynamo® drug discovery platform and product candidates.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significant operating losses since our inception and anticipate that we will incur continued losses for the foreseeable future.</w:t>
      </w:r>
    </w:p>
    <w:p>
      <w:pPr>
        <w:spacing w:after="0" w:line="23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Substantially all of our operating losses have resulted from costs incurred in connection with our research and development programs and from general and administrative costs associated with our operations. We expect to continue to incur significant research and development expenses in connection with the commencement and continuation of clinical trials of our product candidates. In addition, if we obtain marketing approval for our product candidates, we will incur significant sales, marketing, and outsourced-manufacturing expenses. We will also continue to incur additional costs associated with operating as a public company. As a result, we expect to continue to incur significant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9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The amount of our future losses is uncertain and our quarterly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177" w:lineRule="exact"/>
        <w:rPr>
          <w:sz w:val="20"/>
          <w:szCs w:val="20"/>
          <w:color w:val="auto"/>
        </w:rPr>
      </w:pPr>
    </w:p>
    <w:p>
      <w:pPr>
        <w:ind w:left="380" w:right="80" w:hanging="372"/>
        <w:spacing w:after="0" w:line="298" w:lineRule="auto"/>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recruit and retain subjects for clinical trials, and any delays caused by difficulties in such efforts;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marketing approval for our product candidates, and the timing and scope of any such approvals we may receive;</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cost of, and level of investment in, research and development activities relating to our product candidates, which may change from time to time;</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manufacturing our product candidates, which may vary depending on the quantity of production and the terms of our agreements with manufacturers;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hire and retain qualified personnel;</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expenditures that we will or may incur to develop additional product candidates;</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0" w:right="359" w:bottom="1440" w:gutter="0" w:footer="0" w:header="0"/>
        </w:sectPr>
      </w:pPr>
    </w:p>
    <w:bookmarkStart w:id="48" w:name="page49"/>
    <w:bookmarkEnd w:id="48"/>
    <w:p>
      <w:pPr>
        <w:ind w:left="380" w:hanging="372"/>
        <w:spacing w:after="0"/>
        <w:tabs>
          <w:tab w:leader="none" w:pos="3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demand for our product candidates should they receive approval, which may vary significantly;</w:t>
      </w:r>
    </w:p>
    <w:p>
      <w:pPr>
        <w:spacing w:after="0" w:line="234" w:lineRule="exact"/>
        <w:rPr>
          <w:rFonts w:ascii="Times New Roman" w:cs="Times New Roman" w:eastAsia="Times New Roman" w:hAnsi="Times New Roman"/>
          <w:sz w:val="16"/>
          <w:szCs w:val="16"/>
          <w:color w:val="auto"/>
        </w:rPr>
      </w:pPr>
    </w:p>
    <w:p>
      <w:pPr>
        <w:ind w:left="380" w:hanging="372"/>
        <w:spacing w:after="0" w:line="298" w:lineRule="auto"/>
        <w:tabs>
          <w:tab w:leader="none" w:pos="3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risk/benefit profile, cost and reimbursement policies with respect to our product candidates, if approved, and existing and potential future therapeutics that compete with our product candidates;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changing and volatile U.S. and global economic environments or ongoing geopolitical conflicts; and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accounting pronouncements or changes in our accounting policies.</w:t>
      </w:r>
    </w:p>
    <w:p>
      <w:pPr>
        <w:spacing w:after="0" w:line="23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securities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no products approved for commercial sale and we have not generated any revenue from product sales.</w:t>
      </w:r>
    </w:p>
    <w:p>
      <w:pPr>
        <w:spacing w:after="0" w:line="23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Our ability to become profitable depends upon our ability to generate revenue. To date, we have no products approved for commercial sale, we have not generated any revenue from our product sales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183"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complete preclinical studies;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enroll subjects in, and complete, clinical trials;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our IND applications go into effect for our planned clinical trials or future clinical trials;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regulatory approvals from applicable regulatory authorities;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initiate and successfully complete all safety studies required to obtain U.S. and foreign marketing approval for our product candidates;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commercial manufacturing capabilities or make arrangements with third-party manufacturers for clinical supply and commercial manufacturing;</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patent and trade secret protection or regulatory exclusivity for our product candidates;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launch commercial sales of our product candidates, if and when approved, whether alone or in partnership or collaboration with others;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acceptance of the product candidates, if and when approved, by patients, the medical community and third-party payors;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compete with other therapies;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healthcare coverage and adequate reimbursement;</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enforce and defend intellectual property rights and claims;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precautionary measures to help minimize the risk of any future pandemics or outbreaks similar to COVID-19 to our employees; and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 continued acceptable safety profile of the product candidates following approval.</w:t>
      </w:r>
    </w:p>
    <w:p>
      <w:pPr>
        <w:spacing w:after="0" w:line="23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If we do not achieve one or more of these factors in a timely manner or at all, we may experience significant delays in our commercialization efforts or we may be unable to successfully commercialize our product candidates at all, which would materially harm our business and prospects. In addition, if we do not receive regulatory approvals for our product candidates, we may not be able to continue our operations.</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auto"/>
        </w:rPr>
        <w:t>Risks Related to Raising Additional Capital</w:t>
      </w:r>
    </w:p>
    <w:p>
      <w:pPr>
        <w:spacing w:after="0" w:line="231"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will need to raise substantial additional funding. If we are unable to raise capital when needed, we would be forced to delay, reduce or eliminate some of our product development programs or commercialization efforts.</w:t>
      </w:r>
    </w:p>
    <w:p>
      <w:pPr>
        <w:spacing w:after="0" w:line="160"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6"/>
          <w:szCs w:val="16"/>
          <w:color w:val="auto"/>
        </w:rPr>
        <w:t>The development of pharmaceutical products is capital-intensive. We have programs in clinical and preclinical development. We expect our expenses to increase in connection with our ongoing activities, particularly as we continue the research and development of, initiate clinical trials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continue to incur additional costs associated with operating as a public company. Accordingly, we will need to obtain substantial additional funding in connection with our continuing operations. If we are unable to raise capital when needed or fail to do so on attractive terms, we would be forced to delay, reduce or eliminate certain of our research and development programs or future commercialization efforts.</w:t>
      </w:r>
    </w:p>
    <w:p>
      <w:pPr>
        <w:spacing w:after="0" w:line="186"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We expect that our existing cash and cash equivalents and investments will be sufficient to fund our operations through at least the next 12 months. Our future capital requirements will depend on and could increase significantly as a result of many factors, including:</w:t>
      </w:r>
    </w:p>
    <w:p>
      <w:pPr>
        <w:spacing w:after="0" w:line="164" w:lineRule="exact"/>
        <w:rPr>
          <w:sz w:val="20"/>
          <w:szCs w:val="20"/>
          <w:color w:val="auto"/>
        </w:rPr>
      </w:pPr>
    </w:p>
    <w:p>
      <w:pPr>
        <w:ind w:left="380" w:right="860" w:hanging="372"/>
        <w:spacing w:after="0" w:line="298" w:lineRule="auto"/>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business interruptions to our operations, including the timing and enrollment of patients in our planned clinical trials, or to those of our manufacturers, suppliers, or other vendors, resulting from any public health crisis or ongoing geopolitical conflicts and related global economic sanctions;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our current and future clinical trials of our lead product candidate and additional preclinical research of our other programs;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drug discovery, preclinical research and clinical trials for our other product candidates;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future product candidates that we pursue and their development requirements;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our product candidates;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establish and maintain licenses or collaborations on favorable terms, if at all;</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any existing or future licenses or collaborations that we may enter into with third parties;</w:t>
      </w:r>
    </w:p>
    <w:p>
      <w:pPr>
        <w:spacing w:after="0" w:line="234" w:lineRule="exact"/>
        <w:rPr>
          <w:rFonts w:ascii="Times New Roman" w:cs="Times New Roman" w:eastAsia="Times New Roman" w:hAnsi="Times New Roman"/>
          <w:sz w:val="16"/>
          <w:szCs w:val="16"/>
          <w:color w:val="auto"/>
        </w:rPr>
      </w:pPr>
    </w:p>
    <w:p>
      <w:pPr>
        <w:ind w:left="380" w:right="680" w:hanging="372"/>
        <w:spacing w:after="0" w:line="298" w:lineRule="auto"/>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acquire or invest in businesses, products and technologies, including entering into licensing or collaboration arrangements for product candidates;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achievement of milestones or occurrence of other developments that trigger payments under any existing or future license or collaboration agreements, if any;</w:t>
      </w:r>
    </w:p>
    <w:p>
      <w:pPr>
        <w:spacing w:after="0" w:line="234" w:lineRule="exact"/>
        <w:rPr>
          <w:rFonts w:ascii="Times New Roman" w:cs="Times New Roman" w:eastAsia="Times New Roman" w:hAnsi="Times New Roman"/>
          <w:sz w:val="16"/>
          <w:szCs w:val="16"/>
          <w:color w:val="auto"/>
        </w:rPr>
      </w:pPr>
    </w:p>
    <w:p>
      <w:pPr>
        <w:ind w:left="380" w:right="120" w:hanging="372"/>
        <w:spacing w:after="0" w:line="298" w:lineRule="auto"/>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are obligated to reimburse, or entitled to reimbursement of, clinical trial costs under any existing or future license or collaboration agreements, if any;</w:t>
      </w:r>
    </w:p>
    <w:p>
      <w:pPr>
        <w:spacing w:after="0" w:line="164" w:lineRule="exact"/>
        <w:rPr>
          <w:rFonts w:ascii="Times New Roman" w:cs="Times New Roman" w:eastAsia="Times New Roman" w:hAnsi="Times New Roman"/>
          <w:sz w:val="16"/>
          <w:szCs w:val="16"/>
          <w:color w:val="auto"/>
        </w:rPr>
      </w:pPr>
    </w:p>
    <w:p>
      <w:pPr>
        <w:ind w:left="380" w:right="80" w:hanging="372"/>
        <w:spacing w:after="0" w:line="281" w:lineRule="auto"/>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licensee or collaborator that we may have at such time;</w:t>
      </w:r>
    </w:p>
    <w:p>
      <w:pPr>
        <w:spacing w:after="0" w:line="177"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revenue, if any, received from commercial sales of our product candidates, should any of our product candidates receive marketing approval;</w:t>
      </w:r>
    </w:p>
    <w:p>
      <w:pPr>
        <w:spacing w:after="0" w:line="234" w:lineRule="exact"/>
        <w:rPr>
          <w:rFonts w:ascii="Times New Roman" w:cs="Times New Roman" w:eastAsia="Times New Roman" w:hAnsi="Times New Roman"/>
          <w:sz w:val="16"/>
          <w:szCs w:val="16"/>
          <w:color w:val="auto"/>
        </w:rPr>
      </w:pPr>
    </w:p>
    <w:p>
      <w:pPr>
        <w:ind w:left="380" w:right="80" w:hanging="372"/>
        <w:spacing w:after="0" w:line="298" w:lineRule="auto"/>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preparing, filing and prosecuting patent applications, maintaining and enforcing our intellectual property rights and defending intellectual property-related claims;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headcount growth and associated costs if and/or as we expand our business operations and our research and development activities; and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operating as a public company.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50" w:name="page51"/>
    <w:bookmarkEnd w:id="50"/>
    <w:p>
      <w:pPr>
        <w:ind w:right="200"/>
        <w:spacing w:after="0" w:line="275" w:lineRule="auto"/>
        <w:rPr>
          <w:sz w:val="20"/>
          <w:szCs w:val="20"/>
          <w:color w:val="auto"/>
        </w:rPr>
      </w:pPr>
      <w:r>
        <w:rPr>
          <w:rFonts w:ascii="Times New Roman" w:cs="Times New Roman" w:eastAsia="Times New Roman" w:hAnsi="Times New Roman"/>
          <w:sz w:val="16"/>
          <w:szCs w:val="16"/>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18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Any additional fundraising efforts may divert our management from their day-to-day activities, which may adversely affect our ability to develop and commercialize our product candidates. Disruptions in the financial markets may make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9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Raising additional capital may cause dilution to our stockholders, restrict our operations or require us to relinquish rights to our technologies or product candidates.</w:t>
      </w:r>
    </w:p>
    <w:p>
      <w:pPr>
        <w:spacing w:after="0" w:line="23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Until such time, if ever, as we can generate substantial product revenues, we expect to finance our cash needs through a combination of private and public equity offerings, debt financings, collaborations, strategic alliances and licensing arrangements. We do not have any committed external source of funds. To the extent that we raise additional capital through the sale of common stock or securities convertible or exchangeable into common stock, the ownership interest of our stockholders will be diluted, and the terms of those securities may include liquidation or other preferences that materially adversely affect their rights as a common stockholder. We may offer and sell up to an aggregate amount of $250.0 million of our common stock from time to time in "at the market" offerings pursuant to the sales agreement, or the 2024 Sales Agreement, with TD Securities (USA) LLC, or TD Securities, subject to the limitations thereof. As of December 31, 2024, we have not sold any shares of common stock under the 2024 Sales Agreement.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8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If we raise funds through additional collaborations, strategic alliances or licensing arrangements with third parties, we may have to relinquish valuable rights to our intellectual property,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Public Health Matters and the Global Economy</w:t>
      </w:r>
    </w:p>
    <w:p>
      <w:pPr>
        <w:spacing w:after="0" w:line="233" w:lineRule="exact"/>
        <w:rPr>
          <w:sz w:val="20"/>
          <w:szCs w:val="20"/>
          <w:color w:val="auto"/>
        </w:rPr>
      </w:pPr>
    </w:p>
    <w:p>
      <w:pPr>
        <w:ind w:right="2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Any future pandemic, epidemic, or outbreak of an infectious disease similar to the COVID-19 pandemic could affect our business and our financial results and could cause disruption to the development of our product candidates.</w:t>
      </w:r>
    </w:p>
    <w:p>
      <w:pPr>
        <w:spacing w:after="0" w:line="16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Public health crises such as pandemics or similar outbreaks could adversely impact our business. A public health crisis similar to the COVID-19 pandemic could adversely impact our preclinical, other nonclinical or clinical trial operations in the United States, and we may experience delays in initiating, or fail to initiate, IND-enabling studies, recruiting and retaining patients, principal investigators and site staff for our clinical trials, dosing of patients in our clinical trials as well as in activating new trial sites, and protocol deviations. The negative impact of any such public health crisis on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4"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Any unforeseen disruptions arising from a public health crisis, including potential shutdowns or disruptions of businesses and government agencies, such as the SEC or FDA, could have a material adverse effect on our business and our results of operation and financial</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51" w:name="page52"/>
    <w:bookmarkEnd w:id="51"/>
    <w:p>
      <w:pPr>
        <w:ind w:right="160"/>
        <w:spacing w:after="0" w:line="298" w:lineRule="auto"/>
        <w:rPr>
          <w:sz w:val="20"/>
          <w:szCs w:val="20"/>
          <w:color w:val="auto"/>
        </w:rPr>
      </w:pPr>
      <w:r>
        <w:rPr>
          <w:rFonts w:ascii="Times New Roman" w:cs="Times New Roman" w:eastAsia="Times New Roman" w:hAnsi="Times New Roman"/>
          <w:sz w:val="16"/>
          <w:szCs w:val="16"/>
          <w:color w:val="auto"/>
        </w:rPr>
        <w:t>condition. Further, uncertainty around these and related issues could lead to adverse effects on the economy of the United States and other economies, which could impact our ability to raise the necessary capital needed to develop and commercialize our product candidates.</w:t>
      </w:r>
    </w:p>
    <w:p>
      <w:pPr>
        <w:spacing w:after="0" w:line="160"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Global economic and political conditions, including economic uncertainty tied to interest rates, credit and financial market instability, and uncertainty related to ongoing geopolitical conflicts, are difficult to mitigate and could pose challenges to our growth and profitability and could adversely affect our business, financial condition or results of operations.</w:t>
      </w:r>
    </w:p>
    <w:p>
      <w:pPr>
        <w:spacing w:after="0" w:line="1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Unstable market and economic conditions may have adverse consequences on our business, financial condition or results of operations. In recent years, the global economy, in particular the credit and financial markets, has experienced significant volatility and disruptions, including diminished liquidity and credit availability, volatility in commodity prices, declines in consumer confidence and economic growth, and supply chain interruptions. Other factors, including rising interest rates and record inflation, may also increase the general cost of doing business. In 2023, the closures of Silicon Valley Bank and Signature Bank and their placement into receivership with the Federal Deposit Insurance Corporation, or FDIC, created bank-specific and broader financial institution liquidity risk and concerns. Although the Department of the Treasury, the Federal Reserve, and the FDIC jointly released a statement that depositors at Silicon Valley Bank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w:t>
      </w:r>
    </w:p>
    <w:p>
      <w:pPr>
        <w:spacing w:after="0" w:line="18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6"/>
          <w:szCs w:val="16"/>
          <w:color w:val="auto"/>
        </w:rPr>
        <w:t>Continued economic uncertainty caused by these and other factors, including political instability, conflicts or crises, at the global level or involving individual countries or regions and any associated economic sanctions, could result in a variety of risks to our business, including difficulty in enrolling participants in our clinical trials, difficulty in forecasting our financial results and managing inventory levels, increases in our business costs, which in turn affect our ability to develop our current and future product candidates, and negatively impacting our ability to raise additional capital when needed on acceptable terms, if at all. In addition, political developments impacting government spending and international trade, including changes in trade agreements, potential government shutdowns and trade disputes and tariffs, including tariffs that have been or may in the future be imposed by the United States or other countries and future legislation or actions taken by the United States or other countries that restrict trade, and protectionist or retaliatory measures taken by the United States or other countries, may negatively impact markets and cause weaker macroeconomic conditions. These global economic and political factors have also strained and could continue to strain certain of our suppliers and manufacturers, possibly resulting in supply disruptions or increased raw material or manufacturing costs, or adversely impacting their ability to manufacture clinical trial materials for our product candidates. Any of the foregoing could harm our business and prospects and we cannot anticipate all of the ways in which the current economic climate and financial market conditions could adversely impact our operations.</w:t>
      </w:r>
    </w:p>
    <w:p>
      <w:pPr>
        <w:spacing w:after="0" w:line="188" w:lineRule="exact"/>
        <w:rPr>
          <w:sz w:val="20"/>
          <w:szCs w:val="20"/>
          <w:color w:val="auto"/>
        </w:rPr>
      </w:pPr>
    </w:p>
    <w:p>
      <w:pPr>
        <w:ind w:right="2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Significant political, trade, regulatory developments, and other circumstances beyond our control, could have a material adverse effect on our financial condition or results of operations.</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Significant political, trade, or regulatory developments,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With the transition to the Biden administration in early 2021, changes to U. S. policy occurred and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on February 1, 2025, the U.S. imposed a 25% tariff on imports from Canada and Mexico, which were subsequently suspended for a period of one month, and a 10% additional tariff on imports from 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Intellectual Property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Protecting Our Intellectual Property</w:t>
      </w:r>
    </w:p>
    <w:p>
      <w:pPr>
        <w:spacing w:after="0" w:line="231"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adequately protect our proprietary technology or obtain and maintain patent protection for our technology and products or if the scope of the patent protection obtained is not sufficiently broad, our competitors could develop and commercialize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i w:val="1"/>
          <w:iCs w:val="1"/>
          <w:color w:val="auto"/>
        </w:rPr>
        <w:t>technology and products similar or identical to ours, and our ability to successfully commercialize our technology and products will be impaired.</w:t>
      </w:r>
    </w:p>
    <w:p>
      <w:pPr>
        <w:spacing w:after="0" w:line="23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6"/>
          <w:szCs w:val="16"/>
          <w:color w:val="auto"/>
        </w:rPr>
        <w:t>Our commercial success will depend in part on our ability to obtain and maintain proprietary or intellectual property protection in the United States and other countries for our product candidates, and our core technologies, including our novel target discovery technology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 Other than our Japanese and U.S. patents relating to RLY-2608 and our U.S., Eurasian, European, Taiwanese, Japanese and Hong Kong patents relating to lirafugratinib (RLY-4008), we do not own or in-license any issued patents relating to our platform or our product candidates under clinical development.</w:t>
      </w:r>
    </w:p>
    <w:p>
      <w:pPr>
        <w:spacing w:after="0" w:line="190"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Most of the research and development for our programs has been performed under the DESRES Agreement. Under the DESRES Agreement, D. E. Shaw Research controls the rights to its technology (including its supercomputer and software, each of which are important aspects of our Dynamo® platform), we control the rights to certain compounds, and we jointly own with D. E. Shaw Research any other work product created by D. E. Shaw Research and us. Subject to certain limits, we have the right to have the following work product assigned to us: the composition of matter, method of use, and method of manufacture of certain compounds directed to a Category 1 Target, as set forth in the DESRES Agreement.</w:t>
      </w:r>
    </w:p>
    <w:p>
      <w:pPr>
        <w:spacing w:after="0" w:line="186"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We have not yet designated all of the compounds for which we will have this right of assignment, and thus, we do not yet know the scope of exclusivity we will enjoy under our patent rights for our product candidates.</w:t>
      </w:r>
    </w:p>
    <w:p>
      <w:pPr>
        <w:spacing w:after="0" w:line="164"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After any work product is assigned to us, we will have the right to prepare, file, prosecute and maintain patents that cover such assigned work product. We also have the implicit right to defend patents that cover work product owned by us.</w:t>
      </w:r>
    </w:p>
    <w:p>
      <w:pPr>
        <w:spacing w:after="0" w:line="16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To date, some of the work product created under our agreement with D. E. Shaw Research has been created by D. E. Shaw Research and us, together, and is thus initially co-owned. We have subsequently obtained sole ownership of certain intellectual property relating specifically to some of our clinical candidates. By virtue of inventorship, we jointly own intellectual property rights pertaining to RLY-2608, but retain the option to obtain sole ownership of intellectual property rights relating to it and other jointly owned PIK3CA inhibitors. We have the first right to prepare, file, prosecute, maintain and defend patents that cover work product jointly created by D. E. Shaw Research and us. If we choose not to exercise those rights with respect to patents and patent applications that cover joint work product, D. E. Shaw Research will have the right to take over such activities, unless such rights are waived. The party that is preparing, filing, prosecuting and maintaining a patent that covers joint work product also has the right to enforce such patent against infringers.</w:t>
      </w:r>
    </w:p>
    <w:p>
      <w:pPr>
        <w:spacing w:after="0" w:line="186"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patent position of biotechnology and pharmaceutical companies generally is highly uncertain, involves complex legal and factual questions and has in recent years been the subject of much litigation.</w:t>
      </w:r>
    </w:p>
    <w:p>
      <w:pPr>
        <w:spacing w:after="0" w:line="16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The degree of patent protection we require to successfully commercialize our product candidates may be unavailable or severely limited in some cases and may not adequately protect our rights or permit us to gain or keep any competitive advantage. We cannot provide any assurances that any of our pending patent applications will issue, or that any of our pending patent applications that mature into issued patents will include claims with a scope sufficient to protect our product candidates under clinical development or our other product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patent portfolio and any patent portfolio we may license in the future may not provide us with adequate and continuing patent protection sufficient to exclude others from commercializing products similar or identical to our product candidates, including generic versions of such products.</w:t>
      </w:r>
    </w:p>
    <w:p>
      <w:pPr>
        <w:spacing w:after="0" w:line="18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We have licensed patent rights, and in the future may license additional patent rights, to or from third parties, such as the license of our FGFR2 program, including lirafugratinib, to Elevar. These licensed patent rights may be valuable to our business, and we may not have the right to control the preparation, filing and prosecution of patent applications, or to maintain the patents, covering technology or medicines underlying such licenses. We cannot be certain that these patents and applications will be prosecuted and enforced in a manner consistent with the best interests of our business. If any such licensors or licensees fail to maintain such patents, or lose rights to those patents, the rights we have licensed may be reduced or eliminated and our right to develop and commercialize any of our products that are the subject of such licensed rights could be adversely affected.</w:t>
      </w:r>
    </w:p>
    <w:p>
      <w:pPr>
        <w:spacing w:after="0" w:line="18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53" w:name="page54"/>
    <w:bookmarkEnd w:id="53"/>
    <w:p>
      <w:pPr>
        <w:ind w:right="320"/>
        <w:spacing w:after="0" w:line="298" w:lineRule="auto"/>
        <w:rPr>
          <w:sz w:val="20"/>
          <w:szCs w:val="20"/>
          <w:color w:val="auto"/>
        </w:rPr>
      </w:pPr>
      <w:r>
        <w:rPr>
          <w:rFonts w:ascii="Times New Roman" w:cs="Times New Roman" w:eastAsia="Times New Roman" w:hAnsi="Times New Roman"/>
          <w:sz w:val="16"/>
          <w:szCs w:val="16"/>
          <w:color w:val="auto"/>
        </w:rPr>
        <w:t>licensed pending patent applications, or that we were the first to file for patent protection of such inventions. As a result, the issuance, scope, validity, enforceability and commercial value of our patent rights cannot be predicted with any certainty.</w:t>
      </w:r>
    </w:p>
    <w:p>
      <w:pPr>
        <w:spacing w:after="0" w:line="16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product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9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parties review, post-grant review or interference proceedings challenging our patent rights or the patent rights of others from whom we have obtained licenses to such rights.</w:t>
      </w:r>
    </w:p>
    <w:p>
      <w:pPr>
        <w:spacing w:after="0" w:line="18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8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With respect to intellectual property arising in the course of our collaboration with D. E. Shaw Research, disagreements between us and D. E. Shaw Research may impact our exclusive control of intellectual property important for protecting our product candidates and proprietary position. A loss of exclusivity, in whole or in part, could allow others to compete with us and harm our business.</w:t>
      </w:r>
    </w:p>
    <w:p>
      <w:pPr>
        <w:spacing w:after="0" w:line="19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products, without payment to us, or could limit the duration of the patent protection covering our technology and product candidates. Such challenges may also result in our inability to manufacture or commercialize our product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Even if they are unchallenged, our owned patent portfolio and any patent portfolio we may license in the future may not provide us with any meaningful protection or prevent competitors from designing around our patent claims to circumvent our owned or licensed patents by developing similar or alternative technologies or products in a non-infringing manner. For example, a third party may develop a competitive product that provides benefits similar to one or more of our product candidates but that has a different composition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w:t>
      </w:r>
    </w:p>
    <w:p>
      <w:pPr>
        <w:spacing w:after="0" w:line="180" w:lineRule="exact"/>
        <w:rPr>
          <w:sz w:val="20"/>
          <w:szCs w:val="20"/>
          <w:color w:val="auto"/>
        </w:rPr>
      </w:pPr>
    </w:p>
    <w:p>
      <w:pPr>
        <w:ind w:right="2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54" w:name="page55"/>
    <w:bookmarkEnd w:id="54"/>
    <w:p>
      <w:pPr>
        <w:ind w:right="120"/>
        <w:spacing w:after="0" w:line="298" w:lineRule="auto"/>
        <w:rPr>
          <w:sz w:val="20"/>
          <w:szCs w:val="20"/>
          <w:color w:val="auto"/>
        </w:rPr>
      </w:pPr>
      <w:r>
        <w:rPr>
          <w:rFonts w:ascii="Times New Roman" w:cs="Times New Roman" w:eastAsia="Times New Roman" w:hAnsi="Times New Roman"/>
          <w:sz w:val="16"/>
          <w:szCs w:val="16"/>
          <w:color w:val="auto"/>
        </w:rPr>
        <w:t>If we fail to maintain the patents and patent applications covering our products or procedures, we may not be able to stop a competitor from marketing products that are the same as or similar to our product candidates, which would have a material adverse effect on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failure to secure trademark registrations could adversely affect our business and our ability to market our products and product candidates.</w:t>
      </w:r>
    </w:p>
    <w:p>
      <w:pPr>
        <w:spacing w:after="0" w:line="23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Our trademark applications in the United States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USPTO and in corresponding foreign agencies,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business and our ability to market our products and product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protect the confidentiality of our trade secrets, our business and competitive position may be harmed.</w:t>
      </w:r>
    </w:p>
    <w:p>
      <w:pPr>
        <w:spacing w:after="0" w:line="23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19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6"/>
          <w:szCs w:val="16"/>
          <w:color w:val="auto"/>
        </w:rPr>
        <w:t>Our trade secrets could otherwise become known or be independently discovered by our competitors. Competitors could purchase our product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products, our competitive position could be adversely affected, as could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Intellectual Property Litigation</w:t>
      </w:r>
    </w:p>
    <w:p>
      <w:pPr>
        <w:spacing w:after="0" w:line="231"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Our commercial success depends upon our ability and the ability of our licensee or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product candidates and technology, including interference proceedings before the USPTO. Our competitors or other third parties may assert infringement claims against us, alleging that our products or technologies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PI3K inhibitors and FGFR2 inhibitors. Some of these patent applications have already been allowed or issued, and others may issue in the future. Since these areas are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or the practice of our technology. If a patent holder believes our product or product candidate infringes on its patent, the patent holder may sue us even if we have received patent protection for our technology. Moreover, we may face patent infringement claims from non-practicing entities that have no relevant product revenue and against whom our owned patent portfolio and any patent portfolio we may license in the future may thus have no deterrent effect.</w:t>
      </w:r>
    </w:p>
    <w:p>
      <w:pPr>
        <w:spacing w:after="0" w:line="19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If we are found to infringe a third party’s intellectual property rights, we could be required to obtain a license from such third party to continue developing and marketing our product candidates and technology. We may choose to obtain a license, even in the absence of an action or finding of infringement. In either case, we may not be able to obtain any required license on commercially reasonable terms or at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55" w:name="page56"/>
    <w:bookmarkEnd w:id="55"/>
    <w:p>
      <w:pPr>
        <w:ind w:right="40"/>
        <w:spacing w:after="0" w:line="271" w:lineRule="auto"/>
        <w:rPr>
          <w:sz w:val="20"/>
          <w:szCs w:val="20"/>
          <w:color w:val="auto"/>
        </w:rPr>
      </w:pPr>
      <w:r>
        <w:rPr>
          <w:rFonts w:ascii="Times New Roman" w:cs="Times New Roman" w:eastAsia="Times New Roman" w:hAnsi="Times New Roman"/>
          <w:sz w:val="16"/>
          <w:szCs w:val="16"/>
          <w:color w:val="auto"/>
        </w:rPr>
        <w:t>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product candidates. In addition, we could be found liable for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If we lose a foreign patent lawsuit, alleging our infringement of a competitor’s patents, we could be prevented from marketing our products in one or more foreign countries, which would have a materially adverse effect on our business.</w:t>
      </w:r>
    </w:p>
    <w:p>
      <w:pPr>
        <w:spacing w:after="0" w:line="180" w:lineRule="exact"/>
        <w:rPr>
          <w:sz w:val="20"/>
          <w:szCs w:val="20"/>
          <w:color w:val="auto"/>
        </w:rPr>
      </w:pPr>
    </w:p>
    <w:p>
      <w:pPr>
        <w:ind w:right="4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6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product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product candidates, which would have an adverse effect on our business, results of operations and financial condition.</w:t>
      </w:r>
    </w:p>
    <w:p>
      <w:pPr>
        <w:spacing w:after="0" w:line="186" w:lineRule="exact"/>
        <w:rPr>
          <w:sz w:val="20"/>
          <w:szCs w:val="20"/>
          <w:color w:val="auto"/>
        </w:rPr>
      </w:pPr>
    </w:p>
    <w:p>
      <w:pPr>
        <w:ind w:right="9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become involved in lawsuits to protect or enforce our patents and other intellectual property rights, which could be expensive, time consuming and unsuccessful.</w:t>
      </w:r>
    </w:p>
    <w:p>
      <w:pPr>
        <w:spacing w:after="0" w:line="16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any patents that may issue invalid. Moreover, it is also possible that prior art may exist that we are aware of but do not believe is relevant to our future patents, should they issue, but that could nevertheless be determined to render our patents invalid.</w:t>
      </w:r>
    </w:p>
    <w:p>
      <w:pPr>
        <w:spacing w:after="0" w:line="194"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6"/>
          <w:szCs w:val="16"/>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product candidates, we would lose at least part, and perhaps all, of the patent protection covering such product candidate. Competing products may also be sold in other countries in which our patent coverage might not exist or be as strong.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litigation could cause us to spend substantial resources and distract our personnel from their normal responsibilities.</w:t>
      </w:r>
    </w:p>
    <w:p>
      <w:pPr>
        <w:spacing w:after="0" w:line="23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9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color w:val="auto"/>
        </w:rPr>
        <w:t>initiation and continuation of patent litigation or other proceedings could have a material adverse effect on our ability to compete in the marketplace.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Enforcement of Our Intellectual Property Rights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effectively enforce our intellectual property rights throughout the world.</w:t>
      </w:r>
    </w:p>
    <w:p>
      <w:pPr>
        <w:spacing w:after="0" w:line="23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 candidates, and our patents or other intellectual property rights may not be effective or sufficient to prevent them from competing.</w:t>
      </w:r>
    </w:p>
    <w:p>
      <w:pPr>
        <w:spacing w:after="0" w:line="19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6"/>
          <w:szCs w:val="16"/>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product candidates, we cannot ensure that we will be able to initiate or maintain similar efforts in all jurisdictions in which we may wish to market our product candidates. Accordingly, our efforts to protect our intellectual property rights in such countries may be inadequate.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do not obtain patent term extension and data exclusivity for any product candidates we may develop, our business may be materially harmed.</w:t>
      </w:r>
    </w:p>
    <w:p>
      <w:pPr>
        <w:spacing w:after="0" w:line="23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Third Party Intellectual Property</w:t>
      </w:r>
    </w:p>
    <w:p>
      <w:pPr>
        <w:spacing w:after="0" w:line="231" w:lineRule="exact"/>
        <w:rPr>
          <w:sz w:val="20"/>
          <w:szCs w:val="20"/>
          <w:color w:val="auto"/>
        </w:rPr>
      </w:pPr>
    </w:p>
    <w:p>
      <w:pPr>
        <w:ind w:right="38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need to license certain intellectual property from third parties, and such licenses may not be available or may not be available on commercially reasonable terms.</w:t>
      </w:r>
    </w:p>
    <w:p>
      <w:pPr>
        <w:spacing w:after="0" w:line="16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Although we believe that licenses to these patents are available from these third parties on commercially reasonable terms, if we were not able to obtain a license, or were not able to obtain a license on commercially reasonable terms, our business could be harmed, possibly materially.</w:t>
      </w:r>
    </w:p>
    <w:p>
      <w:pPr>
        <w:spacing w:after="0" w:line="182" w:lineRule="exact"/>
        <w:rPr>
          <w:sz w:val="20"/>
          <w:szCs w:val="20"/>
          <w:color w:val="auto"/>
        </w:rPr>
      </w:pPr>
    </w:p>
    <w:p>
      <w:pPr>
        <w:ind w:right="50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our obligations in the agreements under which we collaborate with or license intellectual property rights from third parties, or otherwise experience disruptions to our business relationships with our collaborators or licensors, we could lose rights that are important to our business.</w:t>
      </w:r>
    </w:p>
    <w:p>
      <w:pPr>
        <w:spacing w:after="0" w:line="16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color w:val="auto"/>
        </w:rPr>
        <w:t>We expect our future license agreements will impose various development, diligence, commercialization, and other obligations on us in order to maintain the licenses. In spite of our efforts, a future licensor might conclude that we have materially breached our obligations under such license agreements and seek to terminate the license agreements, thereby removing or limiting our ability to develop and commercialize products and technology covered by these license agreements. If these in-licenses are terminated, or if the underlying patent rights licensed thereunder fail to provide the intended exclusivity, competitors or other third parties would have the freedom to seek</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57" w:name="page58"/>
    <w:bookmarkEnd w:id="57"/>
    <w:p>
      <w:pPr>
        <w:ind w:right="500"/>
        <w:spacing w:after="0" w:line="298" w:lineRule="auto"/>
        <w:rPr>
          <w:sz w:val="20"/>
          <w:szCs w:val="20"/>
          <w:color w:val="auto"/>
        </w:rPr>
      </w:pPr>
      <w:r>
        <w:rPr>
          <w:rFonts w:ascii="Times New Roman" w:cs="Times New Roman" w:eastAsia="Times New Roman" w:hAnsi="Times New Roman"/>
          <w:sz w:val="16"/>
          <w:szCs w:val="16"/>
          <w:color w:val="auto"/>
        </w:rPr>
        <w:t>regulatory approval of, and to market, products identical to ours and we may be required to cease our development and commercialization of certain of our product candidates. Any of the foregoing could have a material adverse effect on our competitive position, business, financial conditions, results of operations, and prospects.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Moreover, disputes may arise regarding intellectual property subject to a licensing agreement, including:</w:t>
      </w:r>
    </w:p>
    <w:p>
      <w:pPr>
        <w:spacing w:after="0" w:line="235"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rights granted under the license agreement and other interpretation-related issues;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our technology and processes infringe on intellectual property of the licensor that is not subject to the licensing agreement;</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sublicensing of patent and other rights under our collaborative development relationships;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diligence obligations under the license agreement and what activities satisfy those diligence obligations;</w:t>
      </w:r>
    </w:p>
    <w:p>
      <w:pPr>
        <w:spacing w:after="0" w:line="234" w:lineRule="exact"/>
        <w:rPr>
          <w:rFonts w:ascii="Times New Roman" w:cs="Times New Roman" w:eastAsia="Times New Roman" w:hAnsi="Times New Roman"/>
          <w:sz w:val="16"/>
          <w:szCs w:val="16"/>
          <w:color w:val="auto"/>
        </w:rPr>
      </w:pPr>
    </w:p>
    <w:p>
      <w:pPr>
        <w:ind w:left="380" w:right="180" w:hanging="372"/>
        <w:spacing w:after="0" w:line="298" w:lineRule="auto"/>
        <w:tabs>
          <w:tab w:leader="none" w:pos="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inventorship and ownership of inventions and know-how resulting from the joint creation or use of intellectual property by our licensors and us and our partners; and</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priority of invention of patented technology.</w:t>
      </w:r>
    </w:p>
    <w:p>
      <w:pPr>
        <w:spacing w:after="0" w:line="23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The agreements under which we may license intellectual property or technology from third parties may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8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These and similar issues may arise with respect to our collaboration agreements, such as our DESRES Agreement, as amended. While we primarily rely on our own internal computational capabilities, we currently actively collaborate with D. E. Shaw Research on one preclinical research program, and the initial research term under the DESRES Agreement will not extend past its current end date. There can be no assurance that at any time while the collaboration is in effect D. E. Shaw Research will provide any particular level of services or that the parties will operate under the agreement without disputes. These disputes may involve ownership or control of intellectual property rights, exclusivity obligations, diligence and payment obligations, for example.</w:t>
      </w:r>
    </w:p>
    <w:p>
      <w:pPr>
        <w:spacing w:after="0" w:line="18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color w:val="auto"/>
        </w:rPr>
        <w:t>The DESRES Agreement imposes certain exclusivity obligations on us during the term of the agreement with respect to Category 2 targets, and certain exclusivity obligations on D. E. Shaw Research during and after the term of the agreement. While we have some degree of control over how we designate various targets under the DESRES Agreement, D. E. Shaw Research has some degree of control over such designations as well, and our exclusivity obligations limit or delay our ability to conduct research on selected targets with third parties.</w:t>
      </w:r>
    </w:p>
    <w:p>
      <w:pPr>
        <w:spacing w:after="0" w:line="18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Under the DESRES Agreement, D. E. Shaw Research controls the rights to its technology, we control the rights to certain compounds, and we jointly own with D. E. Shaw Research any other work product created by D. E. Shaw Research and us. Any work product we jointly own with D. E. Shaw Research and any other information that we or D. E. Shaw Research share is subject to a non-exclusive cross-license between us and D. E. Shaw Research, subject to certain exceptions. In some instances, D. E. Shaw Research is required to assign to us some of the work product created by D. E. Shaw Research. Disputes may arise between us and D. E. Shaw Research, as well as any licensees or future potential collaborators, regarding intellectual property subject to the DESRES Agreement. If disputes over intellectual property that we co-own or we own individually prevent or impair our ability to maintain our current licensing or collaboration arrangements on acceptable terms, or undermine our ability to successfully control the intellectual property necessary to protect our product candidates, we may be unable to successfully develop and commercialize the affected product candidates. Uncertainties or disagreements around our rights under any such intellectual property may undermine our ability to partner our programs with third parties.</w:t>
      </w:r>
    </w:p>
    <w:p>
      <w:pPr>
        <w:spacing w:after="0" w:line="186"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6"/>
          <w:szCs w:val="16"/>
          <w:color w:val="auto"/>
        </w:rPr>
        <w:t>In addition, the DESRES Agreement is complex and certain provisions may be susceptible to multiple interpretations. The resolution of any contract interpretation disagreement that may arise could be adverse to us, for example by narrowing what we believe to be the scope of our rights to certain intellectual property, or increasing what we believe to be our financial or other obligations under the DESRES Agreement, and any such outcome could have a material adverse effect on our business, financial condition, results of operations, and prospects.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auto"/>
        </w:rPr>
        <w:t>Risks Related to Intellectual Property Laws</w:t>
      </w:r>
    </w:p>
    <w:p>
      <w:pPr>
        <w:spacing w:after="0" w:line="231"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Changes to the patent law in the United States and other jurisdictions could diminish the value of patents in general, thereby impairing our ability to protect our product candidates.</w:t>
      </w:r>
    </w:p>
    <w:p>
      <w:pPr>
        <w:spacing w:after="0" w:line="16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89"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rights in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any patents that we may obtain in the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rights do not necessarily address all potential threats.</w:t>
      </w:r>
    </w:p>
    <w:p>
      <w:pPr>
        <w:spacing w:after="0" w:line="239"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4" w:lineRule="exact"/>
        <w:rPr>
          <w:sz w:val="20"/>
          <w:szCs w:val="20"/>
          <w:color w:val="auto"/>
        </w:rPr>
      </w:pPr>
    </w:p>
    <w:p>
      <w:pPr>
        <w:ind w:left="380" w:right="20" w:hanging="372"/>
        <w:spacing w:after="0" w:line="298" w:lineRule="auto"/>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be able to make products that are similar to our product candidates or utilize similar technology but that are not covered by the claims of the patents that we license or may own;</w:t>
      </w:r>
    </w:p>
    <w:p>
      <w:pPr>
        <w:spacing w:after="0" w:line="164" w:lineRule="exact"/>
        <w:rPr>
          <w:rFonts w:ascii="Times New Roman" w:cs="Times New Roman" w:eastAsia="Times New Roman" w:hAnsi="Times New Roman"/>
          <w:sz w:val="16"/>
          <w:szCs w:val="16"/>
          <w:color w:val="auto"/>
        </w:rPr>
      </w:pPr>
    </w:p>
    <w:p>
      <w:pPr>
        <w:ind w:left="380" w:right="120" w:hanging="372"/>
        <w:spacing w:after="0" w:line="298" w:lineRule="auto"/>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licensors or collaborators, might not have been the first to make the inventions covered by the issued patent or pending patent application that we license or own now or in the future;</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or our licensors or collaborators, might not have been the first to file patent applications covering certain of our or their inventions;</w:t>
      </w:r>
    </w:p>
    <w:p>
      <w:pPr>
        <w:spacing w:after="0" w:line="234" w:lineRule="exact"/>
        <w:rPr>
          <w:rFonts w:ascii="Times New Roman" w:cs="Times New Roman" w:eastAsia="Times New Roman" w:hAnsi="Times New Roman"/>
          <w:sz w:val="16"/>
          <w:szCs w:val="16"/>
          <w:color w:val="auto"/>
        </w:rPr>
      </w:pPr>
    </w:p>
    <w:p>
      <w:pPr>
        <w:ind w:left="380" w:right="540" w:hanging="372"/>
        <w:spacing w:after="0" w:line="298" w:lineRule="auto"/>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others may independently develop similar or alternative technologies or duplicate any of our technologies without infringing our owned or licensed intellectual property rights;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our present or future pending patent applications (whether owned or licensed) will not lead to issued patents;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patents that we hold rights to may be held invalid or unenforceable, including as a result of legal challenges by our competitors or other third parties;</w:t>
      </w:r>
    </w:p>
    <w:p>
      <w:pPr>
        <w:spacing w:after="0" w:line="234" w:lineRule="exact"/>
        <w:rPr>
          <w:rFonts w:ascii="Times New Roman" w:cs="Times New Roman" w:eastAsia="Times New Roman" w:hAnsi="Times New Roman"/>
          <w:sz w:val="16"/>
          <w:szCs w:val="16"/>
          <w:color w:val="auto"/>
        </w:rPr>
      </w:pPr>
    </w:p>
    <w:p>
      <w:pPr>
        <w:ind w:left="380" w:right="140" w:hanging="372"/>
        <w:spacing w:after="0" w:line="298" w:lineRule="auto"/>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develop additional proprietary technologies that are patentable;</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of others may harm our business; and</w:t>
      </w:r>
    </w:p>
    <w:p>
      <w:pPr>
        <w:spacing w:after="0" w:line="234" w:lineRule="exact"/>
        <w:rPr>
          <w:rFonts w:ascii="Times New Roman" w:cs="Times New Roman" w:eastAsia="Times New Roman" w:hAnsi="Times New Roman"/>
          <w:sz w:val="16"/>
          <w:szCs w:val="16"/>
          <w:color w:val="auto"/>
        </w:rPr>
      </w:pPr>
    </w:p>
    <w:p>
      <w:pPr>
        <w:ind w:left="380" w:right="220" w:hanging="372"/>
        <w:spacing w:after="0" w:line="298" w:lineRule="auto"/>
        <w:tabs>
          <w:tab w:leader="none" w:pos="3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choose not to file a patent in order to maintain certain trade secrets or know-how, and a third party may subsequently file a patent covering such intellectual property.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Should any of these events occur, they could have a material adverse effect on our business, financial condition, results of operations and prospects.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color w:val="auto"/>
        </w:rPr>
        <w:t>Risks Related to Government Regulation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Regulatory Approval</w:t>
      </w:r>
    </w:p>
    <w:p>
      <w:pPr>
        <w:spacing w:after="0" w:line="231"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Even if we receive regulatory approval for any of our product candidates, we will be subject to ongoing regulatory obligations and continued regulatory review, and our product candidates, if approved, could be subject to post-market study requirements, marketing and labeling restrictions, and even recall or market withdrawal if unanticipated safety issues are discovered following approval, which may result in significant additional expense.</w:t>
      </w:r>
    </w:p>
    <w:p>
      <w:pPr>
        <w:spacing w:after="0" w:line="17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If the FDA or a similar foreign regulatory authority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and applicable product tracking and tracing requirements. Additionally, under FDORA, sponsors of approved drugs must provide six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94"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marketing or manufacturing of the product, withdrawal of the product from the market, or voluntary or mandatory product recalls;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clinical trial holds;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fines, warning letters or other regulatory enforcement action;</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refusal by the FDA to approve pending applications or supplements to approved applications filed by us;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seizure or detention, or refusal to permit the import or export of products; and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injunctions or the imposition of civil or criminal penalties.</w:t>
      </w:r>
    </w:p>
    <w:p>
      <w:pPr>
        <w:spacing w:after="0" w:line="235"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FDA and other regulatory agencies actively enforce the laws and regulations prohibiting the promotion of off-label uses.</w:t>
      </w:r>
    </w:p>
    <w:p>
      <w:pPr>
        <w:spacing w:after="0" w:line="23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approved prescription drug products. In particular, while the FDA permits the dissemination of truthful and non-misleading information about an approved product, a manufacturer may not promote a product for uses that are not approved by the FDA. If we are found to have promoted such off-label uses, we may become subject to significant liability. The federal government has levied large civil and criminal fines against companies for alleged improper promotion of regulated products for off-label uses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82"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Data collection in Europe is governed by restrictive regulations governing the processing and cross-border transfer of personal information and we may be subject to various state-specific privacy laws. Failure to comply with such requirements in jurisdictions or states where we may conduct clinical trials or enroll subjects in our ongoing or future clinical trials could have a material adverse effect on our business, financial condition or results of operations.</w:t>
      </w:r>
    </w:p>
    <w:p>
      <w:pPr>
        <w:spacing w:after="0" w:line="17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In the event we decide to conduct clinical trials or continue to enroll subjects in our ongoing or future clinical trials, we may be subject to additional data collection restrictions. 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For example,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60" w:name="page61"/>
    <w:bookmarkEnd w:id="60"/>
    <w:p>
      <w:pPr>
        <w:ind w:right="20"/>
        <w:spacing w:after="0" w:line="267" w:lineRule="auto"/>
        <w:rPr>
          <w:sz w:val="20"/>
          <w:szCs w:val="20"/>
          <w:color w:val="auto"/>
        </w:rPr>
      </w:pPr>
      <w:r>
        <w:rPr>
          <w:rFonts w:ascii="Times New Roman" w:cs="Times New Roman" w:eastAsia="Times New Roman" w:hAnsi="Times New Roman"/>
          <w:sz w:val="16"/>
          <w:szCs w:val="16"/>
          <w:color w:val="auto"/>
        </w:rPr>
        <w:t>the collection, use, storage, disclosure, transfer, or other processing of personal data of individuals in the EEA, including personal health data, is subject to the GDPR. The GDPR is wide-ranging in scope and imposes numerous requirements on companies that process personal data, including requirements relating to having a legal basis for processing personal data, stricter requirements relating to the processing of sensitive data (such as health data), where required by GDPR, obtaining consent of the individuals to whom personal data relates, providing notice to the individuals to whom the personal data relates regarding data processing activities, implementing safeguards to protect the privacy and security of personal data, implementing processes to handle requests from individuals to exercise their data protection rights, maintaining records of our processing activities and to document data protection impact assessments where there is high risk processing, providing notification of data breaches in certain circumstances, and taking certain measures when engaging third-party processors or sub-processors. The GDPR focuses on accountability of controllers (such as us) and requires us to put in place all technical and organizational measures (privacy by design and by default) to ensure that we meet our obligations. Penalties under the GDPR include fines of up to €10,000,000 or up to 2% of our total worldwide annual turnover for certain comparatively minor offenses, or up to €20,000,000 or up to 4% of our total worldwide annual turnover for more serious offenses. EEA Member States have adopted implementing national laws to implement the GDPR which may partially deviate from the GDPR, and the competent authorities in the EEA Member States may interpret GDPR obligations slightly differently from country to country, so we do not expect to operate in a uniform legal landscape in the EU.</w:t>
      </w:r>
    </w:p>
    <w:p>
      <w:pPr>
        <w:spacing w:after="0" w:line="19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Further to the UK’s exit from the EU on January 31, 2020, the UK incorporated the GDPR (as it existed on December 31, 2020 but subject to certain UK specific amendments) into UK law, referred to as the UK GDPR. The UK GDPR and the UK Data Protection Act 2018, or collectively, UK GDPR,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UK is recognized as providing adequate protection under the EU GDPR and, therefore, transfers of personal data originating in the EU to the UK remain unrestricted, or the UK Adequacy Decision. Likewise, the UK government has confirmed that personal data transfers from the UK to the EEA remain free flowing. The UK Government introduced a Data Protection and Digital Information Bill, or Data Protection Bill, into the UK legislative process. The aim of the Data Protection Bill was to reform the UK’s data protection regime following Brexit. The Data Protection Bill failed in the UK legislative process. A new Data (Use and Access) Bill, or the UK Bill, has been introduced into parliament. If passed, the final version of the UK Bill may have the effect of further altering the similarities between the UK and EEA data protection regime and threaten the UK Adequacy Decision from the European Commission, or EC. This may lead to additional compliance costs and could increase our overall risk. The respective provisions and enforcement of the EU GDPR and UK GDPR may further diverge in the future and create additional regulatory challenges and uncertainties.</w:t>
      </w:r>
    </w:p>
    <w:p>
      <w:pPr>
        <w:spacing w:after="0" w:line="19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The GDPR imposes strict rules on the transfer of personal data out of the EEA and UK to the U.S. or other regions that have not been deemed to offer "adequate" privacy protections. On June 4, 2021, the EC issued new forms of standard contractual clauses, or SCCs, for data transfers from controllers or processors in the EEA (or otherwise subject to the EU GDPR) to controllers or processors established outside the EEA (and not subject to the EU GDPR). The new SCCs replace the SCCs that were adopted previously under the Data Protection Directive. The UK is not subject to the EC’s new SCCs but has published its own standard clauses, the International Data Transfer Agreement, which enables transfers from the UK. We will be required to implement these new safeguards in the event these safeguards are used as our basis for conducting restricted data transfers under the EU GDPR and UK GDPR and doing so may require significant effort and cost. If relying on the SCCs or UK IDTA for data transfers, we may also be required to carry out transfer impact assessments to assess whether the recipient is subject to local laws which allow public authority access to personal data.</w:t>
      </w:r>
    </w:p>
    <w:p>
      <w:pPr>
        <w:spacing w:after="0" w:line="19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In July 2023, the European Commission adopted its adequacy decision for the EU-U.S. Data Privacy Framework, or the Framework, the successor of the EU-U.S. Privacy Shield framework. On the basis of the new adequacy decision, personal data can flow safely from the EU to U.S. companies participating in the Framework, without having to put in place additional data protection safeguards. There has been an extension to the Framework to cover UK and Swiss transfers to the U.S. The Framework could be challenged like its predecessor frameworks. This complexity and the additional contractual burden could increase our overall risk exposure. There may be further divergence in the future, including with regard to administrative burdens. However, the long term validity of the Framework, which has already been challenged in court, remains uncertain.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If we decide to conduct clinical trials or enroll subjects in our ongoing or future clinical trials in Europe, we are subject to the supervision of local data protection authorities in those jurisdictions where we are monitoring the behavior of individuals in the EEA or UK (i.e., undertaking clinical trials). If we are investigated by an EEA or UK data protection authority, we may face fines and other penalties. Any such investigation or charges by EU or UK data protection authorities could have a negative effect on our business and on our ability to commercialize our products in the future, including with EU, UK-based or multi-national pharmaceutical partners.</w:t>
      </w:r>
    </w:p>
    <w:p>
      <w:pPr>
        <w:spacing w:after="0" w:line="18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In addition to European data protection requirements, we may be subject to various privacy laws in the United States at the state and federal level. In the United States, at the state level, for example, California Consumer Privacy Act, or CCPA, imposed a comprehensive privacy framework for covered businesses, which included an expanded definition of personal information, data privacy rights for consumers in the State of California, special rules on the collection of consumer data from minors, an</w:t>
      </w:r>
      <w:r>
        <w:rPr>
          <w:rFonts w:ascii="Times New Roman" w:cs="Times New Roman" w:eastAsia="Times New Roman" w:hAnsi="Times New Roman"/>
          <w:sz w:val="17"/>
          <w:szCs w:val="17"/>
          <w:color w:val="auto"/>
        </w:rPr>
        <w:t>d</w:t>
      </w:r>
      <w:r>
        <w:rPr>
          <w:rFonts w:ascii="Times New Roman" w:cs="Times New Roman" w:eastAsia="Times New Roman" w:hAnsi="Times New Roman"/>
          <w:sz w:val="16"/>
          <w:szCs w:val="16"/>
          <w:color w:val="auto"/>
        </w:rPr>
        <w:t xml:space="preserve"> provided substantial fines for non-compliance and, in some cases, a private right of action to consumers who are victims of data breaches involving their unredacted or unencrypted personal information. In addition, the California Privacy Rights Act, or CPRA, came into effect on January 1, 2023 and has expanded the privacy protections of the CCPA to also apply to personal information collected in a business to business capacity and from employment applicants, employees and former employees. The CPRA significantly modified the CCPA, including by expanding consumers’ rights with</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61" w:name="page62"/>
    <w:bookmarkEnd w:id="61"/>
    <w:p>
      <w:pPr>
        <w:spacing w:after="0" w:line="269" w:lineRule="auto"/>
        <w:rPr>
          <w:sz w:val="20"/>
          <w:szCs w:val="20"/>
          <w:color w:val="auto"/>
        </w:rPr>
      </w:pPr>
      <w:r>
        <w:rPr>
          <w:rFonts w:ascii="Times New Roman" w:cs="Times New Roman" w:eastAsia="Times New Roman" w:hAnsi="Times New Roman"/>
          <w:sz w:val="16"/>
          <w:szCs w:val="16"/>
          <w:color w:val="auto"/>
        </w:rPr>
        <w:t>respect to certain sensitive personal information. The effects of the CCPA are potentially significant and may require us to modify our data collection or processing practices and policies and to incur substantial costs and expenses in an effort to comply and increase our potential exposure to regulatory enforcement and/or litigation. Furthermore, a number of other states have either proposed or enacted comprehensive consumer privacy laws similar to the CCPA, many of which vary in complexity and may be interpreted and enforced differently, thus potentially complicating our compliance efforts. In Washington, for example, the My Health My Data Act, or MHMDA, entered into force on March 31, 2024, and includes a broad private right of action. Seventeen other states passed privacy legislation, which will come into force over the next several years. While these laws generally have exceptions for protected health information that is subject to HIPAA and for information collected in the context of clinical trials, they may nevertheless impact our business activities.</w:t>
      </w:r>
    </w:p>
    <w:p>
      <w:pPr>
        <w:spacing w:after="0" w:line="19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6"/>
          <w:szCs w:val="16"/>
          <w:color w:val="auto"/>
        </w:rPr>
        <w:t>There are also states that are specifically regulating health information or other specific types of information. For example, Connecticut and Nevada have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 candidates, if approved. State laws are changing rapidly and there is discussion in the U.S. Congress of a new comprehensive federal data privacy law to which we may likely become subject, if enacted.</w:t>
      </w:r>
    </w:p>
    <w:p>
      <w:pPr>
        <w:spacing w:after="0" w:line="18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All of these evolving compliance and operational requirements may impose significant costs, such as costs related to organizational changes, implementing additional protection technologies, training employees, and engaging consultants and legal advisors, which are may be likely to increase over time. In addition, such requirements may require us to modify our data processing practices and policies, utilize management’s time, and/or divert resources from other initiatives and projects. 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litigation or government investigations or enforcement actions and significant penalties against us and could have a material adverse effect on our business, financial condition, or results of operations.</w:t>
      </w:r>
    </w:p>
    <w:p>
      <w:pPr>
        <w:spacing w:after="0" w:line="38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spacing w:after="0" w:line="17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6"/>
          <w:szCs w:val="16"/>
          <w:color w:val="auto"/>
        </w:rPr>
        <w:t>We may use and integrate artificial intelligence into our business processes, and this innovation presents risks and challenges that could affect its adoption and, therefore, our business. The use of certain artificial intelligence technology can give rise to intellectual property risks, including compromises to proprietary intellectual property and intellectual property infringement. 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or the AI Act,</w:t>
      </w:r>
    </w:p>
    <w:p>
      <w:pPr>
        <w:spacing w:after="0" w:line="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6"/>
          <w:szCs w:val="16"/>
          <w:color w:val="auto"/>
        </w:rPr>
        <w:t>— the world’s first comprehensive AI law — entered into force in June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In the future,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85" w:lineRule="exact"/>
        <w:rPr>
          <w:sz w:val="20"/>
          <w:szCs w:val="20"/>
          <w:color w:val="auto"/>
        </w:rPr>
      </w:pPr>
    </w:p>
    <w:p>
      <w:pPr>
        <w:ind w:right="8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6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8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similar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62" w:name="page63"/>
    <w:bookmarkEnd w:id="62"/>
    <w:p>
      <w:pPr>
        <w:ind w:right="220"/>
        <w:spacing w:after="0" w:line="281" w:lineRule="auto"/>
        <w:rPr>
          <w:sz w:val="20"/>
          <w:szCs w:val="20"/>
          <w:color w:val="auto"/>
        </w:rPr>
      </w:pPr>
      <w:r>
        <w:rPr>
          <w:rFonts w:ascii="Times New Roman" w:cs="Times New Roman" w:eastAsia="Times New Roman" w:hAnsi="Times New Roman"/>
          <w:sz w:val="16"/>
          <w:szCs w:val="16"/>
          <w:color w:val="auto"/>
        </w:rPr>
        <w:t>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173" w:lineRule="exact"/>
        <w:rPr>
          <w:sz w:val="20"/>
          <w:szCs w:val="20"/>
          <w:color w:val="auto"/>
        </w:rPr>
      </w:pPr>
    </w:p>
    <w:p>
      <w:pPr>
        <w:ind w:right="5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16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 xml:space="preserve">In connection with the clinical development of our product candidates for certain indications, we have previously engaged and may in the future engage third parties to develop or obtain access to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companion diagnostic tests to identify patient subsets within a disease category who may derive selective and meaningful benefit from our product candidates. The FDA has indicated that if we continue RLY-2608 in a specific biomarker-defined population, a companion diagnostic device will be required to ensure its safe and effective use. Such companion diagnostics would be used during our clinical trials as well as in connection with the commercialization of our product candidates. To be successful, we or our collaborators will need to address a number of scientific, technical, regulatory and logistical challenges. The FDA and similar foreign regulatory authorities regulate </w:t>
      </w:r>
      <w:r>
        <w:rPr>
          <w:rFonts w:ascii="Times New Roman" w:cs="Times New Roman" w:eastAsia="Times New Roman" w:hAnsi="Times New Roman"/>
          <w:sz w:val="16"/>
          <w:szCs w:val="16"/>
          <w:i w:val="1"/>
          <w:iCs w:val="1"/>
          <w:color w:val="auto"/>
        </w:rPr>
        <w:t>in vitro</w:t>
      </w:r>
      <w:r>
        <w:rPr>
          <w:rFonts w:ascii="Times New Roman" w:cs="Times New Roman" w:eastAsia="Times New Roman" w:hAnsi="Times New Roman"/>
          <w:sz w:val="16"/>
          <w:szCs w:val="16"/>
          <w:color w:val="auto"/>
        </w:rPr>
        <w:t xml:space="preserve"> companion diagnostics as medical devices and, under that regulatory framework, will likely require the conduct of clinical trials to demonstrate the safety and effectiveness of any diagnostics we may develop, which we expect will require separate regulatory clearance or approval prior to commercialization.</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We intend to rely on third parties for the design, development and manufacture of companion diagnostic tests for our therapeutic product candidates that may require such tests. In connection with such collaborative agreements, we will be dependent on the sustained cooperation and effort of our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collaborators may encounter difficulties in developing, obtaining regulatory approval for, manufacturing and commercializing companion diagnostics similar to those we face with respect to our therapeutic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marketing approval, and we may not realize the full commercial potential of any of these therapeutics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91" w:lineRule="exact"/>
        <w:rPr>
          <w:sz w:val="20"/>
          <w:szCs w:val="20"/>
          <w:color w:val="auto"/>
        </w:rPr>
      </w:pPr>
    </w:p>
    <w:p>
      <w:pPr>
        <w:ind w:right="2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Existing regulatory policies may change, and additional government regulations may be enacted that could prevent, limit or delay regulatory approval of our product candidates.</w:t>
      </w:r>
    </w:p>
    <w:p>
      <w:pPr>
        <w:spacing w:after="0" w:line="160"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6"/>
          <w:szCs w:val="16"/>
          <w:color w:val="auto"/>
        </w:rPr>
        <w:t>In June 2024, the U.S. Supreme Court overruled the Chevron doctrine, which gives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Anti-bribery, Anti-corruption and Other Government Regulations</w:t>
      </w:r>
    </w:p>
    <w:p>
      <w:pPr>
        <w:spacing w:after="0" w:line="231" w:lineRule="exact"/>
        <w:rPr>
          <w:sz w:val="20"/>
          <w:szCs w:val="20"/>
          <w:color w:val="auto"/>
        </w:rPr>
      </w:pPr>
    </w:p>
    <w:p>
      <w:pPr>
        <w:ind w:right="1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16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63" w:name="page64"/>
    <w:bookmarkEnd w:id="63"/>
    <w:p>
      <w:pPr>
        <w:ind w:right="180"/>
        <w:spacing w:after="0" w:line="275" w:lineRule="auto"/>
        <w:rPr>
          <w:sz w:val="20"/>
          <w:szCs w:val="20"/>
          <w:color w:val="auto"/>
        </w:rPr>
      </w:pPr>
      <w:r>
        <w:rPr>
          <w:rFonts w:ascii="Times New Roman" w:cs="Times New Roman" w:eastAsia="Times New Roman" w:hAnsi="Times New Roman"/>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3"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6"/>
          <w:szCs w:val="16"/>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3" w:lineRule="exact"/>
        <w:rPr>
          <w:sz w:val="20"/>
          <w:szCs w:val="20"/>
          <w:color w:val="auto"/>
        </w:rPr>
      </w:pPr>
    </w:p>
    <w:p>
      <w:pPr>
        <w:ind w:right="680"/>
        <w:spacing w:after="0" w:line="298" w:lineRule="auto"/>
        <w:rPr>
          <w:sz w:val="20"/>
          <w:szCs w:val="20"/>
          <w:color w:val="auto"/>
        </w:rPr>
      </w:pPr>
      <w:r>
        <w:rPr>
          <w:rFonts w:ascii="Times New Roman" w:cs="Times New Roman" w:eastAsia="Times New Roman" w:hAnsi="Times New Roman"/>
          <w:sz w:val="16"/>
          <w:szCs w:val="16"/>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60"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6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have engaged and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2" w:lineRule="exact"/>
        <w:rPr>
          <w:sz w:val="20"/>
          <w:szCs w:val="20"/>
          <w:color w:val="auto"/>
        </w:rPr>
      </w:pPr>
    </w:p>
    <w:p>
      <w:pPr>
        <w:jc w:val="both"/>
        <w:ind w:right="6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7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 xml:space="preserve">Although we do not currently have any products on the market, once we begin commercializing our product candidates, we will be subject to additional healthcare statutory and regulatory requirements and enforcement by the federal government and the states and governments of foreign jurisdictions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See </w:t>
      </w:r>
      <w:r>
        <w:rPr>
          <w:rFonts w:ascii="Times New Roman" w:cs="Times New Roman" w:eastAsia="Times New Roman" w:hAnsi="Times New Roman"/>
          <w:sz w:val="16"/>
          <w:szCs w:val="16"/>
          <w:i w:val="1"/>
          <w:iCs w:val="1"/>
          <w:color w:val="auto"/>
        </w:rPr>
        <w:t>"Business – Government Regulation – Other Healthcare Laws."</w:t>
      </w:r>
    </w:p>
    <w:p>
      <w:pPr>
        <w:spacing w:after="0" w:line="1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individual imprisonment, reputational harm,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64" w:name="page65"/>
    <w:bookmarkEnd w:id="64"/>
    <w:p>
      <w:pPr>
        <w:ind w:right="400"/>
        <w:spacing w:after="0" w:line="298" w:lineRule="auto"/>
        <w:rPr>
          <w:sz w:val="20"/>
          <w:szCs w:val="20"/>
          <w:color w:val="auto"/>
        </w:rPr>
      </w:pPr>
      <w:r>
        <w:rPr>
          <w:rFonts w:ascii="Times New Roman" w:cs="Times New Roman" w:eastAsia="Times New Roman" w:hAnsi="Times New Roman"/>
          <w:sz w:val="16"/>
          <w:szCs w:val="16"/>
          <w:color w:val="auto"/>
        </w:rPr>
        <w:t>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Regulatory Review of Certain Drug Development Designations</w:t>
      </w:r>
    </w:p>
    <w:p>
      <w:pPr>
        <w:spacing w:after="0" w:line="231"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16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86" w:lineRule="exact"/>
        <w:rPr>
          <w:sz w:val="20"/>
          <w:szCs w:val="20"/>
          <w:color w:val="auto"/>
        </w:rPr>
      </w:pPr>
    </w:p>
    <w:p>
      <w:pPr>
        <w:ind w:right="3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16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7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Similarly, in the EU, the European Commission, upon the recommendation of the EMA’s Committee for Orphan Medicinal Products, grants orphan designation in respect of a product if it can be shown that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In the EU, orphan designation entitles a party to financial incentives such as reduction of fees or fee waivers.</w:t>
      </w:r>
    </w:p>
    <w:p>
      <w:pPr>
        <w:spacing w:after="0" w:line="18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Generally, if a drug with an orphan drug designation subsequently receives the first marketing approval for the indication for which it has such designation, the drug is entitled to a period of marketing exclusivity, which precludes the FDA or the EMA from approving another marketing application for the same drug and indication for that time period, except in limited circumstances. The applicable period is seven years in the United States and ten years in the EU. The EU exclusivity period can be reduced to six years if, at the end of the fifth year, it is established that a product no longer meets the criteria for orphan designation, including if the product is sufficiently profitable so that market exclusivity is no longer justified. The European Commission introduced a legislative proposal in April 2023 that, if implemented, could reduce the current ten-year marketing exclusivity period in the EU for certain orphan medicines.</w:t>
      </w:r>
    </w:p>
    <w:p>
      <w:pPr>
        <w:spacing w:after="0" w:line="18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Even if we obtain orphan drug exclusivity for a drug, that exclusivity may not effectively protect the drug from competition because different drugs can be approved for the same condition. Even after an orphan drug is approved, the FDA can subsequently approve a later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 Orphan drug designation neither shortens the development time or regulatory review time of a drug nor gives the drug any advantage in the regulatory review or approval process. While we may seek orphan drug designation for certain of our product candidates, we may never receive such designations. Even if we do receive such designations, there is no guarantee that we will enjoy the benefits of those designations. In addition, the FDA may further reevaluate the Orphan Drug Act and its regulations and policies. We do not know if, when, or how the FDA</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65" w:name="page66"/>
    <w:bookmarkEnd w:id="65"/>
    <w:p>
      <w:pPr>
        <w:ind w:right="80"/>
        <w:spacing w:after="0" w:line="298" w:lineRule="auto"/>
        <w:rPr>
          <w:sz w:val="20"/>
          <w:szCs w:val="20"/>
          <w:color w:val="auto"/>
        </w:rPr>
      </w:pPr>
      <w:r>
        <w:rPr>
          <w:rFonts w:ascii="Times New Roman" w:cs="Times New Roman" w:eastAsia="Times New Roman" w:hAnsi="Times New Roman"/>
          <w:sz w:val="16"/>
          <w:szCs w:val="16"/>
          <w:color w:val="auto"/>
        </w:rPr>
        <w:t>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60"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marketing approval in the United States.</w:t>
      </w:r>
    </w:p>
    <w:p>
      <w:pPr>
        <w:spacing w:after="0" w:line="17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9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color w:val="auto"/>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0"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We may seek approval of our product candidates, where applicable, under the FDA's accelerated approval pathway. This pathway, even if granted for any of our current or future product candidates, may not lead to a faster development or regulatory review or approval process and it does not increase the likelihood that our product candidates will receive marketing approval in the United States.</w:t>
      </w:r>
    </w:p>
    <w:p>
      <w:pPr>
        <w:spacing w:after="0" w:line="17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6"/>
          <w:szCs w:val="16"/>
          <w:color w:val="auto"/>
        </w:rPr>
        <w:t>We may seek accelerated approval of our current and/or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do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Healthcare Legislative Reform</w:t>
      </w:r>
    </w:p>
    <w:p>
      <w:pPr>
        <w:spacing w:after="0" w:line="231" w:lineRule="exact"/>
        <w:rPr>
          <w:sz w:val="20"/>
          <w:szCs w:val="20"/>
          <w:color w:val="auto"/>
        </w:rPr>
      </w:pPr>
    </w:p>
    <w:p>
      <w:pPr>
        <w:ind w:right="28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1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66" w:name="page67"/>
    <w:bookmarkEnd w:id="66"/>
    <w:p>
      <w:pPr>
        <w:ind w:right="100"/>
        <w:spacing w:after="0" w:line="272" w:lineRule="auto"/>
        <w:rPr>
          <w:sz w:val="20"/>
          <w:szCs w:val="20"/>
          <w:color w:val="auto"/>
        </w:rPr>
      </w:pPr>
      <w:r>
        <w:rPr>
          <w:rFonts w:ascii="Times New Roman" w:cs="Times New Roman" w:eastAsia="Times New Roman" w:hAnsi="Times New Roman"/>
          <w:sz w:val="16"/>
          <w:szCs w:val="16"/>
          <w:color w:val="auto"/>
        </w:rPr>
        <w:t>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Healthcare legislative reform measures may have a material adverse effect on our business and results of operations.</w:t>
      </w:r>
    </w:p>
    <w:p>
      <w:pPr>
        <w:spacing w:after="0" w:line="23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6"/>
          <w:szCs w:val="16"/>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See "</w:t>
      </w:r>
      <w:r>
        <w:rPr>
          <w:rFonts w:ascii="Times New Roman" w:cs="Times New Roman" w:eastAsia="Times New Roman" w:hAnsi="Times New Roman"/>
          <w:sz w:val="16"/>
          <w:szCs w:val="16"/>
          <w:i w:val="1"/>
          <w:iCs w:val="1"/>
          <w:color w:val="auto"/>
        </w:rPr>
        <w:t>Business – Governmental Regulation – Current and future healthcare reform legislation.</w:t>
      </w:r>
      <w:r>
        <w:rPr>
          <w:rFonts w:ascii="Times New Roman" w:cs="Times New Roman" w:eastAsia="Times New Roman" w:hAnsi="Times New Roman"/>
          <w:sz w:val="16"/>
          <w:szCs w:val="16"/>
          <w:color w:val="auto"/>
        </w:rPr>
        <w:t>"</w:t>
      </w:r>
    </w:p>
    <w:p>
      <w:pPr>
        <w:spacing w:after="0" w:line="18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 in light of the higher proportion of SCD patients that utilize Medicare and Medicaid programs to pay for treatments. 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w:t>
      </w:r>
    </w:p>
    <w:p>
      <w:pPr>
        <w:spacing w:after="0" w:line="17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In August 2022, the Inflation Reduction Act of 2022, or the IRA, was signed into law.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delaying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Although the effects of the IRA on our business and the healthcare industry in general are not yet known, we are taking into consideration the potential impact of the IRA on our development and commercialization activities.</w:t>
      </w:r>
    </w:p>
    <w:p>
      <w:pPr>
        <w:spacing w:after="0" w:line="19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177"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demand for our current or future product candidates, if we obtain regulatory approval;</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set a price that we believe is fair for our products;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coverage and reimbursement approval for a product;</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generate revenue and achieve or maintain profitability;</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taxes that we are required to pay; and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capital.</w:t>
      </w:r>
    </w:p>
    <w:p>
      <w:pPr>
        <w:spacing w:after="0" w:line="235"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Any reduction in reimbursement from Medicare or other government programs may result in a similar reduction in payments from private payors, which may adversely affect our future profitability.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67" w:name="page68"/>
    <w:bookmarkEnd w:id="67"/>
    <w:p>
      <w:pPr>
        <w:ind w:right="6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Recent federal legislation and actions by federal,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We may face competition in the United States for our development candidates and investigational medicines, if approved, from therapies sourced from foreign countries that have placed price controls on pharmaceutical products. In the United States, the Medicare Modernization Act, or MMA, contains provisions that call for the promulgation of regulations that expand pharmacists’ and wholesalers’ ability to import cheaper versions of an approved drug and competing products from Canada, where there are government price controls. Further, the MMA provides that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the HHS made such certification to Congress, and on October 1, 2020,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On January 5, 2024, the FDA issued to Florida the first approval for a state importation plan. Several states now have pending applications with the FDA, including Colorado, Maine, New Hampshire, and New Mexico. If successfully implemented, importation of drugs from Canada may materially and adversely affect the price we receive for any of our product candidates. Legislation or regulations allowing the reimportation of drugs, if enacted, could decrease the price we receive for any products that we may develop and adversely affect our future revenues and prospects for profitability.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the Regulatory Agency Review Process</w:t>
      </w:r>
    </w:p>
    <w:p>
      <w:pPr>
        <w:spacing w:after="0" w:line="23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The ability of the FDA to review and approve new products can be affected by a variety of factors, including government budget and funding levels, global health concerns,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Currently, federal agencies in the United States are operating under a continuing resolution that is set to expire on March 14, 2025. Without appropriation of additional funding to federal agencies, our business operations related to our product development activities for the U.S. market could be impacted.</w:t>
      </w:r>
    </w:p>
    <w:p>
      <w:pPr>
        <w:spacing w:after="0" w:line="18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government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Employee Matters and Managing Growth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Employee Matters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future success depends on our ability to retain key executives and experienced scientists and to attract, retain and motivate qualified personnel.</w:t>
      </w:r>
    </w:p>
    <w:p>
      <w:pPr>
        <w:spacing w:after="0" w:line="23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We are highly dependent on the research and development, clinical and business development expertise of the principal members of our management, scientific and clinical team.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0" w:right="359" w:bottom="1440" w:gutter="0" w:footer="0" w:header="0"/>
        </w:sectPr>
      </w:pPr>
    </w:p>
    <w:bookmarkStart w:id="68" w:name="page69"/>
    <w:bookmarkEnd w:id="68"/>
    <w:p>
      <w:pPr>
        <w:ind w:right="20"/>
        <w:spacing w:after="0" w:line="298" w:lineRule="auto"/>
        <w:rPr>
          <w:sz w:val="20"/>
          <w:szCs w:val="20"/>
          <w:color w:val="auto"/>
        </w:rPr>
      </w:pPr>
      <w:r>
        <w:rPr>
          <w:rFonts w:ascii="Times New Roman" w:cs="Times New Roman" w:eastAsia="Times New Roman" w:hAnsi="Times New Roman"/>
          <w:sz w:val="16"/>
          <w:szCs w:val="16"/>
          <w:color w:val="auto"/>
        </w:rPr>
        <w:t>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6"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82" w:lineRule="exact"/>
        <w:rPr>
          <w:sz w:val="20"/>
          <w:szCs w:val="20"/>
          <w:color w:val="auto"/>
        </w:rPr>
      </w:pPr>
    </w:p>
    <w:p>
      <w:pPr>
        <w:ind w:right="5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or other nonclinical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increasing use of social media platforms presents risks and challenges.</w:t>
      </w:r>
    </w:p>
    <w:p>
      <w:pPr>
        <w:spacing w:after="0" w:line="23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We and our employees utilize social media tools as a means of communication externally. Despite our efforts to monitor evolving social media communication guidelines and comply with applicable rules, there is risk that the use of social media by us or our employees to communicate about our product candidates, operations, or business may cause us to be found in violation of applicable legal or contractual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collaboration partners, and others, and which could have an adverse effect on our business, financial conditions, and results of operations. Furthermore, negative posts or comments about us or our product candidates in social media could seriously damage our reputation, brand image, and goodwill.</w:t>
      </w:r>
    </w:p>
    <w:p>
      <w:pPr>
        <w:spacing w:after="0" w:line="190" w:lineRule="exact"/>
        <w:rPr>
          <w:sz w:val="20"/>
          <w:szCs w:val="20"/>
          <w:color w:val="auto"/>
        </w:rPr>
      </w:pPr>
    </w:p>
    <w:p>
      <w:pPr>
        <w:jc w:val="both"/>
        <w:ind w:right="460"/>
        <w:spacing w:after="0" w:line="281" w:lineRule="auto"/>
        <w:rPr>
          <w:sz w:val="20"/>
          <w:szCs w:val="20"/>
          <w:color w:val="auto"/>
        </w:rPr>
      </w:pPr>
      <w:r>
        <w:rPr>
          <w:rFonts w:ascii="Times New Roman" w:cs="Times New Roman" w:eastAsia="Times New Roman" w:hAnsi="Times New Roman"/>
          <w:sz w:val="16"/>
          <w:szCs w:val="16"/>
          <w:color w:val="auto"/>
        </w:rPr>
        <w:t>In addition,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our product candidates under an expanded access policy, our reputation may be negatively affected and our business may be harmed.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social and governance matters may impact our business and reputation.</w:t>
      </w:r>
    </w:p>
    <w:p>
      <w:pPr>
        <w:spacing w:after="0" w:line="23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6"/>
          <w:szCs w:val="16"/>
          <w:color w:val="auto"/>
        </w:rPr>
        <w:t>In addition to the changing rules and regulations related to environmental, social and governance, or ESG, matters imposed by governmental and self-regulatory organizations, a variety of third-party organizations, institutional investors and customers evaluate the performance of companies on ESG topics, and the results of these assessments are widely publicized. These changing rules, regulations and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69" w:name="page70"/>
    <w:bookmarkEnd w:id="69"/>
    <w:p>
      <w:pPr>
        <w:jc w:val="both"/>
        <w:ind w:right="160"/>
        <w:spacing w:after="0" w:line="298" w:lineRule="auto"/>
        <w:rPr>
          <w:sz w:val="20"/>
          <w:szCs w:val="20"/>
          <w:color w:val="auto"/>
        </w:rPr>
      </w:pPr>
      <w:r>
        <w:rPr>
          <w:rFonts w:ascii="Times New Roman" w:cs="Times New Roman" w:eastAsia="Times New Roman" w:hAnsi="Times New Roman"/>
          <w:sz w:val="16"/>
          <w:szCs w:val="16"/>
          <w:color w:val="auto"/>
        </w:rPr>
        <w:t>stakeholder expectations may result in increased general and administrative expenses and increased management time and attention spent complying with or meeting such regulations and expectations. Reduced access to or increased cost of capital may occur as financial institutions and investors increase expectations related to ESG matters.</w:t>
      </w:r>
    </w:p>
    <w:p>
      <w:pPr>
        <w:spacing w:after="0" w:line="16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diversity equity and inclusion, or DEI, initiatives in the private sector. Such anti-ESG and anti-DEI-related policies, legislation, initiatives, litigation, legal opinions, and scrutiny could result in us facing additional compliance obligations, becoming the subject of investigations and enforcement actions, or sustaining reputational harm.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Growth and Acquisitions</w:t>
      </w:r>
    </w:p>
    <w:p>
      <w:pPr>
        <w:spacing w:after="0" w:line="231" w:lineRule="exact"/>
        <w:rPr>
          <w:sz w:val="20"/>
          <w:szCs w:val="20"/>
          <w:color w:val="auto"/>
        </w:rPr>
      </w:pPr>
    </w:p>
    <w:p>
      <w:pPr>
        <w:ind w:right="8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expect to expand our development and regulatory capabilities in the future and potentially implement sales, marketing and distribution capabilities, and as a result, we may encounter difficulties in managing our growth, which could disrupt our operations.</w:t>
      </w:r>
    </w:p>
    <w:p>
      <w:pPr>
        <w:spacing w:after="0" w:line="16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6"/>
          <w:szCs w:val="16"/>
          <w:color w:val="auto"/>
        </w:rPr>
        <w:t>As of December 31, 2024, we had 261 full-time employees. In the future, we expect to experience significant growth in the number of our employees and the scope of our operations, particularly in the areas of pharmaceutical and clinical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9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2" w:lineRule="exact"/>
        <w:rPr>
          <w:sz w:val="20"/>
          <w:szCs w:val="20"/>
          <w:color w:val="auto"/>
        </w:rPr>
      </w:pPr>
    </w:p>
    <w:p>
      <w:pPr>
        <w:ind w:right="84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acquisitions expose us to risks that could adversely affect our business, and we may not achieve the anticipated benefits of acquisitions of businesses or technologies.</w:t>
      </w:r>
    </w:p>
    <w:p>
      <w:pPr>
        <w:spacing w:after="0" w:line="16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As a part of our business strategy, we may make selected acquisitions of complementary products and/or businesses, such as our acquisition of ZebiAI in April 2021. Any acquisition involves numerous risks and operational, financial, and managerial challenges, including the following, any of which could adversely affect our business, financial condition, or results of operations:</w:t>
      </w:r>
    </w:p>
    <w:p>
      <w:pPr>
        <w:spacing w:after="0" w:line="177" w:lineRule="exact"/>
        <w:rPr>
          <w:sz w:val="20"/>
          <w:szCs w:val="20"/>
          <w:color w:val="auto"/>
        </w:rPr>
      </w:pPr>
    </w:p>
    <w:p>
      <w:pPr>
        <w:ind w:left="380" w:hanging="372"/>
        <w:spacing w:after="0"/>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integrating new operations, technologies, products, and personnel;</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challenges maintaining uniform procedures, controls and policies with respect to our financial accounting systems;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synergies or the inability to realize expected synergies and cost-savings;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underperformance of any acquired technology, product, or business relative to our expectations and the price we paid;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negative near-term impacts on financial results after an acquisition, including acquisition-related earnings charges;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loss of key employees, customers, and strategic partners of acquired companies;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claims by terminated employees and shareholders of acquired companies or other third parties related to the transaction;</w:t>
      </w:r>
    </w:p>
    <w:p>
      <w:pPr>
        <w:spacing w:after="0" w:line="23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70" w:name="page71"/>
    <w:bookmarkEnd w:id="70"/>
    <w:p>
      <w:pPr>
        <w:ind w:left="380" w:hanging="372"/>
        <w:spacing w:after="0"/>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assumption or incurrence of additional debt obligations or expenses, or use of substantial portions of our cash;</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equity securities to finance or as consideration for any acquisitions that dilute the ownership of our stockholders;</w:t>
      </w:r>
    </w:p>
    <w:p>
      <w:pPr>
        <w:spacing w:after="0" w:line="234" w:lineRule="exact"/>
        <w:rPr>
          <w:rFonts w:ascii="Times New Roman" w:cs="Times New Roman" w:eastAsia="Times New Roman" w:hAnsi="Times New Roman"/>
          <w:sz w:val="16"/>
          <w:szCs w:val="16"/>
          <w:color w:val="auto"/>
        </w:rPr>
      </w:pPr>
    </w:p>
    <w:p>
      <w:pPr>
        <w:ind w:left="380" w:right="360" w:hanging="372"/>
        <w:spacing w:after="0" w:line="298"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equity securities to finance or as consideration for any acquisitions may not be an option if the price of our common stock is low or volatile which could preclude us from completing any such acquisitions;</w:t>
      </w:r>
    </w:p>
    <w:p>
      <w:pPr>
        <w:spacing w:after="0" w:line="164" w:lineRule="exact"/>
        <w:rPr>
          <w:rFonts w:ascii="Times New Roman" w:cs="Times New Roman" w:eastAsia="Times New Roman" w:hAnsi="Times New Roman"/>
          <w:sz w:val="16"/>
          <w:szCs w:val="16"/>
          <w:color w:val="auto"/>
        </w:rPr>
      </w:pPr>
    </w:p>
    <w:p>
      <w:pPr>
        <w:ind w:left="380" w:right="60" w:hanging="372"/>
        <w:spacing w:after="0" w:line="298"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collaboration, strategic alliance and licensing arrangement may require us to relinquish valuable rights to our technologies or product candidates, or grant licenses on terms that are not favorable to us;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diversion of management’s attention and company resources from existing operations of the business;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inconsistencies in standards, controls, procedures, and policies;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impairment of intangible assets as a result of technological advancements, or worse-than-expected performance of acquired companies;</w:t>
      </w:r>
    </w:p>
    <w:p>
      <w:pPr>
        <w:spacing w:after="0" w:line="234" w:lineRule="exact"/>
        <w:rPr>
          <w:rFonts w:ascii="Times New Roman" w:cs="Times New Roman" w:eastAsia="Times New Roman" w:hAnsi="Times New Roman"/>
          <w:sz w:val="16"/>
          <w:szCs w:val="16"/>
          <w:color w:val="auto"/>
        </w:rPr>
      </w:pPr>
    </w:p>
    <w:p>
      <w:pPr>
        <w:ind w:left="380" w:right="640" w:hanging="372"/>
        <w:spacing w:after="0" w:line="298" w:lineRule="auto"/>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assumption of, or exposure to, historical liabilities of the acquired business, including unknown contingent or similar liabilities that are difficult to identify or accurately quantify; and</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acquiring intellectual property, including potential disputes regarding acquired companies’ intellectual property.</w:t>
      </w:r>
    </w:p>
    <w:p>
      <w:pPr>
        <w:spacing w:after="0" w:line="23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In addition, the successful integration of acquired businesses requires significant efforts and expense across all operational areas. There can be no assurance that any of the acquisitions we may make, including our acquisition of ZebiAI, will be successful or will be, or will remain, profitable. Our failure to successfully address the foregoing risks may prevent us from achieving the anticipated benefits from any acquisition in a reasonable time frame, or at all.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Business Disruptions</w:t>
      </w:r>
    </w:p>
    <w:p>
      <w:pPr>
        <w:spacing w:after="0" w:line="2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internal information technology systems, or those of our third-party collaborators and/or partners, may fail or suffer cybersecurity breaches,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17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integrity, and availability of such information. We also have outsourced elements of our operations to third parties, and as a result we collaborate with a number of third-party CROs, vendors, and other contractors and consultants who have access to our confidential information.</w:t>
      </w:r>
    </w:p>
    <w:p>
      <w:pPr>
        <w:spacing w:after="0" w:line="18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We have implemented and maintain a cybersecurity risk management program that includes processes for the identification, assessment and mitigation of cybersecurity risks. Due to the size and complexity and the increasing amounts of confidential information that are maintained, our internal information technology systems and infrastructure and those of our third-party CROs, vendors and other contractors and consultants are potentially vulnerable to breakdown or other damage, service interruptions, system malfunction, natural disasters, terrorism, war and telecommunication and electrical failures, as well as cyber-attacks or security compromises, cybersecurity incidents, or breaches from inadvertent or intentional actions by our employees, third-party CROs, vendors, contractors, consultants and/or third parties with whom we do business, or from cyber-attacks or security compromises, incidents, or breaches by malicious third parties (including the deployment of harmful malware, ransomware, digital extortion, denial-of-service attacks, supply chain attacks, social engineering (including phishing attacks) and business email compromises, and other means to affect service reliability and threaten the confidentiality, integrity, availability, and security of systems, infrastructure or information), which may compromise our systems and infrastructure or those of our partners, third-party CROs, vendors, contractors, consultants and/or third parties with whom we do business, or lead to data leakage or compromise.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similar events relating to the information technology systems of our third-party collaborators who we rely on for the manufacture of our product candidates and to conduct clinical trials could also have a material adverse effect on our business.</w:t>
      </w:r>
    </w:p>
    <w:p>
      <w:pPr>
        <w:spacing w:after="0" w:line="188"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6"/>
          <w:szCs w:val="16"/>
          <w:color w:val="auto"/>
        </w:rPr>
        <w:t>The risk of a cybersecurity incident, breach or disruption, particularly through cyber-attacks or cyber intrusion, including by computer hackers, insider threats, foreign governments, and cyber terrorists, has generally increased as the frequency, persistence, intensity and sophistication of attempted attacks and intrusions from around the world have increased, including potentially in connection with the ongoing conflict between Russia and Ukraine. We may not be able to anticipate all types of security threats, nor may we be able to implement preventive measures effective against all such security threats. The techniques used by cyber criminals change frequently, may</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71" w:name="page72"/>
    <w:bookmarkEnd w:id="71"/>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not be recognized until launched and can originate from a wide variety of sources, including insider threats and outside groups such as external service providers, organized crime affiliates, terrorist organizations or hostile foreign governments or agencies, or generated using artificial intelligence. In addition, changes in how our employees work and access our systems, which began during the COVID-19 pandemic and continue today, when part of our workforce is working remotely, could also lead to opportunities for bad actors to launch cyber-attacks or for employees to cause inadvertent or intentional security risks or incidents. The prevalent use of mobile devices also increases the risk of data security incidents.</w:t>
      </w:r>
    </w:p>
    <w:p>
      <w:pPr>
        <w:spacing w:after="0" w:line="18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We are also subject to legal obligations concerning cyber security. For example, as a company handling employee information of individuals who reside in Massachusetts, we are required to comply with the Massachusetts Data Security Regulations (201 CMR 17.00), which require the development and implementation of a Comprehensive Written Information Security Program and the maintenance of specific information security protections.</w:t>
      </w:r>
    </w:p>
    <w:p>
      <w:pPr>
        <w:spacing w:after="0" w:line="1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While we have not directly experienced any material system failure, accident or cybersecurity incident or breach to date, we have, from time to time experienced and may in the future continue to experience, threats and cybersecurity incidents relating to our and our third-party vendors’ information systems. We cannot guarantee that our data protection efforts and our investment in information technology will prevent significant breakdowns, data leakages, or cybersecurity incidents or breaches in or compromises of our systems or those of third-party CROs, vendors, contractors, consultants and/or third parties with whom we do business. While we maintain liability insurance at levels that we believe are appropriate for our business, we cannot assure our investors that it will be sufficient in type or amount to cover us against all claims related to security compromises or breaches, cyberattacks and other related breaches. To the extent that any disruption or security compromises, cybersecurity incident, or breach were to result in a loss of, or damage to, our systems, infrastructure, data or applications, or inappropriate disclosure of confidential or proprietary information, we could incur liability, our competitive position could be harmed, the further development and commercialization of our product candidates or any future product candidates could be hindered or delayed, we could be required to expend significant amounts of money and other resources to repair, remediate, or replace our information systems or networks, the market perception of the effectiveness of our security measures could be harmed and our reputation and credibility could be damaged. Furthermore, any failure or perceived failure by us or any third-party collaborators, service providers, contractors or consultants to comply with our privacy, confidentiality, data security or similar obligations to third parties, or any data cybersecurity incidents or other security compromises or breaches that result in the unauthorized access, use, acquisition, disclosure, release or transfer of confidential or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compromises and breaches can be difficult to detect, and any delay in identifying or remediating them may lead to increased harm. While we have implemented data security measures intended to protect our information technology systems and infrastructure, there can be no assurance that such measures will successfully prevent service interruptions or data security incidents or compromises, including security breaches.</w:t>
      </w:r>
    </w:p>
    <w:p>
      <w:pPr>
        <w:spacing w:after="0" w:line="389"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applicable environmental, health and safety laws and regulations, we could become subject to fines or penalties or incur costs that could have a material adverse effect on the success of our business.</w:t>
      </w:r>
    </w:p>
    <w:p>
      <w:pPr>
        <w:spacing w:after="0" w:line="16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6"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Compliance with applicable environmental, health and safety laws and regulations is expensive, and current or future environmental regulations may impair our business, prospects, financial condition or results of operations.</w:t>
      </w:r>
    </w:p>
    <w:p>
      <w:pPr>
        <w:spacing w:after="0" w:line="18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Our current operations are located in Massachusetts; however, we rely on third parties, including those that are located outside the United States, and we or the third parties upon whom we depend may be adversely affected by natural disasters or other unplanned events and our business continuity and disaster recovery plans may not adequately protect us from a serious disaster.</w:t>
      </w:r>
    </w:p>
    <w:p>
      <w:pPr>
        <w:spacing w:after="0" w:line="177"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Our current operations are located in Massachusetts. Any unplanned event, such as flood, fire, explosion, earthquake, extreme weather condition, medical epidemics, geopolitical conflicts, power shortage, telecommunication failure or other natural or man-made accidents or incidents that result in us being unable to fully utilize our facilities, or the facilities of our third-party contract manufacturers or CROs,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72" w:name="page73"/>
    <w:bookmarkEnd w:id="72"/>
    <w:p>
      <w:pPr>
        <w:ind w:right="40"/>
        <w:spacing w:after="0" w:line="267" w:lineRule="auto"/>
        <w:rPr>
          <w:sz w:val="20"/>
          <w:szCs w:val="20"/>
          <w:color w:val="auto"/>
        </w:rPr>
      </w:pPr>
      <w:r>
        <w:rPr>
          <w:rFonts w:ascii="Times New Roman" w:cs="Times New Roman" w:eastAsia="Times New Roman" w:hAnsi="Times New Roman"/>
          <w:sz w:val="16"/>
          <w:szCs w:val="16"/>
          <w:color w:val="auto"/>
        </w:rPr>
        <w:t>Natural disasters or pandemics similar to the COVID-19 pandemic could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facilities of our third-party contract manufacturers or CROs,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facilities of our third-party contract manufacturers or CROs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Common Stock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Trading Our Common Stock</w:t>
      </w:r>
    </w:p>
    <w:p>
      <w:pPr>
        <w:spacing w:after="0" w:line="231"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The trading price of our common stock historically has been volatile, which may affect the price at which you could sell any shares of our common stock. Securities class action or other litigation involving our company or members of our management team could also substantially harm our business, financial condition and results of operations.</w:t>
      </w:r>
    </w:p>
    <w:p>
      <w:pPr>
        <w:spacing w:after="0" w:line="17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The market price for our common stock historically has been volatile and could continue to be subject to wide fluctuations in response to various factors. Since shares of our common stock were sold in our initial public offering, or IPO, in July 2020 at a price of $20.00 per share, our stock price has fluctuated significantly, ranging from an intraday low of $3.50 to an intraday high of $64.37 through February 21, 2025. This volatility may affect the price at which you could resell the common stock. Our stock price is likely to continue to be volatile and subject to significant price and volume fluctuations in response to market and other factors, including the factors described below. The stock market in general and Nasdaq and the market for biopharmaceutical companies in particular, have experienced extreme volatility that has often been unrelated or disproportionate to the operating performance of these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market price for our common stock may be influenced by many factors, including:</w:t>
      </w:r>
    </w:p>
    <w:p>
      <w:pPr>
        <w:spacing w:after="0" w:line="235"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competitive products or technologies;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results of clinical trials of our product candidates or those of our competitors;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or legal developments in the United States and other countries;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or disputes concerning patent applications, issued patents or other proprietary rights;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recruitment or departure of key personnel;</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expenses related to any of our product candidates or clinical development programs;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results of our efforts to discover, develop, acquire or in-license additional product candidates or products;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estimates as to financial results, development timelines or recommendations by securities analysts;</w:t>
      </w:r>
    </w:p>
    <w:p>
      <w:pPr>
        <w:spacing w:after="0" w:line="234" w:lineRule="exact"/>
        <w:rPr>
          <w:rFonts w:ascii="Times New Roman" w:cs="Times New Roman" w:eastAsia="Times New Roman" w:hAnsi="Times New Roman"/>
          <w:sz w:val="16"/>
          <w:szCs w:val="16"/>
          <w:color w:val="auto"/>
        </w:rPr>
      </w:pPr>
    </w:p>
    <w:p>
      <w:pPr>
        <w:ind w:left="380" w:right="20" w:hanging="372"/>
        <w:spacing w:after="0" w:line="298" w:lineRule="auto"/>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a substantial number of shares of our common stock in the public market, or the perception in the market that the holders of a large number of shares intend to sell shares;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financial results or those of companies that are perceived to be similar to us;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structure of healthcare payment systems;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 the pharmaceutical and biotechnology sectors;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market conditions; and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this "Risk Factors" section.</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4" w:right="379" w:bottom="1440" w:gutter="0" w:footer="0" w:header="0"/>
        </w:sectPr>
      </w:pPr>
    </w:p>
    <w:bookmarkStart w:id="73" w:name="page74"/>
    <w:bookmarkEnd w:id="73"/>
    <w:p>
      <w:pPr>
        <w:spacing w:after="0" w:line="272" w:lineRule="auto"/>
        <w:rPr>
          <w:sz w:val="20"/>
          <w:szCs w:val="20"/>
          <w:color w:val="auto"/>
        </w:rPr>
      </w:pPr>
      <w:r>
        <w:rPr>
          <w:rFonts w:ascii="Times New Roman" w:cs="Times New Roman" w:eastAsia="Times New Roman" w:hAnsi="Times New Roman"/>
          <w:sz w:val="16"/>
          <w:szCs w:val="16"/>
          <w:color w:val="auto"/>
        </w:rPr>
        <w:t>In the past, companies that have experienced volatility in the market price of their stock have been subject to securities class action litigation. We have been the target of and may in the future be the target of litigation brought by our stockholders. The outcome of such pending and potential litigation is uncertain. If any of our stockholders were to bring a lawsuit against us, even if the lawsuit is without merit, we could incur substantial costs defending the lawsuit. Although the results of lawsuits and claims cannot be predicted with certainty, defending against such claims could be costly and divert our management’s attention from other business concerns, which could seriously harm our business. Any litigation to which we become a party may result in an onerous or unfavorable judgment, or may be resolved with a monetary payment.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 active trading market for our common stock may not be sustained.</w:t>
      </w:r>
    </w:p>
    <w:p>
      <w:pPr>
        <w:spacing w:after="0" w:line="239"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16"/>
          <w:szCs w:val="16"/>
          <w:color w:val="auto"/>
        </w:rPr>
        <w:t>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Dividends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Because we do not anticipate paying any cash dividends on our capital stock in the foreseeable future, capital appreciation, if any, will be your sole source of gain.</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Insider Control</w:t>
      </w:r>
    </w:p>
    <w:p>
      <w:pPr>
        <w:spacing w:after="0" w:line="231" w:lineRule="exact"/>
        <w:rPr>
          <w:sz w:val="20"/>
          <w:szCs w:val="20"/>
          <w:color w:val="auto"/>
        </w:rPr>
      </w:pPr>
    </w:p>
    <w:p>
      <w:pPr>
        <w:ind w:right="38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executive officers, directors, principal stockholders and their affiliates exercise significant control over our company, which will limit your ability to influence corporate matters and could delay or prevent a change in corporate control.</w:t>
      </w:r>
    </w:p>
    <w:p>
      <w:pPr>
        <w:spacing w:after="0" w:line="1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As of December 31, 2024, the holdings of our executive officers, directors, principal stockholders and their affiliates, represented beneficial ownership, in the aggregate, of approximately 39.2% of our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those of our public market investors and the concentration of voting power among these stockholders may have an adverse effect on the price of our common stock. In addition, this concentration of ownership might adversely affect the market price of our common stock by:</w:t>
      </w:r>
    </w:p>
    <w:p>
      <w:pPr>
        <w:spacing w:after="0" w:line="184"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delaying, deferring or preventing a change of control of us;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impeding a merger, consolidation, takeover or other business combination involving us; or</w:t>
      </w:r>
    </w:p>
    <w:p>
      <w:pPr>
        <w:spacing w:after="0" w:line="234" w:lineRule="exact"/>
        <w:rPr>
          <w:rFonts w:ascii="Times New Roman" w:cs="Times New Roman" w:eastAsia="Times New Roman" w:hAnsi="Times New Roman"/>
          <w:sz w:val="16"/>
          <w:szCs w:val="16"/>
          <w:color w:val="auto"/>
        </w:rPr>
      </w:pPr>
    </w:p>
    <w:p>
      <w:pPr>
        <w:ind w:right="3820" w:firstLine="8"/>
        <w:spacing w:after="0" w:line="543" w:lineRule="auto"/>
        <w:tabs>
          <w:tab w:leader="none" w:pos="37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discouraging a potential acquirer from making a tender offer or otherwise attempting to obtain control of us. </w:t>
      </w:r>
      <w:r>
        <w:rPr>
          <w:rFonts w:ascii="Times New Roman" w:cs="Times New Roman" w:eastAsia="Times New Roman" w:hAnsi="Times New Roman"/>
          <w:sz w:val="16"/>
          <w:szCs w:val="16"/>
          <w:u w:val="single" w:color="auto"/>
          <w:color w:val="auto"/>
        </w:rPr>
        <w:t>Risks Related to Tax</w:t>
      </w: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utilize our net operating loss carryforwards and certain other tax attributes may be limited.</w:t>
      </w:r>
    </w:p>
    <w:p>
      <w:pPr>
        <w:spacing w:after="0" w:line="239"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Under Section 382 of the Internal Revenue Code of 1986, as amended, or the IRC,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experience ownership changes in the future as a result of subsequent shifts in our stock ownership. As of December 31, 2024, we had federal net operating loss carryforwards of approximately $596.3 million, and our ability to utilize those net operating loss carryforwards could be limited by an "ownership change" as described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reform legislation could adversely affect our business and financial condition.</w:t>
      </w:r>
    </w:p>
    <w:p>
      <w:pPr>
        <w:spacing w:after="0" w:line="23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74" w:name="page75"/>
    <w:bookmarkEnd w:id="74"/>
    <w:p>
      <w:pPr>
        <w:spacing w:after="0" w:line="272" w:lineRule="auto"/>
        <w:rPr>
          <w:sz w:val="20"/>
          <w:szCs w:val="20"/>
          <w:color w:val="auto"/>
        </w:rPr>
      </w:pPr>
      <w:r>
        <w:rPr>
          <w:rFonts w:ascii="Times New Roman" w:cs="Times New Roman" w:eastAsia="Times New Roman" w:hAnsi="Times New Roman"/>
          <w:sz w:val="16"/>
          <w:szCs w:val="16"/>
          <w:color w:val="auto"/>
        </w:rPr>
        <w:t>Future changes in tax laws could have a material adverse effect on our business, cash flow, financial condition or results of operations.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You are urged to consult your tax advisor regarding the implications of potential changes in tax laws on an investment in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Operating as a Public Company</w:t>
      </w:r>
    </w:p>
    <w:p>
      <w:pPr>
        <w:spacing w:after="0" w:line="231"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have incurred and will continue to incur significant costs as a result of operating as a public company, and our management has devoted and will continue to devote substantial time to compliance initiatives.</w:t>
      </w:r>
    </w:p>
    <w:p>
      <w:pPr>
        <w:spacing w:after="0" w:line="16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As a public company, we have incurred and expect to incur significant legal, accounting and other expenses.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may continue to increase our legal and financial compliance costs and will make some activities more time-consuming and costly.</w:t>
      </w:r>
    </w:p>
    <w:p>
      <w:pPr>
        <w:spacing w:after="0" w:line="38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Pursuant to Section 404 of the Sarbanes-Oxley Act of 2002, or Section 404, we are required to furnish a report by our management on our internal control over financial reporting. We are required to include with our annual reports an attestation report on internal control over financial reporting issued by our independent registered public accounting firm.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disclosure controls and procedures may not prevent or detect all errors or acts of fraud.</w:t>
      </w:r>
    </w:p>
    <w:p>
      <w:pPr>
        <w:spacing w:after="0" w:line="23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Our Charter and Bylaws</w:t>
      </w:r>
    </w:p>
    <w:p>
      <w:pPr>
        <w:spacing w:after="0" w:line="231" w:lineRule="exact"/>
        <w:rPr>
          <w:sz w:val="20"/>
          <w:szCs w:val="20"/>
          <w:color w:val="auto"/>
        </w:rPr>
      </w:pPr>
    </w:p>
    <w:p>
      <w:pPr>
        <w:ind w:right="56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Our fourth amended and restated certificate of incorporation, as amended, the Certificate of Incorporation, and our amended and restated bylaws, as amended, the Bylaws, contain provisions that could delay or prevent a change of control of our company or changes in our board of directors that our stockholders might consider favorable. Some of these provisions include:</w:t>
      </w:r>
    </w:p>
    <w:p>
      <w:pPr>
        <w:spacing w:after="0" w:line="177"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board of directors divided into three classes serving staggered three-year terms, such that not all members of the board will be elected at one time;</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prohibition on stockholder action through written consent, which requires that all stockholder actions be taken at a meeting of our stockholders;</w:t>
      </w:r>
    </w:p>
    <w:p>
      <w:pPr>
        <w:spacing w:after="0" w:line="234" w:lineRule="exact"/>
        <w:rPr>
          <w:rFonts w:ascii="Times New Roman" w:cs="Times New Roman" w:eastAsia="Times New Roman" w:hAnsi="Times New Roman"/>
          <w:sz w:val="16"/>
          <w:szCs w:val="16"/>
          <w:color w:val="auto"/>
        </w:rPr>
      </w:pPr>
    </w:p>
    <w:p>
      <w:pPr>
        <w:ind w:left="380" w:right="20" w:hanging="372"/>
        <w:spacing w:after="0" w:line="298" w:lineRule="auto"/>
        <w:tabs>
          <w:tab w:leader="none" w:pos="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notice requirements for stockholder proposals and nominations for election to our board of directors;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75" w:name="page76"/>
    <w:bookmarkEnd w:id="75"/>
    <w:p>
      <w:pPr>
        <w:ind w:left="380" w:hanging="372"/>
        <w:spacing w:after="0" w:line="298" w:lineRule="auto"/>
        <w:tabs>
          <w:tab w:leader="none" w:pos="3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requirement that no member of our board of directors may be removed from office by our stockholders except for cause and, in addition to any other vote required by law, upon the approval of not less than two-thirds (2/3) of all outstanding shares of our voting stock then entitled to vote in the election of directors;</w:t>
      </w:r>
    </w:p>
    <w:p>
      <w:pPr>
        <w:spacing w:after="0" w:line="164" w:lineRule="exact"/>
        <w:rPr>
          <w:rFonts w:ascii="Times New Roman" w:cs="Times New Roman" w:eastAsia="Times New Roman" w:hAnsi="Times New Roman"/>
          <w:sz w:val="16"/>
          <w:szCs w:val="16"/>
          <w:color w:val="auto"/>
        </w:rPr>
      </w:pPr>
    </w:p>
    <w:p>
      <w:pPr>
        <w:ind w:left="380" w:right="260" w:hanging="372"/>
        <w:spacing w:after="0" w:line="298" w:lineRule="auto"/>
        <w:tabs>
          <w:tab w:leader="none" w:pos="3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w:t>
      </w:r>
    </w:p>
    <w:p>
      <w:pPr>
        <w:spacing w:after="0" w:line="164" w:lineRule="exact"/>
        <w:rPr>
          <w:rFonts w:ascii="Times New Roman" w:cs="Times New Roman" w:eastAsia="Times New Roman" w:hAnsi="Times New Roman"/>
          <w:sz w:val="16"/>
          <w:szCs w:val="16"/>
          <w:color w:val="auto"/>
        </w:rPr>
      </w:pPr>
    </w:p>
    <w:p>
      <w:pPr>
        <w:ind w:left="380" w:right="120" w:hanging="372"/>
        <w:spacing w:after="0" w:line="298" w:lineRule="auto"/>
        <w:tabs>
          <w:tab w:leader="none" w:pos="3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6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80"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16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Pursuant to our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Delaware General Corporation Law, our Certificate of Incorporation or our Bylaws; or (4) any action asserting a claim governed by the internal affairs doctrine, or the Delaware Forum Provision. The Delaware Forum Provision will not apply to any causes of action arising under the Securities Act or the Exchange Act. Our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39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We recognize that the Delaware Forum Provision and the Federal Forum Provision in our Bylaws may impose additional litigation costs on stockholders in pursuing any such claims, particularly if the stockholders do not reside in or near the State of Delaware or the Commonwealth of Massachusetts. Additionally, the forum selection clauses in our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Risks Related to Securities Analysts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securities analysts do not publish research or reports about our business or if they publish negative evaluations of our stock, the price of our stock could decline.</w:t>
      </w:r>
    </w:p>
    <w:p>
      <w:pPr>
        <w:spacing w:after="0" w:line="23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color w:val="auto"/>
        </w:rPr>
        <w:t>The trading market for our common stock will rely in part on the research and reports that industry or securities analysts publish about us or our business. If one or more of the analysts covering our stock downgrade their evaluations of our stock or publishes inaccurate or unfavorable research about our business, the trading price of our stock may decline. If one or more of these analysts cease to cover our stock, we could lose visibility in the market for our stock, which in turn could cause our stock price to decline.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 Risk Management and Strategy</w:t>
      </w:r>
    </w:p>
    <w:p>
      <w:pPr>
        <w:spacing w:after="0" w:line="23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We have implemented and maintain a cybersecurity risk management program that includes processes for the identification, assessment, and mitigation of cybersecurity risks. This process is overseen by the Director of IT Operations and Information Security, or the IT Director, and includes periodic security assessments, audits, and testing, which are informed by industry standards and supported by cybersecurity technologies, including automated tools, designed to monitor, identify, and address cybersecurity risks. We periodically engage with third parties to support these efforts. We maintain internal information security policies, including an incident response plan, which are reviewed by or at the direction of the IT Director and are updated periodically to reflect material changes and improvement in our information security practices. We have a process to assess and review the cybersecurity practices of third-party vendors and service providers prior to onboarding and periodically throughout the engagement, including through vendor questionnaires and contractual requirements, as appropriate.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Governance Related to Cybersecurity Risks</w:t>
      </w:r>
    </w:p>
    <w:p>
      <w:pPr>
        <w:spacing w:after="0" w:line="23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IT Director oversees and manages the day-to-day functions of our cybersecurity risk management program. The IT Director reports to the VP of Information Technology and Facilities, or VP of IT. The IT Director and VP of IT roles are both held by individuals who each have over twenty years of professional information technology, or IT, management experience. The VP of IT meets regularly with the Audit Committee to report on and discuss information security and technology risks to our business, including our cyber risk management programs, controls, and procedures. The VP of IT and the Audit Committee also conduct a high-level review of the threat landscape facing our business, discuss risk mitigation strategies, and the prioritization of our remediation efforts.</w:t>
      </w:r>
    </w:p>
    <w:p>
      <w:pPr>
        <w:spacing w:after="0" w:line="17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The IT Director meets periodically with members of the Relay Information Security Council, or RISC, which is comprised of the VP of IT and senior leaders from various functions, including finance, legal, human resources, corporate development, and research and development. The RISC provides input to the IT Director in connection with proposed cyber strategies as it relates to potential business impacts from new or proposed technologies and security solutions across the organization, including implementation strategies designed to address potential risks and disruptions to the business. In the event we or one of our business partners experiences a cybersecurity incident, the RISC is responsible for assisting in evaluating the incident, including whether any disclosure of the incident is required. The VP of IT reports to the Audit Committee on cyber initiatives and implementation resulting from RISC discussions.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Through the Audit Committee, the Board of Directors is informed of: (i) security initiatives, (ii) existing and emerging cybersecurity risks, including cybersecurity incidents; and (iii) any disclosure obligations arising from any cybersecurity incidents. The Board of Directors oversees our general risk management strategy and the most significant risks facing our business, and is responsible for ensuring that appropriate risk mitigation strategies are implemented.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corporate headquarters are located in Cambridge, Massachusetts.</w:t>
      </w:r>
    </w:p>
    <w:p>
      <w:pPr>
        <w:spacing w:after="0" w:line="235"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6"/>
          <w:szCs w:val="16"/>
          <w:color w:val="auto"/>
        </w:rPr>
        <w:t>We occupy approximately (a) 46,631 square feet of office and laboratory space at 399 Binney Street, Cambridge, Massachusetts 02142, the lease term for which expires on April 30, 2029, with an option to extend the term by five years with 12 to 15 months' notice at agreed upon market rates, and (b) 41,474 square feet of office and laboratory space at 60 Hampshire Street, Cambridge, Massachusetts 02139, the lease term for which expires on June 30, 2032.</w:t>
      </w:r>
    </w:p>
    <w:p>
      <w:pPr>
        <w:spacing w:after="0" w:line="177"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23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7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 xml:space="preserve">On December 18, 2024, David Hayes, or the Plaintiff, an alleged Relay Therapeutics stockholder, derivatively and on behalf of us as a nominal defendant, filed a complaint in the Court of Chancery of the State of Delaware, or the Court, captioned </w:t>
      </w:r>
      <w:r>
        <w:rPr>
          <w:rFonts w:ascii="Times New Roman" w:cs="Times New Roman" w:eastAsia="Times New Roman" w:hAnsi="Times New Roman"/>
          <w:sz w:val="16"/>
          <w:szCs w:val="16"/>
          <w:i w:val="1"/>
          <w:iCs w:val="1"/>
          <w:color w:val="auto"/>
        </w:rPr>
        <w:t>Hayes v. Borisy, et al.</w:t>
      </w:r>
      <w:r>
        <w:rPr>
          <w:rFonts w:ascii="Times New Roman" w:cs="Times New Roman" w:eastAsia="Times New Roman" w:hAnsi="Times New Roman"/>
          <w:sz w:val="16"/>
          <w:szCs w:val="16"/>
          <w:color w:val="auto"/>
        </w:rPr>
        <w:t xml:space="preserve"> (C.A. No. 2024-1309-PAF), or the Derivative Complaint, against certain of our directors and officers, or the Defendants. The Derivative Complaint alleges that, in 2021, 2022, and 2023, the Defendants awarded the members of our Board of Directors excessive compensation. The Derivative Complaint asserts claims for breach of fiduciary duty, unjust enrichment, waste of corporate assets, and breach of fiduciary duty of disclosure. The Derivative Complaint seeks a judgment against the Defendants declaring that Plaintiff may maintain the action on behalf of us and that he is an adequate representative of us; awarding to us the damages sustained as a result of the breaches of fiduciary duty and unjust enrichment alleged against the Defendants; directing us to take all necessary actions to reform and improve an effective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77" w:name="page78"/>
    <w:bookmarkEnd w:id="77"/>
    <w:p>
      <w:pPr>
        <w:spacing w:after="0" w:line="275" w:lineRule="auto"/>
        <w:rPr>
          <w:sz w:val="20"/>
          <w:szCs w:val="20"/>
          <w:color w:val="auto"/>
        </w:rPr>
      </w:pPr>
      <w:r>
        <w:rPr>
          <w:rFonts w:ascii="Times New Roman" w:cs="Times New Roman" w:eastAsia="Times New Roman" w:hAnsi="Times New Roman"/>
          <w:sz w:val="16"/>
          <w:szCs w:val="16"/>
          <w:color w:val="auto"/>
        </w:rPr>
        <w:t>system of corporate governance and internal procedures; awarding us restitution from the Defendants; ordering the Defendants to disgorge and pay to us or cancel all profits, benefits, and other compensation obtained; awarding Plaintiff costs and disbursements of the action, including reasonable attorneys’, accountants’, and experts’ fees, costs, and expenses; and granting such other relief that the Court deems just and proper. On January 24, 2025, we, as nominal defendants, and the Defendants separately answered the complaint. We are unable to predict the outcome, or the reasonably possible loss or range of loss, if any, related to this matter.</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78" w:name="page79"/>
    <w:bookmarkEnd w:id="78"/>
    <w:p>
      <w:pPr>
        <w:jc w:val="center"/>
        <w:ind w:left="50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Information Regarding the Trading of Our Common Stock</w:t>
      </w:r>
    </w:p>
    <w:p>
      <w:pPr>
        <w:spacing w:after="0" w:line="237"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Our common stock trades under the symbol "RLAY" on the Nasdaq Global Market and has been publicly traded since July 16, 2020. Prior to this time, there was no public market for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 of Our Common Stock</w:t>
      </w:r>
    </w:p>
    <w:p>
      <w:pPr>
        <w:spacing w:after="0" w:line="237"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As of February 3, 2025, there were approximately 32 holders of record of shares of our common stock. This number does not include stockholders for whom shares are held in "nominee" or "street" name.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23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Performance Graph</w:t>
      </w:r>
    </w:p>
    <w:p>
      <w:pPr>
        <w:spacing w:after="0" w:line="23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183"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In July 2020, we issued 23,000,000 shares of our common stock in our IPO at a price of $20.00 per share. The following performance graph compares the performance of our common stock to the Nasdaq Composite Index and to the Nasdaq Biotechnology Index from July 16, 2020, the closing market price on the first trading day of our common stock, through December 31, 2024. The comparison assumes $100 was invested in our common stock and in each of the foregoing indices after the market closed on July 16, 2020 and it assumes reinvestment of dividends, if any. The stock price performance included in this graph is not necessarily indicative of, nor is it intended to forecast,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127000</wp:posOffset>
            </wp:positionV>
            <wp:extent cx="4749165" cy="27514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4916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6"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23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Information about our equity compensation plans will be included in our definitive proxy statement to be filed with the SEC with respect to our 2025 Annual Meeting of Stockholders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Unregistered Sales of Equity Securities and Use of Proceeds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Sales of Unregistered Equity Securities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Purchases of Equity Securities by the Issuer and Affiliated Purchasers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did not purchase any of our registered equity securities during the period covered by this Annual Report on Form 10-K.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312" w:right="6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23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together with our consolidated financial statements and the related notes included elsewhere in this Annual Report on Form 10-K. This discussion and other parts of this Annual Report on Form 10-K contain forward-looking statements that involve risks and uncertainties, such as statements of our plans, objectives, expectations, and intentions.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2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We are a clinical-stage precision medicine company transforming the drug discovery process by combining leading-edge computational and experimental technologies with the goal of bringing life-changing therapies to patients. As we believe we are among the first of a new breed of biotech created at the intersection of complementary techniques and technologies, we aim to push the boundaries of what’s possible in drug discovery. Our Dynamo® platform integrates an array of leading-edge computational and experimental approaches designed to drug protein targets that have previously been intractable or inadequately addressed. Our initial focus is on enhancing small molecule therapeutic discovery in targeted oncology and genetic disease indications.</w:t>
      </w:r>
    </w:p>
    <w:p>
      <w:pPr>
        <w:spacing w:after="0" w:line="186" w:lineRule="exact"/>
        <w:rPr>
          <w:sz w:val="20"/>
          <w:szCs w:val="20"/>
          <w:color w:val="auto"/>
        </w:rPr>
      </w:pPr>
    </w:p>
    <w:p>
      <w:pPr>
        <w:jc w:val="both"/>
        <w:ind w:right="320"/>
        <w:spacing w:after="0" w:line="281" w:lineRule="auto"/>
        <w:rPr>
          <w:sz w:val="20"/>
          <w:szCs w:val="20"/>
          <w:color w:val="auto"/>
        </w:rPr>
      </w:pPr>
      <w:r>
        <w:rPr>
          <w:rFonts w:ascii="Times New Roman" w:cs="Times New Roman" w:eastAsia="Times New Roman" w:hAnsi="Times New Roman"/>
          <w:sz w:val="16"/>
          <w:szCs w:val="16"/>
          <w:color w:val="auto"/>
        </w:rPr>
        <w:t>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w:t>
      </w:r>
    </w:p>
    <w:p>
      <w:pPr>
        <w:spacing w:after="0" w:line="177"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We are advancing a pipeline of medicine candidates to address targets in precision oncology and genetic disease, including RLY-2608, our lead product candidate discussed below.</w:t>
      </w:r>
    </w:p>
    <w:p>
      <w:pPr>
        <w:spacing w:after="0" w:line="149"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RLY-2608. </w:t>
      </w:r>
      <w:r>
        <w:rPr>
          <w:rFonts w:ascii="Times New Roman" w:cs="Times New Roman" w:eastAsia="Times New Roman" w:hAnsi="Times New Roman"/>
          <w:sz w:val="16"/>
          <w:szCs w:val="16"/>
          <w:color w:val="auto"/>
        </w:rPr>
        <w:t>RLY-2608 is the first known allosteric, pan-mutant and isoform-selective phosphoinostide 3 kinase alpha, or PI3Kα, inhibitor in clinical development. It is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lead program in our efforts to discover and develop mutant selective inhibitors of PI3Kα.</w:t>
      </w:r>
    </w:p>
    <w:p>
      <w:pPr>
        <w:spacing w:after="0" w:line="256" w:lineRule="exact"/>
        <w:rPr>
          <w:sz w:val="20"/>
          <w:szCs w:val="20"/>
          <w:color w:val="auto"/>
        </w:rPr>
      </w:pPr>
    </w:p>
    <w:p>
      <w:pPr>
        <w:ind w:left="1020" w:right="40" w:hanging="503"/>
        <w:spacing w:after="0" w:line="269" w:lineRule="auto"/>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ReDiscover Trial</w:t>
      </w:r>
      <w:r>
        <w:rPr>
          <w:rFonts w:ascii="Times New Roman" w:cs="Times New Roman" w:eastAsia="Times New Roman" w:hAnsi="Times New Roman"/>
          <w:sz w:val="16"/>
          <w:szCs w:val="16"/>
          <w:color w:val="auto"/>
        </w:rPr>
        <w:t>. In December 2021, we dosed the first patient in a first-in-human clinical trial for RLY-2608, or the ReDiscover Trial. Since then, we have predominantly focused on evaluating RLY-2608 in combination with fulvestrant for patients with HR+, HER2–, PI3Kα-mutated, locally advanced or metastatic breast cancer. In the fourth quarter of 2023, we initiated a triplet combination arm with RLY-2608, fulvestrant and the cyclin dependent kinase 4/6, or CDK 4/6, inhibitor ribociclib. In the fourth quarter of 2024, we initiated an additional triplet combination arm with RLY-2608, fulvestrant, and atirmociclib, Pfizer Inc.’s, or Pfizer’s, investigative selective-CDK4 inhibitor, pursuant to a clinical trial collaboration with Pfizer. We also intend to initiate a Phase 3 registrational study, or the ReDiscover-2 Trial, which will evaluate the safety and efficacy of RLY-2608 plus fulvestrant in PI3Kα-mutated, HR+/HER2- advanced breast cancer patients previously treated with a CDK4/6 inhibitor. The comparator arm in the ReDsicover-2 Trial will be capivasertib plus fulvestrant.</w:t>
      </w:r>
    </w:p>
    <w:p>
      <w:pPr>
        <w:spacing w:after="0" w:line="280" w:lineRule="exact"/>
        <w:rPr>
          <w:rFonts w:ascii="Times New Roman" w:cs="Times New Roman" w:eastAsia="Times New Roman" w:hAnsi="Times New Roman"/>
          <w:sz w:val="16"/>
          <w:szCs w:val="16"/>
          <w:color w:val="auto"/>
        </w:rPr>
      </w:pPr>
    </w:p>
    <w:p>
      <w:pPr>
        <w:ind w:left="1020" w:right="40" w:hanging="503"/>
        <w:spacing w:after="0" w:line="272" w:lineRule="auto"/>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Clinical Data</w:t>
      </w:r>
      <w:r>
        <w:rPr>
          <w:rFonts w:ascii="Times New Roman" w:cs="Times New Roman" w:eastAsia="Times New Roman" w:hAnsi="Times New Roman"/>
          <w:sz w:val="16"/>
          <w:szCs w:val="16"/>
          <w:color w:val="auto"/>
        </w:rPr>
        <w:t>. In September 2024, we announced interim clinical data for RLY-2608 with a data cut-off date of August 12, 2024, and in December 2024, we announced additional updated interim clinical data for RLY-2608 at the San Antionio Breast Cancer Symposium 2024 with a data cut-off date of November 4, 2024. We believe that, overall, while the clinical data from the ReDiscover Trial disclosed to date are preliminary, the data suggest differentiated interim efficacy signals in the specified patient population and support selective target engagement across doses and mutation types with an encouraging interim safety and tolerability profile.</w:t>
      </w:r>
    </w:p>
    <w:p>
      <w:pPr>
        <w:spacing w:after="0" w:line="186"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6"/>
          <w:szCs w:val="16"/>
          <w:color w:val="auto"/>
        </w:rPr>
        <w:t>While our initial focus is on precision oncology, we believe our Dynamo® platform may also be broadly applied to other areas of precision medicine, such as genetic diseases. In June 2024, we announced three new programs, including two genetic disease programs to address clinically and commercially validated targets in vascular malformations and Fabry disease, respectively, and an NRAS-selective inhibitor for NRAS-mutated solid tumors. We also have four additional active discovery stage programs across both precision oncology and genetic diseases. We are focused on using the novel insights derived from our approach to transform the lives of patients suffering from debilitating and life-threatening diseases through the discovery, development, and commercialization of our therapies.</w:t>
      </w:r>
    </w:p>
    <w:p>
      <w:pPr>
        <w:spacing w:after="0" w:line="186"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16"/>
          <w:szCs w:val="16"/>
          <w:color w:val="auto"/>
        </w:rPr>
        <w:t>We were incorporated in May 2015. We have devoted substantially all of our resources to developing our product candidates, developing our innovative computational and experimental approaches on protein motion, building our intellectual property portfolio, business planning, raising capital, and providing general and administrative support for these operations. To date, we have principally financed our operations through private placements of preferred stock and common stock, convertible debt, and proceeds from public offerings of our common stock.</w:t>
      </w:r>
    </w:p>
    <w:p>
      <w:pPr>
        <w:spacing w:after="0" w:line="18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 December 2024, we entered into an exclusive global licensing agreement, or the Elevar Agreement, with Elevar Therapeutics, Inc., or Elevar, pursuant to which Elevar was granted global development and commercialization rights for lirafugratinib. Under the terms of the Elevar Agreement, we received $5.0 million in upfront consideration and $2.7 million in conjunction with the transfer of active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2"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color w:val="auto"/>
        </w:rPr>
        <w:t>pharmaceutical ingredient and other materials. We are eligible to receive up to $495.0 million in regulatory and commercial milestone payments, as well as tiered royalties.</w:t>
      </w:r>
    </w:p>
    <w:p>
      <w:pPr>
        <w:spacing w:after="0" w:line="23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6"/>
          <w:szCs w:val="16"/>
          <w:color w:val="auto"/>
        </w:rPr>
        <w:t>In September 2024, we completed a public offering, or the September 2024 Offering, of 32,857,143 shares of common stock, including the exercise in full of the underwriters’ option to purchase an additional 4,285,714 shares, at an offering price of $7.00 per share. We received proceeds of $218.2 million, which was net of $11.8 million in underwriting discounts and other offering expenses.</w:t>
      </w:r>
    </w:p>
    <w:p>
      <w:pPr>
        <w:spacing w:after="0" w:line="17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In August 2021, we entered into a sales agreement, or the 2021 Sales Agreement, with Cowen and Company, LLC, or Cowen, pursuant to which we could offer and sell shares of our common stock having aggregate gross proceeds of up to $300.0 million from time to time in "at-the-market" offerings through Cowen, as our sales agent. In August 2024, the 2021 Sales Agreement was terminated by mutual agreement between us and Cowen. Through termination of the 2021 Sales Agreement, we sold 4,915,669 shares of common stock under the 2021 Sales Agreement, from which we received $48.2 million in proceeds, which were net of $1.2 million in commissions paid to Cowen and other offering expenses.</w:t>
      </w:r>
    </w:p>
    <w:p>
      <w:pPr>
        <w:spacing w:after="0" w:line="18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In August 2024, we also entered into a new sales agreement, or the 2024 Sales Agreement, with TD Securities (USA) LLC, or TD Securities, pursuant to which we may offer and sell shares of our common stock having aggregate gross proceeds of up to $250.0 million from time to time in “at-the-market” offerings through TD Securities, as our sales agent. As of December 31, 2024, we have not sold any shares under the 2024 Sales Agreement.</w:t>
      </w:r>
    </w:p>
    <w:p>
      <w:pPr>
        <w:spacing w:after="0" w:line="177"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In January 2024, we entered into a securities purchase agreement with Nextech Crossover I SCP for the private placement of 2,500,000 shares of common stock at $12.00 per share, or the Private Placement. We received $29.8 million in proceeds from the Private Placement, which were net of $0.2 million in offering expenses.</w:t>
      </w:r>
    </w:p>
    <w:p>
      <w:pPr>
        <w:spacing w:after="0" w:line="164"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In September 2022, we completed a public offering, or the September 2022 Offering, of 11,320,755 shares of common stock at an offering price of $26.50 per share. We received proceeds of $284.7 million, which was net of $15.3 million in underwriting discounts and commissions, as well as other offering expenses.</w:t>
      </w:r>
    </w:p>
    <w:p>
      <w:pPr>
        <w:spacing w:after="0" w:line="16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On April 15, 2021, we entered into an Agreement and Plan of Merger, or the Merger Agreement, and, on April 22, 2021, we acquired ZebiAI Therapeutics, Inc., or ZebiAI. Pursuant to the Merger Agreement, upfront consideration included payment of approximately $20.0 million in cash and issuance of 1,914,219 shares of our common stock at an aggregate fair value of $61.8 million, both transferred to ZebiAI’s former stockholders, option holders, and warrant holders, or the ZebiAI Holders, upon closing. ZebiAI Holders are also eligible to receive payments upon achievement of certain program milestones, payable in shares of our common stock, or Contingent Milestone Payments, per the terms of the Merger Agreement.</w:t>
      </w:r>
    </w:p>
    <w:p>
      <w:pPr>
        <w:spacing w:after="0" w:line="18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In December 2020, we entered into a global collaboration and license agreement with Genentech, Inc., a member of the Roche Group, or Genentech, for the development and commercialization of RLY-1971 (now referred to as migoprotafib, or GDC-1971), or the Genentech Agreement. Under the terms of the Genentech Agreement, we received $75.0 million in an upfront payment in 2021, as well as $45.0 million in milestone payments from Genentech as of December 31, 2024. Genentech elected to terminate the Genentech Agreement without cause, effective as of January 7, 2025, or the Termination Date. As of the Termination Date, we are no longer entitled to receive any further milestones or other payments due after the Termination Date.The parties also ceased to have any development or commercialization obligations as of the Termination Date and the licenses that we granted to Genentech pursuant to the Genentech Agreement ceased to be in effect as of the Termination Date. We will not continue development of migoprotafib.</w:t>
      </w:r>
    </w:p>
    <w:p>
      <w:pPr>
        <w:spacing w:after="0" w:line="19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Inflation generally affects us by increasing our employee-related costs and clinical trial expenses, as well as other operating expenses. Our financial condition and results of operations may also be impacted by other factors we may not be able to control, such as public health crises, global supply chain disruptions, uncertain global economic conditions, global trade disputes or political instability as further discussed in the section "Risk Factors" in this Annual Report on Form 10-K. We do not believe that such factors had a material adverse impact on our results of operations during the years ended December 31, 2024,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 our inception, we have incurred significant operating losses on an aggregate basis. Our ability to generate product revenue sufficient to achieve profitability will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depend on the successful development and eventual commercialization of one or more of our current or future product candidates. Our net losses were $337.7 million,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$342.0 million, and $290.5 million for the years ended December 31, 2024, 2023, and 2022, respectively. As of December 31, 2024, we had an accumulated deficit of $1.7</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billion. These losses have resulted primarily from costs incurred in connection with research and development activities, licensing and patent investment, and general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administrative costs associated with our operations. We expect to continue to incur significant expenses</w:t>
      </w:r>
      <w:r>
        <w:rPr>
          <w:rFonts w:ascii="Times New Roman" w:cs="Times New Roman" w:eastAsia="Times New Roman" w:hAnsi="Times New Roman"/>
          <w:sz w:val="16"/>
          <w:szCs w:val="16"/>
          <w:color w:val="231F20"/>
        </w:rPr>
        <w:t>, including the costs of operating as a public company,</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color w:val="231F20"/>
        </w:rPr>
        <w:t>generate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significant </w:t>
      </w:r>
      <w:r>
        <w:rPr>
          <w:rFonts w:ascii="Times New Roman" w:cs="Times New Roman" w:eastAsia="Times New Roman" w:hAnsi="Times New Roman"/>
          <w:sz w:val="16"/>
          <w:szCs w:val="16"/>
          <w:color w:val="000000"/>
        </w:rPr>
        <w:t>operating losses for at least the next several years.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anticipate that our expenses will increase substantially if and as we:</w:t>
      </w:r>
    </w:p>
    <w:p>
      <w:pPr>
        <w:spacing w:after="0" w:line="235" w:lineRule="exact"/>
        <w:rPr>
          <w:sz w:val="20"/>
          <w:szCs w:val="20"/>
          <w:color w:val="auto"/>
        </w:rPr>
      </w:pPr>
    </w:p>
    <w:p>
      <w:pPr>
        <w:ind w:left="380" w:hanging="372"/>
        <w:spacing w:after="0"/>
        <w:tabs>
          <w:tab w:leader="none" w:pos="3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our current and future clinical trials of our lead product candidate;</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 additional preclinical research and development of our early-stage programs;</w:t>
      </w:r>
    </w:p>
    <w:p>
      <w:pPr>
        <w:spacing w:after="0" w:line="230"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82" w:name="page83"/>
    <w:bookmarkEnd w:id="82"/>
    <w:p>
      <w:pPr>
        <w:ind w:left="380" w:hanging="372"/>
        <w:spacing w:after="0"/>
        <w:tabs>
          <w:tab w:leader="none" w:pos="3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initiate and continue research and preclinical and clinical development of our other product candidates;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 to identify additional product candidates;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pursue marketing approvals for any of our product candidates that successfully complete clinical trials, if any;</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 sales, marketing, and distribution infrastructure to commercialize any products for which we may obtain marketing approval;</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manufacture of larger quantities of our product candidates for clinical development and potentially commercialization;</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maintain, expand, and protect our intellectual property portfolio;</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in-license other drugs and technologies;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and retain additional clinical, regulatory, quality, and scientific personnel;</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 out new facilities or expand existing facilities to support our ongoing development activity; and</w:t>
      </w:r>
    </w:p>
    <w:p>
      <w:pPr>
        <w:spacing w:after="0" w:line="234" w:lineRule="exact"/>
        <w:rPr>
          <w:rFonts w:ascii="Times New Roman" w:cs="Times New Roman" w:eastAsia="Times New Roman" w:hAnsi="Times New Roman"/>
          <w:sz w:val="16"/>
          <w:szCs w:val="16"/>
          <w:color w:val="auto"/>
        </w:rPr>
      </w:pPr>
    </w:p>
    <w:p>
      <w:pPr>
        <w:ind w:left="380" w:right="200" w:hanging="372"/>
        <w:spacing w:after="0" w:line="298" w:lineRule="auto"/>
        <w:tabs>
          <w:tab w:leader="none" w:pos="3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 operational, financial, and management information systems and personnel, including personnel to support our drug development, any future commercialization efforts, and our operations as a public company.</w:t>
      </w:r>
    </w:p>
    <w:p>
      <w:pPr>
        <w:spacing w:after="0" w:line="164"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 addition, if we obtain marketing approval for any of our product candidates, we expect to incur significant commercialization expenses related to product manufacturing, marketing, sales and distribution.</w:t>
      </w:r>
    </w:p>
    <w:p>
      <w:pPr>
        <w:spacing w:after="0" w:line="16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or commercialization of one or more of our product candidates.</w:t>
      </w:r>
    </w:p>
    <w:p>
      <w:pPr>
        <w:spacing w:after="0" w:line="18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may be forced to reduce or terminate our operations.</w:t>
      </w:r>
    </w:p>
    <w:p>
      <w:pPr>
        <w:spacing w:after="0" w:line="183"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6"/>
          <w:szCs w:val="16"/>
          <w:color w:val="auto"/>
        </w:rPr>
        <w:t>We believe our cash, cash equivalents, and investments of $781.3 million as of December 31, 2024 will enable us to fund our operating expenses and capital expenditure requirements into the second half of 2027. We have based this estimate on assumptions that may prove to be wrong, and we could exhaust our available capital resources sooner than we expect. We will need to raise additional capital in the future to continue developing the drugs in our pipeline and to commercialize any approved drug. We may seek to obtain additional financing in the future through the issuance of our common stock, through other equity or debt financings, or through collaborations or partnerships with other companies. We may not be able to raise additional capital on terms acceptable to us, or at all, and any failure to raise capital as and when needed could compromise our ability to execute on our business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our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date, our revenue primarily consists of amounts related to the Genentech Agreement.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Expenses include:</w:t>
      </w:r>
    </w:p>
    <w:p>
      <w:pPr>
        <w:spacing w:after="0" w:line="235" w:lineRule="exact"/>
        <w:rPr>
          <w:sz w:val="20"/>
          <w:szCs w:val="20"/>
          <w:color w:val="auto"/>
        </w:rPr>
      </w:pPr>
    </w:p>
    <w:p>
      <w:pPr>
        <w:ind w:left="380" w:hanging="372"/>
        <w:spacing w:after="0"/>
        <w:tabs>
          <w:tab w:leader="none" w:pos="3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salaries, benefits, and other employee costs, including stock compensation expense, for personnel engaged in research and development functions;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outside consultants, including their fees, stock compensation, and related travel expenses;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83" w:name="page84"/>
    <w:bookmarkEnd w:id="83"/>
    <w:p>
      <w:pPr>
        <w:ind w:left="380" w:right="140" w:hanging="372"/>
        <w:spacing w:after="0" w:line="298" w:lineRule="auto"/>
        <w:tabs>
          <w:tab w:leader="none" w:pos="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incurred under agreements with contract research organizations, or CROs, contract manufacturing organizations, or CMOs, and other vendors that conduct our clinical trials and preclinical activities;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acquiring, developing, and manufacturing clinical trial materials, and lab supplies;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related to compliance with regulatory requirements; and</w:t>
      </w:r>
    </w:p>
    <w:p>
      <w:pPr>
        <w:spacing w:after="0" w:line="234" w:lineRule="exact"/>
        <w:rPr>
          <w:rFonts w:ascii="Times New Roman" w:cs="Times New Roman" w:eastAsia="Times New Roman" w:hAnsi="Times New Roman"/>
          <w:sz w:val="16"/>
          <w:szCs w:val="16"/>
          <w:color w:val="auto"/>
        </w:rPr>
      </w:pPr>
    </w:p>
    <w:p>
      <w:pPr>
        <w:ind w:right="420" w:firstLine="8"/>
        <w:spacing w:after="0" w:line="545" w:lineRule="auto"/>
        <w:tabs>
          <w:tab w:leader="none" w:pos="37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facility costs, depreciation, and other expenses, which include direct and allocated expenses for rent and maintenance of facilities, insurance, and other supplies. We do not allocate certain internal costs, facilities, or overhead costs to specific development programs.</w:t>
      </w:r>
    </w:p>
    <w:p>
      <w:pPr>
        <w:spacing w:after="0" w:line="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expense research and development costs as the services are performed or the goods are received. We recognize costs for certain development activities, such as clinical trials, based on an evaluation of the progress to completion of specific tasks using data, such as patient enrollment, clinical site activations, or other information provided to us by our vendors and our clinical investigative sites. Payments for these activities are based on the terms of the individual agreements, which may differ from the pattern of costs incurred, and are reflected in our financial statements as prepaid expenses or accrued research and development expenses.</w:t>
      </w:r>
    </w:p>
    <w:p>
      <w:pPr>
        <w:spacing w:after="0" w:line="18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Our lead product candidate is in clinical development. We also have several active discovery stage programs across both precision oncology and genetic diseases. Costs incurred for these programs include costs incurred to support our discovery research and translational science efforts up to the initiation of first-in-human clinical development. Platform research and other research and development activities include costs that are not specifically allocated to active product candidates, including facilities costs, depreciation expense, and other costs. Employee expenses include salary, wages, stock compensation, and other costs related to our personnel, which are not allocated to specific programs or activities.</w:t>
      </w:r>
    </w:p>
    <w:p>
      <w:pPr>
        <w:spacing w:after="0" w:line="18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We cannot determine with certainty the duration and costs of future clinical trials and future development costs, if, when, or to what extent we will generate revenue from the commercialization and sale of any of our product candidates for which we obtain marketing approval or our other research and development costs. We may never succeed in obtaining marketing approval for any of our product candidates.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duration, costs, and timing of clinical trials and development of our product candidates will depend on a variety of factors, including:</w:t>
      </w:r>
    </w:p>
    <w:p>
      <w:pPr>
        <w:spacing w:after="0" w:line="235" w:lineRule="exact"/>
        <w:rPr>
          <w:sz w:val="20"/>
          <w:szCs w:val="20"/>
          <w:color w:val="auto"/>
        </w:rPr>
      </w:pPr>
    </w:p>
    <w:p>
      <w:pPr>
        <w:ind w:left="380" w:right="380" w:hanging="372"/>
        <w:spacing w:after="0" w:line="298" w:lineRule="auto"/>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rate of progress, expense, and results of our preclinical development activities, any future clinical trials of our lead product candidate, or other product candidates and other research and development activities that we may conduct;</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in clinical trial design and patient enrollment or drop out or discontinuation rates;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 appropriate safety and efficacy profile with IND-enabling studies;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initiation and completion of future clinical trial results;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receipt, and terms of any approvals from applicable regulatory authorities including the FDA and non-U.S. regulators;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and changing government regulation and regulatory guidance;</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additional studies requested by regulatory agencies;</w:t>
      </w:r>
    </w:p>
    <w:p>
      <w:pPr>
        <w:spacing w:after="0" w:line="234" w:lineRule="exact"/>
        <w:rPr>
          <w:rFonts w:ascii="Times New Roman" w:cs="Times New Roman" w:eastAsia="Times New Roman" w:hAnsi="Times New Roman"/>
          <w:sz w:val="16"/>
          <w:szCs w:val="16"/>
          <w:color w:val="auto"/>
        </w:rPr>
      </w:pPr>
    </w:p>
    <w:p>
      <w:pPr>
        <w:ind w:left="380" w:right="160" w:hanging="372"/>
        <w:spacing w:after="0" w:line="298" w:lineRule="auto"/>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clinical and commercial manufacturing capabilities or making arrangements with third-party manufacturers in order to ensure that we or our third-party manufacturers are able to make product successfully;</w:t>
      </w:r>
    </w:p>
    <w:p>
      <w:pPr>
        <w:spacing w:after="0" w:line="164" w:lineRule="exact"/>
        <w:rPr>
          <w:rFonts w:ascii="Times New Roman" w:cs="Times New Roman" w:eastAsia="Times New Roman" w:hAnsi="Times New Roman"/>
          <w:sz w:val="16"/>
          <w:szCs w:val="16"/>
          <w:color w:val="auto"/>
        </w:rPr>
      </w:pPr>
    </w:p>
    <w:p>
      <w:pPr>
        <w:jc w:val="both"/>
        <w:ind w:left="380" w:right="840" w:hanging="372"/>
        <w:spacing w:after="0" w:line="298" w:lineRule="auto"/>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business interruptions to our operations, including the timing and enrollment of patients in our planned clinical trials, or to those of our manufacturers, suppliers, or other vendors resulting from any public health crisis or ongoing geopolitical conflicts and related global economic sanctions;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 of filing, prosecuting, defending, and enforcing any patent claims and other intellectual property rights; and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 continued acceptable safety profile of our product candidates following approval, if any, of our product candidates.</w:t>
      </w:r>
    </w:p>
    <w:p>
      <w:pPr>
        <w:spacing w:after="0" w:line="235"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to continue to incur significant research and development expenses for the foreseeable future as we continue</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14" w:right="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color w:val="auto"/>
        </w:rPr>
        <w:t>to conduct clinical trials of our lead product candidate, initiate clinical trials for our other product candidates, as well as identify and develop additional product candidates.</w:t>
      </w:r>
    </w:p>
    <w:p>
      <w:pPr>
        <w:spacing w:after="0" w:line="23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trial delays due to patient enrollment or other reasons, we would be required to expend significant additional financial resources and time on the completion of clinical development.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 in Fair Value of Contingent Consideration Liability</w:t>
      </w:r>
    </w:p>
    <w:p>
      <w:pPr>
        <w:spacing w:after="0" w:line="237"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Change in Fair Value of Contingent Consideration Liability consists of fluctuations in the estimated fair value of Contingent Milestone Payments, as well as changes in the recorded amounts of Contingent Earnout Payments, under the Merger Agreement with ZebiAI.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237"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General and Administrative Expenses primarily consist of salaries and other employee costs, including stock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other expenses associated with operating as a public company, including compliance with exchange listing and Securities and Exchange Commission, or SEC, requirements, director and officer insurance costs, and investor and public relations costs; travel expenses; and facility-related expenses, which include depreciation costs and allocated expenses for rent and maintenance of facilities.</w:t>
      </w:r>
    </w:p>
    <w:p>
      <w:pPr>
        <w:spacing w:after="0" w:line="186"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We expect to continue to incur significant general and administrative expenses in the future and as we continue our research and development activities, as well as other activities related to the potential commercialization of our product candidates.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Income, Net primarily consists of interest income related to interest earned on our cash, cash equivalents, and investments.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39"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Since our inception in 2015, we have not recorded any U.S. federal or state income tax benefits for the net losses we have incurred in any year or for our earned research and development tax credits, due to our uncertainty of realizing a benefit from such items.</w:t>
      </w:r>
    </w:p>
    <w:p>
      <w:pPr>
        <w:spacing w:after="0" w:line="164"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6"/>
          <w:szCs w:val="16"/>
          <w:color w:val="auto"/>
        </w:rPr>
        <w:t>As of December 31, 2024, we had federal net operating loss carryforwards of $596.3 million, of which $43.1 million begin to expire in 2035 and $553.2 million do not expire.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we had state net operating loss carryforwards of $625.2 million, which begin to expire in 2035.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we had federal research and development tax credit carryforwards of $47.5 million, which begin to expire in 2035.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we had state research and development tax credit carryforwards of $27.0 million, which begin to expire in 2030.</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we had federal orphan drug tax credit carryforwards of $19.5 million, which begin to expire in 2042.</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years ended December 31, 2024 and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the years ended December 31, 2024 and 2023.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80" w:type="dxa"/>
            <w:vAlign w:val="bottom"/>
            <w:gridSpan w:val="5"/>
          </w:tcPr>
          <w:p>
            <w:pPr>
              <w:jc w:val="right"/>
              <w:ind w:right="10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Pr>
          <w:p>
            <w:pPr>
              <w:spacing w:after="0"/>
              <w:rPr>
                <w:sz w:val="13"/>
                <w:szCs w:val="13"/>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28"/>
        </w:trPr>
        <w:tc>
          <w:tcPr>
            <w:tcW w:w="660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463"/>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463"/>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6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ind w:right="203"/>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License and other revenue</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10,007</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25,546</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(15,539 )</w:t>
            </w: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319,089</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330,018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(10,929 )</w:t>
            </w:r>
          </w:p>
        </w:tc>
      </w:tr>
      <w:tr>
        <w:trPr>
          <w:trHeight w:val="203"/>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contingent consideration liability</w:t>
            </w:r>
          </w:p>
        </w:tc>
        <w:tc>
          <w:tcPr>
            <w:tcW w:w="3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(13,206 )</w:t>
            </w:r>
          </w:p>
        </w:tc>
        <w:tc>
          <w:tcPr>
            <w:tcW w:w="18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(6,422 )</w:t>
            </w:r>
          </w:p>
        </w:tc>
        <w:tc>
          <w:tcPr>
            <w:tcW w:w="28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(6,784 )</w:t>
            </w:r>
          </w:p>
        </w:tc>
      </w:tr>
      <w:tr>
        <w:trPr>
          <w:trHeight w:val="203"/>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76,592</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74,950</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382,475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398,546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(16,071 )</w:t>
            </w:r>
          </w:p>
        </w:tc>
      </w:tr>
      <w:tr>
        <w:trPr>
          <w:trHeight w:val="20"/>
        </w:trPr>
        <w:tc>
          <w:tcPr>
            <w:tcW w:w="6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(372,468 )</w:t>
            </w: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(373,000 )</w:t>
            </w: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34,760</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31,027</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(337,708 )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(341,973 )</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4,265</w:t>
            </w:r>
          </w:p>
        </w:tc>
        <w:tc>
          <w:tcPr>
            <w:tcW w:w="100" w:type="dxa"/>
            <w:vAlign w:val="bottom"/>
            <w:shd w:val="clear" w:color="auto" w:fill="CFF0FC"/>
          </w:tcPr>
          <w:p>
            <w:pPr>
              <w:spacing w:after="0"/>
              <w:rPr>
                <w:sz w:val="18"/>
                <w:szCs w:val="18"/>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-565150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-565150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and Other Revenue</w:t>
      </w:r>
    </w:p>
    <w:p>
      <w:pPr>
        <w:spacing w:after="0" w:line="23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6"/>
          <w:szCs w:val="16"/>
          <w:color w:val="auto"/>
        </w:rPr>
        <w:t>We recognized license and other revenue of $10.0 million and $25.5 for the years ended December 31, 2024 and 2023, respectively. The decrease of $15.5 million was primarily due to recognition of $25.0 million in variable consideration under the Genentech Agreement previously constrained during the year ended December 31, 2023. By comparison, only $10.0 million was recognized during the year ended December 31, 2024, specifically in connection with a milestone achieved under the Genentech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our research and development expenses for the years ended December 31, 2024 and 2023: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00" w:type="dxa"/>
            <w:vAlign w:val="bottom"/>
          </w:tcPr>
          <w:p>
            <w:pPr>
              <w:spacing w:after="0"/>
              <w:rPr>
                <w:sz w:val="13"/>
                <w:szCs w:val="13"/>
                <w:color w:val="auto"/>
              </w:rPr>
            </w:pPr>
          </w:p>
        </w:tc>
        <w:tc>
          <w:tcPr>
            <w:tcW w:w="2940" w:type="dxa"/>
            <w:vAlign w:val="bottom"/>
            <w:gridSpan w:val="5"/>
          </w:tcPr>
          <w:p>
            <w:pPr>
              <w:jc w:val="right"/>
              <w:ind w:right="68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28"/>
        </w:trPr>
        <w:tc>
          <w:tcPr>
            <w:tcW w:w="66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46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6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ind w:right="204"/>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External costs for programs in clinical trials</w:t>
            </w:r>
          </w:p>
        </w:tc>
        <w:tc>
          <w:tcPr>
            <w:tcW w:w="80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92,096</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101,055</w:t>
            </w:r>
          </w:p>
        </w:tc>
        <w:tc>
          <w:tcPr>
            <w:tcW w:w="5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(8,959 )</w:t>
            </w: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External costs for platform technologies and preclinical programs</w:t>
            </w: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76,392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76,471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(79 )</w:t>
            </w:r>
          </w:p>
        </w:tc>
      </w:tr>
      <w:tr>
        <w:trPr>
          <w:trHeight w:val="20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related expenses</w:t>
            </w:r>
          </w:p>
        </w:tc>
        <w:tc>
          <w:tcPr>
            <w:tcW w:w="8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123,601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125,471</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(1,870 )</w:t>
            </w: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(21 )</w:t>
            </w:r>
          </w:p>
        </w:tc>
      </w:tr>
      <w:tr>
        <w:trPr>
          <w:trHeight w:val="20"/>
        </w:trPr>
        <w:tc>
          <w:tcPr>
            <w:tcW w:w="6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80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319,089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330,018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(10,929 )</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ind w:right="280"/>
        <w:spacing w:after="0" w:line="298" w:lineRule="auto"/>
        <w:rPr>
          <w:sz w:val="20"/>
          <w:szCs w:val="20"/>
          <w:color w:val="auto"/>
        </w:rPr>
      </w:pPr>
      <w:r>
        <w:rPr>
          <w:rFonts w:ascii="Times New Roman" w:cs="Times New Roman" w:eastAsia="Times New Roman" w:hAnsi="Times New Roman"/>
          <w:sz w:val="16"/>
          <w:szCs w:val="16"/>
          <w:color w:val="auto"/>
        </w:rPr>
        <w:t>Research and development expenses were $319.1 million for the year ended December 31, 2024 compared to $330.0 million for the year ended December 31, 2023. The decrease of $10.9 million was primarily due to the impact of prioritization of certain programs in our pipeline, as previously disclosed in 2023 and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 in Fair Value of Contingent Consideration Liability</w:t>
      </w:r>
    </w:p>
    <w:p>
      <w:pPr>
        <w:spacing w:after="0" w:line="239"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16"/>
          <w:szCs w:val="16"/>
          <w:color w:val="auto"/>
        </w:rPr>
        <w:t>Change in fair value of our contingent consideration liability under the Merger Agreement with ZebiAI was a decrease of $13.2 million for the year ended December 31, 2024 compared to a decrease of $6.4 million for the year ended December 31, 2023. During the year ended December 31, 2024, the Contingent Milestone Payments and Contingent Earnout Payments were both reduced to $0.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23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General and administrative expenses were $76.6 million for the year ended December 31, 2024 compared to $75.0 million for the year ended December 31, 2023. The increase of $1.6 million was primarily due to an increase in stock compensation expense, partially offset by decreases in other employee compensation costs and certain other general and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p>
      <w:pPr>
        <w:spacing w:after="0" w:line="239"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Other income, net, was $34.8 million for the year ended December 31, 2024 compared to $31.0 million for the year ended December 31, 2023. The increase of $3.7 million was primarily a result of changes in interest rates.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years ended December 31, 2023 and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for the years ended December 31, 2023 and 2022: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80" w:type="dxa"/>
            <w:vAlign w:val="bottom"/>
            <w:gridSpan w:val="5"/>
          </w:tcPr>
          <w:p>
            <w:pPr>
              <w:jc w:val="right"/>
              <w:ind w:right="10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Pr>
          <w:p>
            <w:pPr>
              <w:spacing w:after="0"/>
              <w:rPr>
                <w:sz w:val="13"/>
                <w:szCs w:val="13"/>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28"/>
        </w:trPr>
        <w:tc>
          <w:tcPr>
            <w:tcW w:w="660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463"/>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463"/>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6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ind w:right="203"/>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License and other revenue</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25,546</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24,165</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330,018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246,355</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83,663</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contingent consideration liability</w:t>
            </w:r>
          </w:p>
        </w:tc>
        <w:tc>
          <w:tcPr>
            <w:tcW w:w="3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(6,422 )</w:t>
            </w:r>
          </w:p>
        </w:tc>
        <w:tc>
          <w:tcPr>
            <w:tcW w:w="18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(11,677 )</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w:t>
            </w:r>
          </w:p>
        </w:tc>
        <w:tc>
          <w:tcPr>
            <w:tcW w:w="100" w:type="dxa"/>
            <w:vAlign w:val="bottom"/>
          </w:tcPr>
          <w:p>
            <w:pPr>
              <w:spacing w:after="0"/>
              <w:rPr>
                <w:sz w:val="17"/>
                <w:szCs w:val="17"/>
                <w:color w:val="auto"/>
              </w:rPr>
            </w:pPr>
          </w:p>
        </w:tc>
      </w:tr>
      <w:tr>
        <w:trPr>
          <w:trHeight w:val="203"/>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74,950</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65,978</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398,546</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300,656</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97,890</w:t>
            </w:r>
          </w:p>
        </w:tc>
        <w:tc>
          <w:tcPr>
            <w:tcW w:w="100" w:type="dxa"/>
            <w:vAlign w:val="bottom"/>
          </w:tcPr>
          <w:p>
            <w:pPr>
              <w:spacing w:after="0"/>
              <w:rPr>
                <w:sz w:val="17"/>
                <w:szCs w:val="17"/>
                <w:color w:val="auto"/>
              </w:rPr>
            </w:pPr>
          </w:p>
        </w:tc>
      </w:tr>
      <w:tr>
        <w:trPr>
          <w:trHeight w:val="19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(373,000 )</w:t>
            </w: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(299,275 )</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(73,725 )</w:t>
            </w: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31,027</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8,766</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22,261</w:t>
            </w:r>
          </w:p>
        </w:tc>
        <w:tc>
          <w:tcPr>
            <w:tcW w:w="100" w:type="dxa"/>
            <w:vAlign w:val="bottom"/>
          </w:tcPr>
          <w:p>
            <w:pPr>
              <w:spacing w:after="0"/>
              <w:rPr>
                <w:sz w:val="17"/>
                <w:szCs w:val="17"/>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(341,973 )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(290,509 )</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(51,464 )</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-565150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-565150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and Other Revenue</w:t>
      </w:r>
    </w:p>
    <w:p>
      <w:pPr>
        <w:spacing w:after="0" w:line="239" w:lineRule="exact"/>
        <w:rPr>
          <w:sz w:val="20"/>
          <w:szCs w:val="20"/>
          <w:color w:val="auto"/>
        </w:rPr>
      </w:pPr>
    </w:p>
    <w:p>
      <w:pPr>
        <w:jc w:val="both"/>
        <w:ind w:right="260"/>
        <w:spacing w:after="0" w:line="275" w:lineRule="auto"/>
        <w:rPr>
          <w:sz w:val="20"/>
          <w:szCs w:val="20"/>
          <w:color w:val="auto"/>
        </w:rPr>
      </w:pPr>
      <w:r>
        <w:rPr>
          <w:rFonts w:ascii="Times New Roman" w:cs="Times New Roman" w:eastAsia="Times New Roman" w:hAnsi="Times New Roman"/>
          <w:sz w:val="16"/>
          <w:szCs w:val="16"/>
          <w:color w:val="auto"/>
        </w:rPr>
        <w:t>We recognized license and other revenue of $25.5 million and $1.4 million for the years ended December 31, 2023 and 2022, respectively. The increase of $24.2 million was primarily due to recognition of $25.0 million in variable consideration previously constrained under the Genentech Agreement during the year ended December 31, 2023. By comparison, we only recognized revenue for research and development services provided under the Genentech Agreement during the year ended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Expenses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summarizes our research and development expenses for the years ended December 31, 2023 and 2022: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00" w:type="dxa"/>
            <w:vAlign w:val="bottom"/>
          </w:tcPr>
          <w:p>
            <w:pPr>
              <w:spacing w:after="0"/>
              <w:rPr>
                <w:sz w:val="13"/>
                <w:szCs w:val="13"/>
                <w:color w:val="auto"/>
              </w:rPr>
            </w:pPr>
          </w:p>
        </w:tc>
        <w:tc>
          <w:tcPr>
            <w:tcW w:w="2940" w:type="dxa"/>
            <w:vAlign w:val="bottom"/>
            <w:gridSpan w:val="5"/>
          </w:tcPr>
          <w:p>
            <w:pPr>
              <w:jc w:val="right"/>
              <w:ind w:right="68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29"/>
        </w:trPr>
        <w:tc>
          <w:tcPr>
            <w:tcW w:w="66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ind w:right="464"/>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6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right"/>
              <w:ind w:right="204"/>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External costs for programs in clinical trials</w:t>
            </w:r>
          </w:p>
        </w:tc>
        <w:tc>
          <w:tcPr>
            <w:tcW w:w="80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101,055</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51,094</w:t>
            </w:r>
          </w:p>
        </w:tc>
        <w:tc>
          <w:tcPr>
            <w:tcW w:w="5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49,961</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External costs for platform technologies and preclinical programs</w:t>
            </w:r>
          </w:p>
        </w:tc>
        <w:tc>
          <w:tcPr>
            <w:tcW w:w="8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76,471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82,779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(6,308 )</w:t>
            </w:r>
          </w:p>
        </w:tc>
      </w:tr>
      <w:tr>
        <w:trPr>
          <w:trHeight w:val="20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Employee related expenses</w:t>
            </w:r>
          </w:p>
        </w:tc>
        <w:tc>
          <w:tcPr>
            <w:tcW w:w="8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125,471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93,118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32,353</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8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27,021</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7,657</w:t>
            </w:r>
          </w:p>
        </w:tc>
        <w:tc>
          <w:tcPr>
            <w:tcW w:w="100" w:type="dxa"/>
            <w:vAlign w:val="bottom"/>
          </w:tcPr>
          <w:p>
            <w:pPr>
              <w:spacing w:after="0"/>
              <w:rPr>
                <w:sz w:val="17"/>
                <w:szCs w:val="17"/>
                <w:color w:val="auto"/>
              </w:rPr>
            </w:pPr>
          </w:p>
        </w:tc>
      </w:tr>
      <w:tr>
        <w:trPr>
          <w:trHeight w:val="23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800" w:type="dxa"/>
            <w:vAlign w:val="bottom"/>
            <w:tcBorders>
              <w:bottom w:val="single" w:sz="8" w:color="auto"/>
            </w:tcBorders>
            <w:shd w:val="clear" w:color="auto" w:fill="CFF0FC"/>
          </w:tcPr>
          <w:p>
            <w:pPr>
              <w:jc w:val="right"/>
              <w:ind w:right="628"/>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330,018</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246,355</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83,663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Research and development expenses were $330.0 million for the year ended December 31, 2023 compared to $246.4 million for the year ended December 31, 2022. The increase of $83.7 million was due to $50.0 million of additional external costs in connection with the clinical trials ongoing in the periods presented, as well as $32.4 million of additional employee costs from increased headcount in our research and development functions, including an increase in stock compensation expense of $17.7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 in Fair Value of Contingent Consideration Liability</w:t>
      </w:r>
    </w:p>
    <w:p>
      <w:pPr>
        <w:spacing w:after="0" w:line="23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The change in fair value of our contingent consideration liability for Contingent Milestone Payments under the Merger Agreement with ZebiAI was a decrease of $6.4 million for the year ended December 31, 2023 compared to a decrease of $11.7 million for the year ended December 31, 2022. The fluctuation of $5.3 million was primarily attributable to changes in the assumptions underlying the fair value measurement between periods.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23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6"/>
          <w:szCs w:val="16"/>
          <w:color w:val="auto"/>
        </w:rPr>
        <w:t>General and administrative expenses were $75.0 million for the year ended December 31, 2023 compared to $66.0 million for the year ended December 31, 2022. The increase of $9.0 million was primarily due to an increase in stock compensation expense, partially offset by decreases in other employee compensation costs and certain other general and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p>
      <w:pPr>
        <w:spacing w:after="0" w:line="239"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Other income, net, was $31.0 million for the year ended December 31, 2023 compared to $8.8 million for the year ended December 31, 2022. The increase of $22.3 million was primarily a result of changes in interest rates.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we had cash, cash equivalents, and investments of $781.3 million.</w:t>
      </w:r>
    </w:p>
    <w:p>
      <w:pPr>
        <w:spacing w:after="0" w:line="235"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6"/>
          <w:szCs w:val="16"/>
          <w:color w:val="auto"/>
        </w:rPr>
        <w:t>Since our inception, we have not generated any revenue from product sales and have incurred significant operating losses. We have not yet commercialized any products and we do not expect to generate revenue from sales of any product candidates for several years, if ever. To date, we have principally financed our operations through private placements of preferred stock and common stock, convertible debt, and proceeds from public offerings of our common stock.</w:t>
      </w:r>
    </w:p>
    <w:p>
      <w:pPr>
        <w:spacing w:after="0" w:line="177"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6"/>
          <w:szCs w:val="16"/>
          <w:color w:val="auto"/>
        </w:rPr>
        <w:t>In December 2024, we entered into the Elevar Agreement pursuant to which Elevar was granted global development and commercialization rights for lirafugratinib. As of December 31, 2024, we had received $5.0 million in upfront consideration and $2.7 million in conjunction with the transfer of active pharmaceutical ingredient and other materials from Elevar pursuant to the Elevar Agreement.</w:t>
      </w:r>
    </w:p>
    <w:p>
      <w:pPr>
        <w:spacing w:after="0" w:line="17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 September 2024, we completed the September 2024 Offering of 32,857,143 shares of common stock, including the exercise in full of the underwriters’ option to purchase an additional 4,285,714 shares, at an offering price of $7.00 per share. We received proceeds of $218.2 million, which was net of $11.8 million in underwriting discounts and other offering expenses.</w:t>
      </w:r>
    </w:p>
    <w:p>
      <w:pPr>
        <w:spacing w:after="0" w:line="177" w:lineRule="exact"/>
        <w:rPr>
          <w:sz w:val="20"/>
          <w:szCs w:val="20"/>
          <w:color w:val="auto"/>
        </w:rPr>
      </w:pPr>
    </w:p>
    <w:p>
      <w:pPr>
        <w:jc w:val="both"/>
        <w:ind w:right="320"/>
        <w:spacing w:after="0" w:line="281" w:lineRule="auto"/>
        <w:rPr>
          <w:sz w:val="20"/>
          <w:szCs w:val="20"/>
          <w:color w:val="auto"/>
        </w:rPr>
      </w:pPr>
      <w:r>
        <w:rPr>
          <w:rFonts w:ascii="Times New Roman" w:cs="Times New Roman" w:eastAsia="Times New Roman" w:hAnsi="Times New Roman"/>
          <w:sz w:val="16"/>
          <w:szCs w:val="16"/>
          <w:color w:val="auto"/>
        </w:rPr>
        <w:t>In August 2024, we filed a universal shelf registration statement on Form S-3ASR with the SEC, or the 2024 Shelf, to register for sale an amount of our common stock, preferred stock, debt securities, warrants and/or units in one or more offerings, which became effective upon filing with the SEC (File No. 333-281308). The 2024 Shelf replaced our prior universal shelf registration statement filed with the SEC in August 2021 (File No. 333-258768), which would have expired in August 2024.</w:t>
      </w:r>
    </w:p>
    <w:p>
      <w:pPr>
        <w:spacing w:after="0" w:line="177"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6"/>
          <w:szCs w:val="16"/>
          <w:color w:val="auto"/>
        </w:rPr>
        <w:t>In August 2021, we entered into the 2021 Sales Agreement with Cowen, pursuant to which we could offer and sell shares of our common stock having aggregate gross proceeds of up to $300.0 million from time to time in "at-the-market" offerings through Cowen, as our sales agent. In August 2024, the 2021 Sales Agreement was terminated by mutual agreement between us and Cowen. Through termination of the 2021 Sales Agreement, we sold 4,915,669 shares of common stock under the 2021 Sales Agreement, from which we received $48.2 million in proceeds, which were net of $1.2 million in commissions paid to Cowen and other offering expenses.</w:t>
      </w:r>
    </w:p>
    <w:p>
      <w:pPr>
        <w:spacing w:after="0" w:line="183"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6"/>
          <w:szCs w:val="16"/>
          <w:color w:val="auto"/>
        </w:rPr>
        <w:t>In August 2024, we also entered into the 2024 Sales Agreement with TD Securities, pursuant to which we may offer and sell shares of our common stock having aggregate gross proceeds of up to $250.0 million from time to time in “at-the-market” offerings through TD Securities, as our sales agent. As of December 31, 2024, we have not sold any shares under the 2024 Sales Agreement.</w:t>
      </w:r>
    </w:p>
    <w:p>
      <w:pPr>
        <w:spacing w:after="0" w:line="177"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In January 2024, we entered into a securities purchase agreement with Nextech Crossover I SCP for the Private Placement. We received $29.8 million in proceeds from the Private Placement, which were net of $0.2 million in offering 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we have received $120.0 million in upfront and milestone payments from Genentech pursuant to the Genentech Agreement.</w:t>
      </w:r>
    </w:p>
    <w:p>
      <w:pPr>
        <w:spacing w:after="0" w:line="235"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In September 2022, we completed the September 2022 Offering of 11,320,755 shares of common stock at an offering price of $26.50 per share. We received proceeds of $284.7 million, which was net of $15.3 million in underwriting discounts and commissions, as well as other offering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our sources and uses of cash for each of the periods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5940" w:type="dxa"/>
            <w:vAlign w:val="bottom"/>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585"/>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63"/>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r>
      <w:tr>
        <w:trPr>
          <w:trHeight w:val="128"/>
        </w:trPr>
        <w:tc>
          <w:tcPr>
            <w:tcW w:w="5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right"/>
              <w:ind w:right="345"/>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used in operating activities</w:t>
            </w:r>
          </w:p>
        </w:tc>
        <w:tc>
          <w:tcPr>
            <w:tcW w:w="940" w:type="dxa"/>
            <w:vAlign w:val="bottom"/>
            <w:shd w:val="clear" w:color="auto" w:fill="CFF0FC"/>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98"/>
              </w:rPr>
              <w:t>(249,107 )</w:t>
            </w:r>
          </w:p>
        </w:tc>
        <w:tc>
          <w:tcPr>
            <w:tcW w:w="2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(300,316 )</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(229,490 )</w:t>
            </w:r>
          </w:p>
        </w:tc>
      </w:tr>
      <w:tr>
        <w:trPr>
          <w:trHeight w:val="20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provided by investing activities</w:t>
            </w:r>
          </w:p>
        </w:tc>
        <w:tc>
          <w:tcPr>
            <w:tcW w:w="9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(41,083 )</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257,634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(188,745 )</w:t>
            </w:r>
          </w:p>
        </w:tc>
      </w:tr>
      <w:tr>
        <w:trPr>
          <w:trHeight w:val="203"/>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provided by financing activities</w:t>
            </w: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270,153</w:t>
            </w:r>
          </w:p>
        </w:tc>
        <w:tc>
          <w:tcPr>
            <w:tcW w:w="2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34,753</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289,910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940" w:type="dxa"/>
            <w:vAlign w:val="bottom"/>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(20,037 )</w:t>
            </w:r>
          </w:p>
        </w:tc>
        <w:tc>
          <w:tcPr>
            <w:tcW w:w="24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(7,929 )</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(128,325 )</w:t>
            </w:r>
          </w:p>
        </w:tc>
      </w:tr>
      <w:tr>
        <w:trPr>
          <w:trHeight w:val="20"/>
        </w:trPr>
        <w:tc>
          <w:tcPr>
            <w:tcW w:w="59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-161925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-161925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23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2024, we used $249.1 million of cash on operating activities, primarily resulting from our net loss of $337.7 million, offset by non-cash charges of $74.0 million and cash provided by changes in our operating assets and liabilities of $14.6 million.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88" w:name="page89"/>
    <w:bookmarkEnd w:id="88"/>
    <w:p>
      <w:pPr>
        <w:ind w:right="18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2023, we used $300.3 million of cash on operating activities, primarily resulting from our net loss of $342.0 million and cash used to fund changes in our operating assets and liabilities of $32.5 million, offset by non-cash charges of $74.1 million.</w:t>
      </w:r>
    </w:p>
    <w:p>
      <w:pPr>
        <w:spacing w:after="0" w:line="16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2022, we used $229.5 million of cash on operating activities, primarily resulting from our net loss of $290.5 million, offset by non-cash charges of $49.8 million and cash provided by changes in our operating assets and liabilities of $11.2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237"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2024, net cash used in investing activities was $41.1 million, consisting of $39.1 million in net purchases of investments and $2.0 million for the acquisition of property and equipment.</w:t>
      </w:r>
    </w:p>
    <w:p>
      <w:pPr>
        <w:spacing w:after="0" w:line="164"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2023, net cash provided by investing activities was $257.6 million, consisting of $261.8 million in proceeds from net maturities of investments, offset by $4.1 million for the acquisition of property and equipment.</w:t>
      </w:r>
    </w:p>
    <w:p>
      <w:pPr>
        <w:spacing w:after="0" w:line="164"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2022, net cash used in investing activities was $188.7 million, consisting of $179.7 million in net purchases of investments and $9.1 million for the acquisition of property and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23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During the year ended December 31, 2024, net cash provided by financing activities was $270.2 million, consisting of $265.9 million in net proceeds from the Private Placement, at-the-market offerings, and the September 2024 Offering, as well as $4.3 million in proceeds from the exercise of stock options and purchases under our 2020 Employee Stock Purchase Plan, or ESPP.</w:t>
      </w:r>
    </w:p>
    <w:p>
      <w:pPr>
        <w:spacing w:after="0" w:line="177"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2023, net cash provided by financing activities was $34.8 million, primarily consisting of $30.3 million in net proceeds from at-the-market offerings, as well as $4.5 million in proceeds from stock option exercises and purchases under our ESPP.</w:t>
      </w:r>
    </w:p>
    <w:p>
      <w:pPr>
        <w:spacing w:after="0" w:line="164"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2022, net cash provided by financing activities was $289.9 million, primarily consisting of $284.7 million in net proceeds from the September 2022 Offering, as well as $5.2 million in proceeds from stock option exercises and purchases under our ESPP.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Funding Requirements</w:t>
      </w:r>
    </w:p>
    <w:p>
      <w:pPr>
        <w:spacing w:after="0" w:line="239"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We expect to continue to incur significant expenses in connection with our ongoing clinical development activities related to our product candidates and the ongoing preclinical development activities of our other programs. In addition, we continue to incur additional costs associated with operating as a public company.</w:t>
      </w:r>
    </w:p>
    <w:p>
      <w:pPr>
        <w:spacing w:after="0" w:line="16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As of December 31, 2024, we had cash, cash equivalents, and investments of $781.3 million. We believe that our existing cash, cash equivalents, and investments will enable us to fund our operating expenses and capital expenditure requirements into the second half of 2027. We have based this estimate on assumptions that may prove to be wrong, and we could exhaust our available capital resources sooner than we expect.</w:t>
      </w:r>
    </w:p>
    <w:p>
      <w:pPr>
        <w:spacing w:after="0" w:line="177" w:lineRule="exact"/>
        <w:rPr>
          <w:sz w:val="20"/>
          <w:szCs w:val="20"/>
          <w:color w:val="auto"/>
        </w:rPr>
      </w:pPr>
    </w:p>
    <w:p>
      <w:pPr>
        <w:jc w:val="both"/>
        <w:ind w:right="200"/>
        <w:spacing w:after="0" w:line="275" w:lineRule="auto"/>
        <w:rPr>
          <w:sz w:val="20"/>
          <w:szCs w:val="20"/>
          <w:color w:val="auto"/>
        </w:rPr>
      </w:pPr>
      <w:r>
        <w:rPr>
          <w:rFonts w:ascii="Times New Roman" w:cs="Times New Roman" w:eastAsia="Times New Roman" w:hAnsi="Times New Roman"/>
          <w:sz w:val="16"/>
          <w:szCs w:val="16"/>
          <w:color w:val="auto"/>
        </w:rPr>
        <w:t>Because of the numerous risks and uncertainties associated with the development of our product candidates, as well as our preclinical programs, and because the extent to which we may enter into collaborations with third parties for the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p>
    <w:p>
      <w:pPr>
        <w:spacing w:after="0" w:line="183" w:lineRule="exact"/>
        <w:rPr>
          <w:sz w:val="20"/>
          <w:szCs w:val="20"/>
          <w:color w:val="auto"/>
        </w:rPr>
      </w:pPr>
    </w:p>
    <w:p>
      <w:pPr>
        <w:ind w:left="380" w:right="420" w:hanging="372"/>
        <w:spacing w:after="0" w:line="281" w:lineRule="auto"/>
        <w:tabs>
          <w:tab w:leader="none" w:pos="3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business interruptions to our operations, including the timing and enrollment of patients in our planned clinical trials, or to those of our manufacturers, suppliers, or other vendors, resulting from public health epidemics or outbreaks of infectious disease or ongoing geopolitical conflicts and related global economic sanctions;</w:t>
      </w:r>
    </w:p>
    <w:p>
      <w:pPr>
        <w:spacing w:after="0" w:line="177"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our current and future clinical trials of our lead product candidate and additional preclinical research of our other programs;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progress, results, and costs of drug discovery, preclinical research, and clinical trials for our other product candidates;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future product candidates that we pursue and their development requirements;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regulatory review of our product candidates;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89" w:name="page90"/>
    <w:bookmarkEnd w:id="89"/>
    <w:p>
      <w:pPr>
        <w:ind w:left="380" w:hanging="372"/>
        <w:spacing w:after="0"/>
        <w:tabs>
          <w:tab w:leader="none" w:pos="3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establish and maintain licenses or collaborations on favorable terms, if at all;</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any existing or future licenses or collaborations that we may enter into with third parties;</w:t>
      </w:r>
    </w:p>
    <w:p>
      <w:pPr>
        <w:spacing w:after="0" w:line="234" w:lineRule="exact"/>
        <w:rPr>
          <w:rFonts w:ascii="Times New Roman" w:cs="Times New Roman" w:eastAsia="Times New Roman" w:hAnsi="Times New Roman"/>
          <w:sz w:val="16"/>
          <w:szCs w:val="16"/>
          <w:color w:val="auto"/>
        </w:rPr>
      </w:pPr>
    </w:p>
    <w:p>
      <w:pPr>
        <w:ind w:left="380" w:right="680" w:hanging="372"/>
        <w:spacing w:after="0" w:line="298" w:lineRule="auto"/>
        <w:tabs>
          <w:tab w:leader="none" w:pos="3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acquire or invest in businesses, products and technologies, including entering into licensing or collaboration arrangements for product candidates;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achievement of milestones or occurrence of other developments that trigger payments under any existing or future license or collaboration agreements, if any;</w:t>
      </w:r>
    </w:p>
    <w:p>
      <w:pPr>
        <w:spacing w:after="0" w:line="234" w:lineRule="exact"/>
        <w:rPr>
          <w:rFonts w:ascii="Times New Roman" w:cs="Times New Roman" w:eastAsia="Times New Roman" w:hAnsi="Times New Roman"/>
          <w:sz w:val="16"/>
          <w:szCs w:val="16"/>
          <w:color w:val="auto"/>
        </w:rPr>
      </w:pPr>
    </w:p>
    <w:p>
      <w:pPr>
        <w:ind w:left="380" w:right="120" w:hanging="372"/>
        <w:spacing w:after="0" w:line="298" w:lineRule="auto"/>
        <w:tabs>
          <w:tab w:leader="none" w:pos="3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we are obligated to reimburse, or entitled to reimbursement of, clinical trial costs under any existing or future license or collaboration agreements, if any;</w:t>
      </w:r>
    </w:p>
    <w:p>
      <w:pPr>
        <w:spacing w:after="0" w:line="164" w:lineRule="exact"/>
        <w:rPr>
          <w:rFonts w:ascii="Times New Roman" w:cs="Times New Roman" w:eastAsia="Times New Roman" w:hAnsi="Times New Roman"/>
          <w:sz w:val="16"/>
          <w:szCs w:val="16"/>
          <w:color w:val="auto"/>
        </w:rPr>
      </w:pPr>
    </w:p>
    <w:p>
      <w:pPr>
        <w:ind w:left="380" w:right="40" w:hanging="372"/>
        <w:spacing w:after="0" w:line="281" w:lineRule="auto"/>
        <w:tabs>
          <w:tab w:leader="none" w:pos="3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licensee or collaborator that we may have at such time;</w:t>
      </w:r>
    </w:p>
    <w:p>
      <w:pPr>
        <w:spacing w:after="0" w:line="177"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revenue, if any, received from commercial sales of our product candidates, should any of our product candidates receive marketing approval;</w:t>
      </w:r>
    </w:p>
    <w:p>
      <w:pPr>
        <w:spacing w:after="0" w:line="234" w:lineRule="exact"/>
        <w:rPr>
          <w:rFonts w:ascii="Times New Roman" w:cs="Times New Roman" w:eastAsia="Times New Roman" w:hAnsi="Times New Roman"/>
          <w:sz w:val="16"/>
          <w:szCs w:val="16"/>
          <w:color w:val="auto"/>
        </w:rPr>
      </w:pPr>
    </w:p>
    <w:p>
      <w:pPr>
        <w:ind w:left="380" w:hanging="372"/>
        <w:spacing w:after="0" w:line="298" w:lineRule="auto"/>
        <w:tabs>
          <w:tab w:leader="none" w:pos="3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preparing, filing, and prosecuting patent applications, maintaining, and enforcing our intellectual property rights and defending intellectual property-related claims;</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headcount growth and associated costs if and as we expand our business operations and our research and development activities; and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of operating as a public company.</w:t>
      </w:r>
    </w:p>
    <w:p>
      <w:pPr>
        <w:spacing w:after="0" w:line="23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Developing 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18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w:t>
      </w:r>
    </w:p>
    <w:p>
      <w:pPr>
        <w:spacing w:after="0" w:line="18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Intellectual Property License</w:t>
      </w:r>
    </w:p>
    <w:p>
      <w:pPr>
        <w:spacing w:after="0" w:line="23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On June 15, 2020, we entered into an Amended and Restated Collaboration and License Agreement, or DESRES Agreement, with D. E. Shaw Research, LLC, or D. E. Shaw Research, extending the term and otherwise modifying the terms of the Collaboration and License Agreement originally entered into on August 17, 2016. The DESRES Agreement provides that the parties will jointly conduct research efforts with the goal of identifying and developing product candidates. On a product-by-product basis, we have agreed to pay D. E. Shaw Research milestone payments upon the achievement of certain development and regulatory milestone events for products we develop under the DESRES Agreement that are directed to a Category 1 Target or any target that was a Category 1 Target. Such payments for achievement of development and regulatory milestones total up to $7.3 million in the aggregate for each of the first three products we develop and up to $6.3 million in the aggregate for each product we develop after the first three. In addition, we are obligated to pay D. 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90" w:name="page91"/>
    <w:bookmarkEnd w:id="90"/>
    <w:p>
      <w:pPr>
        <w:ind w:right="100"/>
        <w:spacing w:after="0" w:line="298" w:lineRule="auto"/>
        <w:rPr>
          <w:sz w:val="20"/>
          <w:szCs w:val="20"/>
          <w:color w:val="auto"/>
        </w:rPr>
      </w:pPr>
      <w:r>
        <w:rPr>
          <w:rFonts w:ascii="Times New Roman" w:cs="Times New Roman" w:eastAsia="Times New Roman" w:hAnsi="Times New Roman"/>
          <w:sz w:val="16"/>
          <w:szCs w:val="16"/>
          <w:color w:val="auto"/>
        </w:rPr>
        <w:t>Shaw Research royalty payments, as defined in the DESRES Agreement. We assessed the milestone and royalty events under the DESRES Agreement as of December 31, 2024 and 2023, concluding no such payments were due as of the balance sheet dates.</w:t>
      </w:r>
    </w:p>
    <w:p>
      <w:pPr>
        <w:spacing w:after="0" w:line="16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The DESRES Agreement extended the initial research term of the original agreement to August 16, 2025 and increased the annual fee from $1.0 million to $7.9 million, commencing on August 16, 2020. In May 2021, the annual fee was further increased, by mutual agreement of the parties, from $7.9 million to $9.9 million. The initial research term under the DESRES Agreement will end on August 16, 2025, with the DESRES Agreement continuing thereafter on a target-by-target basis until all payment obligations have expired.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399 Binney Street</w:t>
      </w:r>
    </w:p>
    <w:p>
      <w:pPr>
        <w:spacing w:after="0" w:line="23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In December 2017, we entered into a facility lease agreement for approximately 44,336 square feet of office and laboratory space at 399 Binney Street, Cambridge, Massachusetts 02142, which was increased to 44,807 square feet in January 2018. We gained control of the space in January 2019 and the lease expires in April 2029, subject to certain renewal options, which have not been included in the measurement of our right of use asset and lease liability on the balance sheet through December 31, 2024. In September 2020, we entered into an amendment to our existing facility lease agreement to expand the leased area by approximately 1,824 square feet of office space at 399 Binney Street, Cambridge, Massachusetts 02142. The amendment commenced in October 2020 and also expires in April 2029, subject to certain renewal options, which have also not been included in the measurement of our right of use asset and lease liability on the balance sheet through December 31, 2024. We provided a letter of credit in connection with our facility lease agreement in the amount of $0.9 million with a financial institution, which expires commensurate with the lease in April 2029.</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60 Hampshire Street</w:t>
      </w:r>
    </w:p>
    <w:p>
      <w:pPr>
        <w:spacing w:after="0" w:line="237"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6"/>
          <w:szCs w:val="16"/>
          <w:color w:val="auto"/>
        </w:rPr>
        <w:t>In May 2021, the Company entered into an agreement to lease approximately 41,474 square feet of office and laboratory space at 60 Hampshire Street, Cambridge, Massachusetts 02139. We gained control of the space in July 2022 and the lease expires in June 2032. There are no renewal options. We provided a letter of credit in connection with the agreement in the amount of $1.2 million with a financial institution, which expires commensurate with the lease in June 2032.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Significant Arrangements</w:t>
      </w:r>
    </w:p>
    <w:p>
      <w:pPr>
        <w:spacing w:after="0" w:line="237"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We enter into contracts in the normal course of business with CROs and CMOs for clinical trials, preclinical research studies, and testing, manufacturing, and other services and products for operating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Use of Estimates</w:t>
      </w:r>
    </w:p>
    <w:p>
      <w:pPr>
        <w:spacing w:after="0" w:line="23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Our management’s discussion and analysis of financial condition and results of operations is based on our financial statements, which have been prepared in accordance with generally accepted accounting principles in the United States, or GAAP. The preparation of our consolidated financial statements and related disclosures requires us to make estimates and assumptions that affect the reported amounts of assets, liabilities, costs,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4"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16"/>
          <w:szCs w:val="16"/>
          <w:color w:val="auto"/>
        </w:rPr>
        <w:t>While our significant accounting policies are described in more detail in the notes to our consolidated financial statements included elsewhere in this Annual Report on Form 10-K, we believe that the following accounting policies are those most critical to the judgments and estimates used in the preparation of our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237"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6"/>
          <w:szCs w:val="16"/>
          <w:color w:val="auto"/>
        </w:rPr>
        <w:t xml:space="preserve">We account for revenue in accordance with Accounting Standards Codification Topic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or ASC 606. In connection therewith, we recognize revenue when customers obtain control of promised goods or services in an amount that reflects the consideration we expect to receive in exchange for such goods or services.</w:t>
      </w:r>
    </w:p>
    <w:p>
      <w:pPr>
        <w:spacing w:after="0" w:line="17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Once a contract is determined to be within the scope of ASC 606, we assess the goods or services promised within the contract and determine those that are performance obligations at contract inception. We then determine the transaction price and allocate it to the performance obligations. As part of the accounting for such arrangements, we must use judgment to determine: (a) the number of performance obligations; (b) the transaction price, including the determination of whether milestones or other variable consideration should be included in the transaction price; and (c) the stand-alone selling price for each performance obligation identified in the contract for the allocation of the transaction price.</w:t>
      </w:r>
    </w:p>
    <w:p>
      <w:pPr>
        <w:spacing w:after="0" w:line="18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We utilize key assumptions and judgments in (a) determining the stand-alone selling price for each performance obligation, which may include discounted cash flow models, evaluation of comparable transactions, and pricing considered in negotiating the transaction and estimated costs, and (b) determining how the transaction price is allocated amongst the performance obligations. We also use judgment to</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4" w:right="379" w:bottom="1440" w:gutter="0" w:footer="0" w:header="0"/>
        </w:sectPr>
      </w:pPr>
    </w:p>
    <w:bookmarkStart w:id="91" w:name="page92"/>
    <w:bookmarkEnd w:id="91"/>
    <w:p>
      <w:pPr>
        <w:ind w:right="40"/>
        <w:spacing w:after="0" w:line="269" w:lineRule="auto"/>
        <w:rPr>
          <w:sz w:val="20"/>
          <w:szCs w:val="20"/>
          <w:color w:val="auto"/>
        </w:rPr>
      </w:pPr>
      <w:r>
        <w:rPr>
          <w:rFonts w:ascii="Times New Roman" w:cs="Times New Roman" w:eastAsia="Times New Roman" w:hAnsi="Times New Roman"/>
          <w:sz w:val="16"/>
          <w:szCs w:val="16"/>
          <w:color w:val="auto"/>
        </w:rPr>
        <w:t>determine whether milestones or other variable consideration should be included in the transaction price. As part of management's evaluation of the transaction price, we consider numerous factors, including whether the achievement of the milestones is outside of our control, contingent upon the efforts of others, or subject to scientific risks of success. If we conclude it is probable that a significant revenue reversal would not occur, the associated milestone payment is included in the transaction price. Milestone payments that are not within our control, such as regulatory approvals, are generally not considered probable until those milestones are achieved. We re-evaluate the transaction price, including estimated variable consideration included in the transaction price and all constrained amounts, in each reporting period and as uncertain events are resolved or other changes in circumstances occur. For revenue-based royalties, including milestone payments based on the level of sales, we will include royalties in the transaction price at the later of (i) when the related sales occur or (ii) when the performance obligation to which some or all of the royalty is allocated has been satisfied (or partially satisfied).</w:t>
      </w:r>
    </w:p>
    <w:p>
      <w:pPr>
        <w:spacing w:after="0" w:line="18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Once the performance obligations are identified, the transaction price is allocated to each performance obligation based on the relative stand-alone selling price. We then recognize revenue for the amount of the transaction price allocated to the respective performance obligation when (or as) it is satisfied, either at a point in time or over time. If the performance obligation is satisfied over time, we recognize revenue based on the use of either an output or input method.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Accrued Research and Development Expenses</w:t>
      </w:r>
    </w:p>
    <w:p>
      <w:pPr>
        <w:spacing w:after="0" w:line="23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As part of the process of preparing our consolidated financial statements, we are required to estimate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consolidated financial statements based on facts and circumstances known to us at that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Examples of estimated accrued research and development expenses include fees paid to:</w:t>
      </w:r>
    </w:p>
    <w:p>
      <w:pPr>
        <w:spacing w:after="0" w:line="235" w:lineRule="exact"/>
        <w:rPr>
          <w:sz w:val="20"/>
          <w:szCs w:val="20"/>
          <w:color w:val="auto"/>
        </w:rPr>
      </w:pPr>
    </w:p>
    <w:p>
      <w:pPr>
        <w:ind w:left="380" w:hanging="372"/>
        <w:spacing w:after="0"/>
        <w:tabs>
          <w:tab w:leader="none" w:pos="3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CROs in connection with performing research activities on our behalf and conducting preclinical studies and clinical trials on our behalf;</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investigative sites or other service providers in connection with clinical trials;</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vendors in connection with preclinical and clinical development activities; and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vendors related to product manufacturing and development and distribution of preclinical and clinical supplies.</w:t>
      </w:r>
    </w:p>
    <w:p>
      <w:pPr>
        <w:spacing w:after="0" w:line="23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We base our expenses related to preclinical studies and clinical trials on our estimates of the services received and efforts expended pursuant to quotes and contracts with multiple CROs that conduct and manage preclinical studies and clinical trials on our behalf. The financial terms of such agreements are subject to negotiation and vary from contract to contract, which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and Adopted Accounting Pronouncements</w:t>
      </w:r>
    </w:p>
    <w:p>
      <w:pPr>
        <w:spacing w:after="0" w:line="235"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color w:val="auto"/>
        </w:rPr>
        <w:t xml:space="preserve">A description of recently issued accounting pronouncements that we have adopted is disclosed in Note 2, </w:t>
      </w:r>
      <w:r>
        <w:rPr>
          <w:rFonts w:ascii="Times New Roman" w:cs="Times New Roman" w:eastAsia="Times New Roman" w:hAnsi="Times New Roman"/>
          <w:sz w:val="16"/>
          <w:szCs w:val="16"/>
          <w:i w:val="1"/>
          <w:iCs w:val="1"/>
          <w:color w:val="auto"/>
        </w:rPr>
        <w:t>Significant Accounting Policies</w:t>
      </w:r>
      <w:r>
        <w:rPr>
          <w:rFonts w:ascii="Times New Roman" w:cs="Times New Roman" w:eastAsia="Times New Roman" w:hAnsi="Times New Roman"/>
          <w:sz w:val="16"/>
          <w:szCs w:val="16"/>
          <w:color w:val="auto"/>
        </w:rPr>
        <w:t>, to our consolidated financial statements included elsewhere in this Annual Report on Form 10-K. None of these pronouncements had a material impact on our financial position or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23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We are exposed to market risk related to changes in interest rates of our investment portfolio of cash equivalents and short-term investments. As of December 31, 2024, our cash equivalents consisted of money market funds. As of December 31, 2024, our investments consisted of investments in U.S. treasury bills and United States agency securities that have contractual maturities of less than two years. Our primary exposure to market risk is interest income sensitivity, which is affected by changes in the general level of U.S. interest rates. The fair value of our marketable securities is subject to change as a result of potential changes in market interest rates, including changes in federal interest rates. The potential change in fair value for interest rate sensitive instruments has been assessed on a hypothetical 100 basis point adverse movement across all maturities. As of December 31, 2024, we estimate that such hypothetical 100 basis point adverse movement would not result in a material impact on our consolidated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we had no debt outstanding and, therefore, are not exposed to interest rate risk with respect to debt.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exchange risk</w:t>
      </w:r>
    </w:p>
    <w:p>
      <w:pPr>
        <w:spacing w:after="0" w:line="23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All of our employees and our operations are currently located in the United States and our expenses are generally denominated in U.S. dollars. However, we have entered into a limited number of contracts with vendors for research and development services that permit us to satisfy our payment obligations in U.S. dollars (at prevailing exchange rates), but have underlying payment obligations denominated in foreign currencies, including the Euro.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We estimate that a 10% increase or decrease in current exchange rates would not have a material effect on our financial results for the years ended December 31, 2024, 2023, and 2022. While we have not engaged in the hedging of our foreign currency transactions to date, we are evaluating the costs and benefits of initiating such a program and may in the future hedge selected significant transactions denominated in currencies other than the U.S. dollar if and/or as we expand our international operations and our risk grows.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23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financial statements required to be filed pursuant to this Item 8 are appended to this Annual Report on Form 10-K. An index of those financial statements is found in Index to the Consolidated Financial Statements of this Annual Report on Form 10-K, as incorporated by reference into Item 15, Exhibits and Financial Statement Schedules, of this Annual Report on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2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We have established disclosure controls and procedures (as defined in Rules 13a-15(e) and 15d-15(e) under the Securities Exchange Act of 1934, as amended, or the Exchange Act) designed to ensure that information required to be disclosed in the reports that we file or submit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23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6"/>
          <w:szCs w:val="16"/>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Annual Report on Form 10-K.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December 31, 2024, our disclosure controls and procedures were effective.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Internal Control over Financial Reporting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Management’s Annual Report on Internal Control Over Financial Reporting</w:t>
      </w:r>
    </w:p>
    <w:p>
      <w:pPr>
        <w:spacing w:after="0" w:line="23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0" w:right="379" w:bottom="1440" w:gutter="0" w:footer="0" w:header="0"/>
        </w:sectPr>
      </w:pPr>
    </w:p>
    <w:bookmarkStart w:id="93" w:name="page94"/>
    <w:bookmarkEnd w:id="93"/>
    <w:p>
      <w:pPr>
        <w:ind w:right="440"/>
        <w:spacing w:after="0" w:line="298" w:lineRule="auto"/>
        <w:rPr>
          <w:sz w:val="20"/>
          <w:szCs w:val="20"/>
          <w:color w:val="auto"/>
        </w:rPr>
      </w:pPr>
      <w:r>
        <w:rPr>
          <w:rFonts w:ascii="Times New Roman" w:cs="Times New Roman" w:eastAsia="Times New Roman" w:hAnsi="Times New Roman"/>
          <w:sz w:val="16"/>
          <w:szCs w:val="16"/>
          <w:color w:val="auto"/>
        </w:rPr>
        <w:t>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64" w:lineRule="exact"/>
        <w:rPr>
          <w:sz w:val="20"/>
          <w:szCs w:val="20"/>
          <w:color w:val="auto"/>
        </w:rPr>
      </w:pPr>
    </w:p>
    <w:p>
      <w:pPr>
        <w:ind w:left="380" w:hanging="372"/>
        <w:spacing w:after="0"/>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a company’s assets;</w:t>
      </w:r>
    </w:p>
    <w:p>
      <w:pPr>
        <w:spacing w:after="0" w:line="234" w:lineRule="exact"/>
        <w:rPr>
          <w:rFonts w:ascii="Times New Roman" w:cs="Times New Roman" w:eastAsia="Times New Roman" w:hAnsi="Times New Roman"/>
          <w:sz w:val="16"/>
          <w:szCs w:val="16"/>
          <w:color w:val="auto"/>
        </w:rPr>
      </w:pPr>
    </w:p>
    <w:p>
      <w:pPr>
        <w:ind w:left="380" w:right="400" w:hanging="372"/>
        <w:spacing w:after="0" w:line="281" w:lineRule="auto"/>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77" w:lineRule="exact"/>
        <w:rPr>
          <w:rFonts w:ascii="Times New Roman" w:cs="Times New Roman" w:eastAsia="Times New Roman" w:hAnsi="Times New Roman"/>
          <w:sz w:val="16"/>
          <w:szCs w:val="16"/>
          <w:color w:val="auto"/>
        </w:rPr>
      </w:pPr>
    </w:p>
    <w:p>
      <w:pPr>
        <w:ind w:left="380" w:right="20" w:hanging="372"/>
        <w:spacing w:after="0" w:line="298" w:lineRule="auto"/>
        <w:tabs>
          <w:tab w:leader="none" w:pos="3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regarding prevention or timely detection of unauthorized acquisition, use, or disposition of our assets that could have a material effect on the financial statements.</w:t>
      </w:r>
    </w:p>
    <w:p>
      <w:pPr>
        <w:spacing w:after="0" w:line="16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U.S. generally accepted accounting principles.</w:t>
      </w:r>
    </w:p>
    <w:p>
      <w:pPr>
        <w:spacing w:after="0" w:line="18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Under the supervision of and with the participation of our principal executive officer and principal financial officer, our management assessed the effectiveness of our internal control over financial reporting as of December 31, 2024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independent registered public accounting firm has issued an attestation report of our internal control over financial reporting. This report appears below.</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239"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There has been no change in our internal control over financial reporting (as defined in Rules 13a-15(f) and 15d-15(f) under the Exchange Act) that occurred during the fiscal quarter ended December 31, 2024 that has materially affected, or is reasonably likely to materially affect, our internal control over financial reporting.</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94" w:name="page95"/>
    <w:bookmarkEnd w:id="94"/>
    <w:p>
      <w:pPr>
        <w:ind w:left="28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Relay Therapeutics,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have audited Relay Therapeutics, Inc.’s internal control over financial reporting as of December 31, 2024, based on criteria established in Internal Control—Integrated Framework issued by the Committee of Sponsoring Organizations of the Treadway Commission (2013 framework) (the COSO criteria). In our opinion, Relay Therapeutics, Inc. (the Company) maintained, in all material respects, effective internal control over financial reporting as of December 31, 2024, based on the COSO criteria.</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stockholders’ equity and cash flows for each of the three years in the period ended December 31, 2024, and the related notes and our report dated February 26, 2025 expressed an unqualified opinion thereon.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23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2025</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Rule 10b5-1 Trading Plans</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During the three months ended December 31, 2024, none of our directors or officers adopted, materially modified, or terminated any contract, instruction, or written plan for the purchase or sale of our securities that was intended to satisfy the affirmative defense conditions of Rule 10b5-1(c) under the Exchange Act or any non-Rule 10b5-1 trading arrangement.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2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The information required by this Item 10 will be included in our Definitive Proxy Statement to be filed with the Securities and Exchange Commission, or SEC, with respect to our 2025 Annual Meeting of Stockholders within 120 days of the end of our fiscal year pursuant to General Instruction G(3) of Form 10-K and is incorporated herein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23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information required by this Item 11 will be included in our Definitive Proxy Statement (excluding the information under the subheading "Pay Versus Performance") to be filed with the SEC with respect to our 2025 Annual Meeting of Stockholders within 120 days of the end of our fiscal year pursuant to General Instruction G(3) of Form 10-K and is incorporated herein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237" w:lineRule="exact"/>
        <w:rPr>
          <w:sz w:val="20"/>
          <w:szCs w:val="20"/>
          <w:color w:val="auto"/>
        </w:rPr>
      </w:pPr>
    </w:p>
    <w:p>
      <w:pPr>
        <w:ind w:right="700"/>
        <w:spacing w:after="0" w:line="298" w:lineRule="auto"/>
        <w:rPr>
          <w:sz w:val="20"/>
          <w:szCs w:val="20"/>
          <w:color w:val="auto"/>
        </w:rPr>
      </w:pPr>
      <w:r>
        <w:rPr>
          <w:rFonts w:ascii="Times New Roman" w:cs="Times New Roman" w:eastAsia="Times New Roman" w:hAnsi="Times New Roman"/>
          <w:sz w:val="16"/>
          <w:szCs w:val="16"/>
          <w:color w:val="auto"/>
        </w:rPr>
        <w:t>The information required by this Item 12 will be included in our Definitive Proxy Statement to be filed with the SEC with respect to our 2025 Annual Meeting of Stockholders within 120 days of the end of our fiscal year pursuant to General Instruction G(3) of Form 10-K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237" w:lineRule="exact"/>
        <w:rPr>
          <w:sz w:val="20"/>
          <w:szCs w:val="20"/>
          <w:color w:val="auto"/>
        </w:rPr>
      </w:pPr>
    </w:p>
    <w:p>
      <w:pPr>
        <w:ind w:right="700"/>
        <w:spacing w:after="0" w:line="298" w:lineRule="auto"/>
        <w:rPr>
          <w:sz w:val="20"/>
          <w:szCs w:val="20"/>
          <w:color w:val="auto"/>
        </w:rPr>
      </w:pPr>
      <w:r>
        <w:rPr>
          <w:rFonts w:ascii="Times New Roman" w:cs="Times New Roman" w:eastAsia="Times New Roman" w:hAnsi="Times New Roman"/>
          <w:sz w:val="16"/>
          <w:szCs w:val="16"/>
          <w:color w:val="auto"/>
        </w:rPr>
        <w:t>The information required by this Item 13 will be included in our Definitive Proxy Statement to be filed with the SEC with respect to our 2025 Annual Meeting of Stockholders within 120 days of the end of our fiscal year pursuant to General Instruction G(3) of Form 10-K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Accounting Fees and Services.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independent public accounting firm is Ernst &amp; Young LLP, Boston, Massachusetts, United States, PCAOB Auditor ID 42.</w:t>
      </w:r>
    </w:p>
    <w:p>
      <w:pPr>
        <w:spacing w:after="0" w:line="23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The information required by this Item 14 will be set forth in the section headed " – Ratification of the Appointment of Ernst &amp; Young LLP as Relay Therapeutics’ Independent Registered Public Accounting Firm for the Fiscal Year Ending December 31, 2025" in our Definitive Proxy Statement to be filed with the SEC with respect to our 2025 Annual Meeting of Stockholders within 120 days of the end of our fiscal year pursuant to General Instruction G(3) of Form 10-K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6" w:right="399" w:bottom="1440" w:gutter="0" w:footer="0" w:header="0"/>
        </w:sectPr>
      </w:pPr>
    </w:p>
    <w:bookmarkStart w:id="97" w:name="page98"/>
    <w:bookmarkEnd w:id="97"/>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237" w:lineRule="exact"/>
        <w:rPr>
          <w:sz w:val="20"/>
          <w:szCs w:val="20"/>
          <w:color w:val="auto"/>
        </w:rPr>
      </w:pPr>
    </w:p>
    <w:p>
      <w:pPr>
        <w:ind w:left="380" w:hanging="372"/>
        <w:spacing w:after="0" w:line="298" w:lineRule="auto"/>
        <w:tabs>
          <w:tab w:leader="none" w:pos="3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list of the financial statements included herein, see Index to the Consolidated Financial Statements of this Annual Report on Form 10-K, incorporated into this Item by reference.</w:t>
      </w:r>
    </w:p>
    <w:p>
      <w:pPr>
        <w:spacing w:after="0" w:line="164" w:lineRule="exact"/>
        <w:rPr>
          <w:rFonts w:ascii="Times New Roman" w:cs="Times New Roman" w:eastAsia="Times New Roman" w:hAnsi="Times New Roman"/>
          <w:sz w:val="16"/>
          <w:szCs w:val="16"/>
          <w:color w:val="auto"/>
        </w:rPr>
      </w:pPr>
    </w:p>
    <w:p>
      <w:pPr>
        <w:ind w:left="380" w:right="160" w:hanging="372"/>
        <w:spacing w:after="0" w:line="298" w:lineRule="auto"/>
        <w:tabs>
          <w:tab w:leader="none" w:pos="3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 schedules have been omitted because they are either not required or not applicable or the information is included in the consolidated financial statements or the notes thereto.</w:t>
      </w:r>
    </w:p>
    <w:p>
      <w:pPr>
        <w:spacing w:after="0" w:line="164" w:lineRule="exact"/>
        <w:rPr>
          <w:rFonts w:ascii="Times New Roman" w:cs="Times New Roman" w:eastAsia="Times New Roman" w:hAnsi="Times New Roman"/>
          <w:sz w:val="16"/>
          <w:szCs w:val="16"/>
          <w:color w:val="auto"/>
        </w:rPr>
      </w:pPr>
    </w:p>
    <w:p>
      <w:pPr>
        <w:ind w:left="380" w:right="20" w:hanging="372"/>
        <w:spacing w:after="0" w:line="298" w:lineRule="auto"/>
        <w:tabs>
          <w:tab w:leader="none" w:pos="3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exhibits filed as part of this Annual Report on Form 10-K are set forth on the Exhibit Index immediately preceding the signature page of this Annual Report on Form 10-K. The Exhibit Index is incorporated herein by reference.</w:t>
      </w:r>
    </w:p>
    <w:p>
      <w:pPr>
        <w:spacing w:after="0" w:line="1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96" w:right="5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6" w:lineRule="exact"/>
        <w:rPr>
          <w:sz w:val="20"/>
          <w:szCs w:val="20"/>
          <w:color w:val="auto"/>
        </w:rPr>
      </w:pPr>
    </w:p>
    <w:tbl>
      <w:tblPr>
        <w:tblLayout w:type="fixed"/>
        <w:tblInd w:w="30" w:type="dxa"/>
        <w:tblCellMar>
          <w:top w:w="0" w:type="dxa"/>
          <w:left w:w="0" w:type="dxa"/>
          <w:bottom w:w="0" w:type="dxa"/>
          <w:right w:w="0" w:type="dxa"/>
        </w:tblCellMar>
      </w:tblPr>
      <w:tr>
        <w:trPr>
          <w:trHeight w:val="212"/>
        </w:trPr>
        <w:tc>
          <w:tcPr>
            <w:tcW w:w="1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2160" w:type="dxa"/>
            <w:vAlign w:val="bottom"/>
          </w:tcPr>
          <w:p>
            <w:pPr>
              <w:spacing w:after="0"/>
              <w:rPr>
                <w:sz w:val="18"/>
                <w:szCs w:val="18"/>
                <w:color w:val="auto"/>
              </w:rPr>
            </w:pPr>
          </w:p>
        </w:tc>
      </w:tr>
      <w:tr>
        <w:trPr>
          <w:trHeight w:val="563"/>
        </w:trPr>
        <w:tc>
          <w:tcPr>
            <w:tcW w:w="90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w:t>
            </w:r>
          </w:p>
        </w:tc>
        <w:tc>
          <w:tcPr>
            <w:tcW w:w="2160" w:type="dxa"/>
            <w:vAlign w:val="bottom"/>
          </w:tcPr>
          <w:p>
            <w:pPr>
              <w:ind w:left="1940"/>
              <w:spacing w:after="0"/>
              <w:rPr>
                <w:sz w:val="20"/>
                <w:szCs w:val="20"/>
                <w:color w:val="auto"/>
              </w:rPr>
            </w:pPr>
            <w:r>
              <w:rPr>
                <w:rFonts w:ascii="Times New Roman" w:cs="Times New Roman" w:eastAsia="Times New Roman" w:hAnsi="Times New Roman"/>
                <w:sz w:val="16"/>
                <w:szCs w:val="16"/>
                <w:color w:val="auto"/>
                <w:w w:val="89"/>
              </w:rPr>
              <w:t>F-2</w:t>
            </w:r>
          </w:p>
        </w:tc>
      </w:tr>
      <w:tr>
        <w:trPr>
          <w:trHeight w:val="20"/>
        </w:trPr>
        <w:tc>
          <w:tcPr>
            <w:tcW w:w="190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47"/>
        </w:trPr>
        <w:tc>
          <w:tcPr>
            <w:tcW w:w="90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Consolidated Financial Statements</w:t>
            </w:r>
          </w:p>
        </w:tc>
        <w:tc>
          <w:tcPr>
            <w:tcW w:w="2160" w:type="dxa"/>
            <w:vAlign w:val="bottom"/>
          </w:tcPr>
          <w:p>
            <w:pPr>
              <w:spacing w:after="0"/>
              <w:rPr>
                <w:sz w:val="24"/>
                <w:szCs w:val="24"/>
                <w:color w:val="auto"/>
              </w:rPr>
            </w:pPr>
          </w:p>
        </w:tc>
      </w:tr>
      <w:tr>
        <w:trPr>
          <w:trHeight w:val="384"/>
        </w:trPr>
        <w:tc>
          <w:tcPr>
            <w:tcW w:w="90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2160" w:type="dxa"/>
            <w:vAlign w:val="bottom"/>
          </w:tcPr>
          <w:p>
            <w:pPr>
              <w:ind w:left="1940"/>
              <w:spacing w:after="0"/>
              <w:rPr>
                <w:sz w:val="20"/>
                <w:szCs w:val="20"/>
                <w:color w:val="auto"/>
              </w:rPr>
            </w:pPr>
            <w:r>
              <w:rPr>
                <w:rFonts w:ascii="Times New Roman" w:cs="Times New Roman" w:eastAsia="Times New Roman" w:hAnsi="Times New Roman"/>
                <w:sz w:val="16"/>
                <w:szCs w:val="16"/>
                <w:color w:val="auto"/>
                <w:w w:val="89"/>
              </w:rPr>
              <w:t>F-4</w:t>
            </w:r>
          </w:p>
        </w:tc>
      </w:tr>
      <w:tr>
        <w:trPr>
          <w:trHeight w:val="20"/>
        </w:trPr>
        <w:tc>
          <w:tcPr>
            <w:tcW w:w="19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Loss</w:t>
            </w:r>
          </w:p>
        </w:tc>
        <w:tc>
          <w:tcPr>
            <w:tcW w:w="2160" w:type="dxa"/>
            <w:vAlign w:val="bottom"/>
          </w:tcPr>
          <w:p>
            <w:pPr>
              <w:ind w:left="1940"/>
              <w:spacing w:after="0"/>
              <w:rPr>
                <w:sz w:val="20"/>
                <w:szCs w:val="20"/>
                <w:color w:val="auto"/>
              </w:rPr>
            </w:pPr>
            <w:r>
              <w:rPr>
                <w:rFonts w:ascii="Times New Roman" w:cs="Times New Roman" w:eastAsia="Times New Roman" w:hAnsi="Times New Roman"/>
                <w:sz w:val="16"/>
                <w:szCs w:val="16"/>
                <w:color w:val="auto"/>
                <w:w w:val="89"/>
              </w:rPr>
              <w:t>F-5</w:t>
            </w:r>
          </w:p>
        </w:tc>
      </w:tr>
      <w:tr>
        <w:trPr>
          <w:trHeight w:val="20"/>
        </w:trPr>
        <w:tc>
          <w:tcPr>
            <w:tcW w:w="2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2160" w:type="dxa"/>
            <w:vAlign w:val="bottom"/>
          </w:tcPr>
          <w:p>
            <w:pPr>
              <w:ind w:left="1940"/>
              <w:spacing w:after="0"/>
              <w:rPr>
                <w:sz w:val="20"/>
                <w:szCs w:val="20"/>
                <w:color w:val="auto"/>
              </w:rPr>
            </w:pPr>
            <w:r>
              <w:rPr>
                <w:rFonts w:ascii="Times New Roman" w:cs="Times New Roman" w:eastAsia="Times New Roman" w:hAnsi="Times New Roman"/>
                <w:sz w:val="16"/>
                <w:szCs w:val="16"/>
                <w:color w:val="auto"/>
                <w:w w:val="89"/>
              </w:rPr>
              <w:t>F-6</w:t>
            </w:r>
          </w:p>
        </w:tc>
      </w:tr>
      <w:tr>
        <w:trPr>
          <w:trHeight w:val="20"/>
        </w:trPr>
        <w:tc>
          <w:tcPr>
            <w:tcW w:w="2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2160" w:type="dxa"/>
            <w:vAlign w:val="bottom"/>
          </w:tcPr>
          <w:p>
            <w:pPr>
              <w:ind w:left="1940"/>
              <w:spacing w:after="0"/>
              <w:rPr>
                <w:sz w:val="20"/>
                <w:szCs w:val="20"/>
                <w:color w:val="auto"/>
              </w:rPr>
            </w:pPr>
            <w:r>
              <w:rPr>
                <w:rFonts w:ascii="Times New Roman" w:cs="Times New Roman" w:eastAsia="Times New Roman" w:hAnsi="Times New Roman"/>
                <w:sz w:val="16"/>
                <w:szCs w:val="16"/>
                <w:color w:val="auto"/>
                <w:w w:val="89"/>
              </w:rPr>
              <w:t>F-7</w:t>
            </w:r>
          </w:p>
        </w:tc>
      </w:tr>
      <w:tr>
        <w:trPr>
          <w:trHeight w:val="20"/>
        </w:trPr>
        <w:tc>
          <w:tcPr>
            <w:tcW w:w="26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0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2160" w:type="dxa"/>
            <w:vAlign w:val="bottom"/>
          </w:tcPr>
          <w:p>
            <w:pPr>
              <w:ind w:left="1940"/>
              <w:spacing w:after="0"/>
              <w:rPr>
                <w:sz w:val="20"/>
                <w:szCs w:val="20"/>
                <w:color w:val="auto"/>
              </w:rPr>
            </w:pPr>
            <w:r>
              <w:rPr>
                <w:rFonts w:ascii="Times New Roman" w:cs="Times New Roman" w:eastAsia="Times New Roman" w:hAnsi="Times New Roman"/>
                <w:sz w:val="16"/>
                <w:szCs w:val="16"/>
                <w:color w:val="auto"/>
                <w:w w:val="89"/>
              </w:rPr>
              <w:t>F-8</w:t>
            </w:r>
          </w:p>
        </w:tc>
      </w:tr>
      <w:tr>
        <w:trPr>
          <w:trHeight w:val="20"/>
        </w:trPr>
        <w:tc>
          <w:tcPr>
            <w:tcW w:w="19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2" w:right="359" w:bottom="1440" w:gutter="0" w:footer="0" w:header="0"/>
        </w:sectPr>
      </w:pPr>
    </w:p>
    <w:bookmarkStart w:id="99" w:name="page100"/>
    <w:bookmarkEnd w:id="99"/>
    <w:p>
      <w:pPr>
        <w:ind w:left="28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Relay Therapeutics,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37" w:lineRule="exact"/>
        <w:rPr>
          <w:sz w:val="20"/>
          <w:szCs w:val="20"/>
          <w:color w:val="auto"/>
        </w:rPr>
      </w:pPr>
    </w:p>
    <w:p>
      <w:pPr>
        <w:jc w:val="both"/>
        <w:ind w:right="300"/>
        <w:spacing w:after="0" w:line="281"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Relay Therapeutics, Inc. (the Company) as of December 31, 2024 and 2023, the related consolidated statements of operations and comprehensive loss, stockholders’ equity and cash flows for each of the three years in the period ended December 31, 2024, and the related notes (collectively referred to as the "consolidated financial statements").</w:t>
      </w:r>
    </w:p>
    <w:p>
      <w:pPr>
        <w:spacing w:after="0" w:line="17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In our opinion, the consolidated financial statements present fairly, in all material respects, the financial position of the Company at December 31, 2024 and 2023, and the results of its operations and its cash flows for each of the three years in the period ended December 31, 2023, in conformity with U.S. generally accepted accounting principles.</w:t>
      </w:r>
    </w:p>
    <w:p>
      <w:pPr>
        <w:spacing w:after="0" w:line="177"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26, 2025 expressed an unqualified opinion thereon.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37"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37"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80" w:type="dxa"/>
            <w:vAlign w:val="bottom"/>
          </w:tcPr>
          <w:p>
            <w:pPr>
              <w:spacing w:after="0"/>
              <w:rPr>
                <w:sz w:val="18"/>
                <w:szCs w:val="18"/>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Accrued Research and Development Expenses</w:t>
            </w:r>
          </w:p>
        </w:tc>
      </w:tr>
      <w:tr>
        <w:trPr>
          <w:trHeight w:val="411"/>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Description of the Matter</w:t>
            </w: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 discussed in Note 2 to the consolidated financial statements, the Company makes estimates to determine the expense recognized and</w:t>
            </w:r>
          </w:p>
        </w:tc>
      </w:tr>
      <w:tr>
        <w:trPr>
          <w:trHeight w:val="210"/>
        </w:trPr>
        <w:tc>
          <w:tcPr>
            <w:tcW w:w="1880" w:type="dxa"/>
            <w:vAlign w:val="bottom"/>
          </w:tcPr>
          <w:p>
            <w:pPr>
              <w:spacing w:after="0"/>
              <w:rPr>
                <w:sz w:val="18"/>
                <w:szCs w:val="18"/>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related accrued research and development expenses at each balance sheet date.</w:t>
            </w:r>
          </w:p>
        </w:tc>
      </w:tr>
      <w:tr>
        <w:trPr>
          <w:trHeight w:val="411"/>
        </w:trPr>
        <w:tc>
          <w:tcPr>
            <w:tcW w:w="1880" w:type="dxa"/>
            <w:vAlign w:val="bottom"/>
          </w:tcPr>
          <w:p>
            <w:pPr>
              <w:spacing w:after="0"/>
              <w:rPr>
                <w:sz w:val="24"/>
                <w:szCs w:val="24"/>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Auditing the Company’s estimates of accrued research and development expenses was challenging due to the judgment required in</w:t>
            </w:r>
          </w:p>
        </w:tc>
      </w:tr>
      <w:tr>
        <w:trPr>
          <w:trHeight w:val="203"/>
        </w:trPr>
        <w:tc>
          <w:tcPr>
            <w:tcW w:w="1880" w:type="dxa"/>
            <w:vAlign w:val="bottom"/>
          </w:tcPr>
          <w:p>
            <w:pPr>
              <w:spacing w:after="0"/>
              <w:rPr>
                <w:sz w:val="17"/>
                <w:szCs w:val="17"/>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evaluating assumptions used in the estimation. In particular, the estimate was sensitive to significant assumptions including, but not limited</w:t>
            </w:r>
          </w:p>
        </w:tc>
      </w:tr>
      <w:tr>
        <w:trPr>
          <w:trHeight w:val="210"/>
        </w:trPr>
        <w:tc>
          <w:tcPr>
            <w:tcW w:w="1880" w:type="dxa"/>
            <w:vAlign w:val="bottom"/>
          </w:tcPr>
          <w:p>
            <w:pPr>
              <w:spacing w:after="0"/>
              <w:rPr>
                <w:sz w:val="18"/>
                <w:szCs w:val="18"/>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 expected patient enrollment, estimates of services received and efforts expended, and estimated project duration.</w:t>
            </w:r>
          </w:p>
        </w:tc>
      </w:tr>
      <w:tr>
        <w:trPr>
          <w:trHeight w:val="409"/>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How We Addressed the</w:t>
            </w: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 obtained an understanding, evaluated the design and tested the operating effectiveness of controls over the Company’s estimation of</w:t>
            </w:r>
          </w:p>
        </w:tc>
      </w:tr>
      <w:tr>
        <w:trPr>
          <w:trHeight w:val="205"/>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Matter in Our Audit</w:t>
            </w: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research and development expenses. Our audit procedures included, among others, reviewing the Company’s contracts with third</w:t>
            </w:r>
          </w:p>
        </w:tc>
      </w:tr>
      <w:tr>
        <w:trPr>
          <w:trHeight w:val="202"/>
        </w:trPr>
        <w:tc>
          <w:tcPr>
            <w:tcW w:w="1880" w:type="dxa"/>
            <w:vAlign w:val="bottom"/>
          </w:tcPr>
          <w:p>
            <w:pPr>
              <w:spacing w:after="0"/>
              <w:rPr>
                <w:sz w:val="17"/>
                <w:szCs w:val="17"/>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parties, evaluating the methodology used in developing the estimate, testing the completeness and accuracy of the underlying data, and</w:t>
            </w:r>
          </w:p>
        </w:tc>
      </w:tr>
      <w:tr>
        <w:trPr>
          <w:trHeight w:val="210"/>
        </w:trPr>
        <w:tc>
          <w:tcPr>
            <w:tcW w:w="1880" w:type="dxa"/>
            <w:vAlign w:val="bottom"/>
          </w:tcPr>
          <w:p>
            <w:pPr>
              <w:spacing w:after="0"/>
              <w:rPr>
                <w:sz w:val="18"/>
                <w:szCs w:val="18"/>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evaluating the significant assumptions discussed above.</w:t>
            </w:r>
          </w:p>
        </w:tc>
      </w:tr>
      <w:tr>
        <w:trPr>
          <w:trHeight w:val="411"/>
        </w:trPr>
        <w:tc>
          <w:tcPr>
            <w:tcW w:w="1880" w:type="dxa"/>
            <w:vAlign w:val="bottom"/>
          </w:tcPr>
          <w:p>
            <w:pPr>
              <w:spacing w:after="0"/>
              <w:rPr>
                <w:sz w:val="24"/>
                <w:szCs w:val="24"/>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 assess the reasonableness of the significant assumptions, we corroborated the progress of clinical trials by inquiring of the Company’s</w:t>
            </w:r>
          </w:p>
        </w:tc>
      </w:tr>
      <w:tr>
        <w:trPr>
          <w:trHeight w:val="202"/>
        </w:trPr>
        <w:tc>
          <w:tcPr>
            <w:tcW w:w="1880" w:type="dxa"/>
            <w:vAlign w:val="bottom"/>
          </w:tcPr>
          <w:p>
            <w:pPr>
              <w:spacing w:after="0"/>
              <w:rPr>
                <w:sz w:val="17"/>
                <w:szCs w:val="17"/>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executives responsible for overseeing its clinical trial activities, obtained and verified information directly from third parties related to</w:t>
            </w:r>
          </w:p>
        </w:tc>
      </w:tr>
      <w:tr>
        <w:trPr>
          <w:trHeight w:val="203"/>
        </w:trPr>
        <w:tc>
          <w:tcPr>
            <w:tcW w:w="1880" w:type="dxa"/>
            <w:vAlign w:val="bottom"/>
          </w:tcPr>
          <w:p>
            <w:pPr>
              <w:spacing w:after="0"/>
              <w:rPr>
                <w:sz w:val="17"/>
                <w:szCs w:val="17"/>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patient enrollment data and costs of services, and performed a sensitivity analysis to evaluate the change in the estimate resulting from</w:t>
            </w:r>
          </w:p>
        </w:tc>
      </w:tr>
      <w:tr>
        <w:trPr>
          <w:trHeight w:val="210"/>
        </w:trPr>
        <w:tc>
          <w:tcPr>
            <w:tcW w:w="1880" w:type="dxa"/>
            <w:vAlign w:val="bottom"/>
          </w:tcPr>
          <w:p>
            <w:pPr>
              <w:spacing w:after="0"/>
              <w:rPr>
                <w:sz w:val="18"/>
                <w:szCs w:val="18"/>
                <w:color w:val="auto"/>
              </w:rPr>
            </w:pPr>
          </w:p>
        </w:tc>
        <w:tc>
          <w:tcPr>
            <w:tcW w:w="9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significant assumptions. In</w:t>
            </w:r>
          </w:p>
        </w:tc>
      </w:tr>
      <w:tr>
        <w:trPr>
          <w:trHeight w:val="438"/>
        </w:trPr>
        <w:tc>
          <w:tcPr>
            <w:tcW w:w="1880" w:type="dxa"/>
            <w:vAlign w:val="bottom"/>
          </w:tcPr>
          <w:p>
            <w:pPr>
              <w:spacing w:after="0"/>
              <w:rPr>
                <w:sz w:val="24"/>
                <w:szCs w:val="24"/>
                <w:color w:val="auto"/>
              </w:rPr>
            </w:pPr>
          </w:p>
        </w:tc>
        <w:tc>
          <w:tcPr>
            <w:tcW w:w="936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F-2</w:t>
            </w:r>
          </w:p>
        </w:tc>
      </w:tr>
      <w:tr>
        <w:trPr>
          <w:trHeight w:val="763"/>
        </w:trPr>
        <w:tc>
          <w:tcPr>
            <w:tcW w:w="1880" w:type="dxa"/>
            <w:vAlign w:val="bottom"/>
            <w:tcBorders>
              <w:bottom w:val="single" w:sz="8" w:color="9A9A9A"/>
            </w:tcBorders>
          </w:tcPr>
          <w:p>
            <w:pPr>
              <w:spacing w:after="0"/>
              <w:rPr>
                <w:sz w:val="24"/>
                <w:szCs w:val="24"/>
                <w:color w:val="auto"/>
              </w:rPr>
            </w:pPr>
          </w:p>
        </w:tc>
        <w:tc>
          <w:tcPr>
            <w:tcW w:w="9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6"/>
          <w:szCs w:val="16"/>
          <w:color w:val="auto"/>
        </w:rPr>
        <w:t>addition, we tested subsequent invoices received from such third parties to validate the Company’s estimate as of the balance sheet date.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2017.</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2025</w:t>
      </w: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98" w:right="639" w:bottom="1440" w:gutter="0" w:footer="0" w:header="0"/>
        </w:sectPr>
      </w:pPr>
    </w:p>
    <w:bookmarkStart w:id="101" w:name="page102"/>
    <w:bookmarkEnd w:id="101"/>
    <w:p>
      <w:pPr>
        <w:jc w:val="center"/>
        <w:ind w:right="40"/>
        <w:spacing w:after="0"/>
        <w:rPr>
          <w:sz w:val="20"/>
          <w:szCs w:val="20"/>
          <w:color w:val="auto"/>
        </w:rPr>
      </w:pPr>
      <w:r>
        <w:rPr>
          <w:rFonts w:ascii="Times New Roman" w:cs="Times New Roman" w:eastAsia="Times New Roman" w:hAnsi="Times New Roman"/>
          <w:sz w:val="16"/>
          <w:szCs w:val="16"/>
          <w:color w:val="auto"/>
        </w:rPr>
        <w:t>Relay Therapeutics,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Pr>
          <w:p>
            <w:pPr>
              <w:spacing w:after="0"/>
              <w:rPr>
                <w:sz w:val="15"/>
                <w:szCs w:val="15"/>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20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124,287</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143,736</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657,036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606,350</w:t>
            </w: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17,348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16,702</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10,533</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120" w:type="dxa"/>
            <w:vAlign w:val="bottom"/>
          </w:tcPr>
          <w:p>
            <w:pPr>
              <w:spacing w:after="0"/>
              <w:rPr>
                <w:sz w:val="17"/>
                <w:szCs w:val="17"/>
                <w:color w:val="auto"/>
              </w:rPr>
            </w:pPr>
          </w:p>
        </w:tc>
      </w:tr>
      <w:tr>
        <w:trPr>
          <w:trHeight w:val="19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809,204</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770,103</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10,901</w:t>
            </w: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51,762</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57,969</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2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Intangible asset</w:t>
            </w: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871,296</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843,980</w:t>
            </w:r>
          </w:p>
        </w:tc>
        <w:tc>
          <w:tcPr>
            <w:tcW w:w="12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14,097</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9,211</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14,890</w:t>
            </w: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5,727</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1,990</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50,729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30,269</w:t>
            </w: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42,775</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48,502</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 liability</w:t>
            </w:r>
          </w:p>
        </w:tc>
        <w:tc>
          <w:tcPr>
            <w:tcW w:w="18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13,206</w:t>
            </w:r>
          </w:p>
        </w:tc>
        <w:tc>
          <w:tcPr>
            <w:tcW w:w="120" w:type="dxa"/>
            <w:vAlign w:val="bottom"/>
          </w:tcPr>
          <w:p>
            <w:pPr>
              <w:spacing w:after="0"/>
              <w:rPr>
                <w:sz w:val="17"/>
                <w:szCs w:val="17"/>
                <w:color w:val="auto"/>
              </w:rPr>
            </w:pPr>
          </w:p>
        </w:tc>
      </w:tr>
      <w:tr>
        <w:trPr>
          <w:trHeight w:val="19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93,504</w:t>
            </w:r>
          </w:p>
        </w:tc>
        <w:tc>
          <w:tcPr>
            <w:tcW w:w="3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91,977</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9"/>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Undesignated preferred stock, $0.001 par value, 10,000,000 shares authorized as of</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December 31, 2024 and December 31, 2023; no shares issued and outstanding as</w:t>
            </w:r>
          </w:p>
        </w:tc>
        <w:tc>
          <w:tcPr>
            <w:tcW w:w="18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of December 31, 2024 and December 31, 2023</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2"/>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$0.001 par value; 300,000,000 shares authorized as of December</w:t>
            </w: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2"/>
        </w:trPr>
        <w:tc>
          <w:tcPr>
            <w:tcW w:w="7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31, 2024 and December 31, 2023; 167,755,715 and 127,462,409 shares issued</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FF0FC"/>
          </w:tcPr>
          <w:p>
            <w:pPr>
              <w:spacing w:after="0"/>
              <w:rPr>
                <w:sz w:val="17"/>
                <w:szCs w:val="17"/>
                <w:color w:val="auto"/>
              </w:rPr>
            </w:pPr>
          </w:p>
        </w:tc>
      </w:tr>
      <w:tr>
        <w:trPr>
          <w:trHeight w:val="216"/>
        </w:trPr>
        <w:tc>
          <w:tcPr>
            <w:tcW w:w="77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outstanding as of December 31, 2024 and December 31, 2023, respectively</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2,516,905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2,152,654</w:t>
            </w: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(991 )</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(196 )</w:t>
            </w: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7"/>
                <w:szCs w:val="17"/>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(1,738,290 )</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(1,400,582 )</w:t>
            </w:r>
          </w:p>
        </w:tc>
      </w:tr>
      <w:tr>
        <w:trPr>
          <w:trHeight w:val="19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777,792</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752,003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871,296</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843,980</w:t>
            </w:r>
          </w:p>
        </w:tc>
        <w:tc>
          <w:tcPr>
            <w:tcW w:w="12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-3308350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-3308350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-2245360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-2245360</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-162560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02" w:name="page103"/>
    <w:bookmarkEnd w:id="102"/>
    <w:p>
      <w:pPr>
        <w:jc w:val="center"/>
        <w:ind w:right="40"/>
        <w:spacing w:after="0"/>
        <w:rPr>
          <w:sz w:val="20"/>
          <w:szCs w:val="20"/>
          <w:color w:val="auto"/>
        </w:rPr>
      </w:pPr>
      <w:r>
        <w:rPr>
          <w:rFonts w:ascii="Times New Roman" w:cs="Times New Roman" w:eastAsia="Times New Roman" w:hAnsi="Times New Roman"/>
          <w:sz w:val="16"/>
          <w:szCs w:val="16"/>
          <w:color w:val="auto"/>
        </w:rPr>
        <w:t>Relay Therapeutics,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Consolidated Statements of Operations and Comprehensive Loss</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8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8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40"/>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60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License and other revenue</w:t>
            </w: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10,007</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25,546</w:t>
            </w: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10,007</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25,546</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319,089</w:t>
            </w:r>
          </w:p>
        </w:tc>
        <w:tc>
          <w:tcPr>
            <w:tcW w:w="24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330,018</w:t>
            </w:r>
          </w:p>
        </w:tc>
        <w:tc>
          <w:tcPr>
            <w:tcW w:w="2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 in fair value of contingent consideration liability</w:t>
            </w:r>
          </w:p>
        </w:tc>
        <w:tc>
          <w:tcPr>
            <w:tcW w:w="3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(13,206 )</w:t>
            </w: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(6,422 )</w:t>
            </w: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(11,677 )</w:t>
            </w:r>
          </w:p>
        </w:tc>
        <w:tc>
          <w:tcPr>
            <w:tcW w:w="0" w:type="dxa"/>
            <w:vAlign w:val="bottom"/>
          </w:tcPr>
          <w:p>
            <w:pPr>
              <w:spacing w:after="0"/>
              <w:rPr>
                <w:sz w:val="1"/>
                <w:szCs w:val="1"/>
                <w:color w:val="auto"/>
              </w:rPr>
            </w:pPr>
          </w:p>
        </w:tc>
      </w:tr>
      <w:tr>
        <w:trPr>
          <w:trHeight w:val="203"/>
        </w:trPr>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76,592</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74,950</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382,475</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398,546</w:t>
            </w: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300,656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8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(372,468 )</w:t>
            </w:r>
          </w:p>
        </w:tc>
        <w:tc>
          <w:tcPr>
            <w:tcW w:w="38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(373,000 )</w:t>
            </w:r>
          </w:p>
        </w:tc>
        <w:tc>
          <w:tcPr>
            <w:tcW w:w="36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(299,275 )</w:t>
            </w: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31,045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income (expense)</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(18 )</w:t>
            </w: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196"/>
        </w:trPr>
        <w:tc>
          <w:tcPr>
            <w:tcW w:w="6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 net</w:t>
            </w: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34,760</w:t>
            </w: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31,027</w:t>
            </w:r>
          </w:p>
        </w:tc>
        <w:tc>
          <w:tcPr>
            <w:tcW w:w="2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(337,708 )</w:t>
            </w:r>
          </w:p>
        </w:tc>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(341,973 )</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(290,509 )</w:t>
            </w:r>
          </w:p>
        </w:tc>
        <w:tc>
          <w:tcPr>
            <w:tcW w:w="0" w:type="dxa"/>
            <w:vAlign w:val="bottom"/>
          </w:tcPr>
          <w:p>
            <w:pPr>
              <w:spacing w:after="0"/>
              <w:rPr>
                <w:sz w:val="1"/>
                <w:szCs w:val="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(2.36 )</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(2.79 )</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shares of common stock, basic and diluted</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142,867,844</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122,576,527</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112,233,649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Unrealized holding (loss) gain</w:t>
            </w:r>
          </w:p>
        </w:tc>
        <w:tc>
          <w:tcPr>
            <w:tcW w:w="3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(795 )</w:t>
            </w: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10,224</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(9,332 )</w:t>
            </w:r>
          </w:p>
        </w:tc>
        <w:tc>
          <w:tcPr>
            <w:tcW w:w="0" w:type="dxa"/>
            <w:vAlign w:val="bottom"/>
          </w:tcPr>
          <w:p>
            <w:pPr>
              <w:spacing w:after="0"/>
              <w:rPr>
                <w:sz w:val="1"/>
                <w:szCs w:val="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38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(795 )</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(9,332 )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(338,503 )</w:t>
            </w:r>
          </w:p>
        </w:tc>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(331,749 )</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(299,841 )</w:t>
            </w: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-2468245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-2468245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-1670685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-1670685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-1148080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-1148080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-873760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-873760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-582295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-565150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-582295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-565150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-299720</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-299720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03" w:name="page104"/>
    <w:bookmarkEnd w:id="103"/>
    <w:p>
      <w:pPr>
        <w:jc w:val="center"/>
        <w:ind w:right="40"/>
        <w:spacing w:after="0"/>
        <w:rPr>
          <w:sz w:val="20"/>
          <w:szCs w:val="20"/>
          <w:color w:val="auto"/>
        </w:rPr>
      </w:pPr>
      <w:r>
        <w:rPr>
          <w:rFonts w:ascii="Times New Roman" w:cs="Times New Roman" w:eastAsia="Times New Roman" w:hAnsi="Times New Roman"/>
          <w:sz w:val="16"/>
          <w:szCs w:val="16"/>
          <w:color w:val="auto"/>
        </w:rPr>
        <w:t>Relay Therapeutics,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Consolidated Statements of Stockholders’ Equity</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206" w:lineRule="exact"/>
        <w:rPr>
          <w:sz w:val="20"/>
          <w:szCs w:val="20"/>
          <w:color w:val="auto"/>
        </w:rPr>
      </w:pPr>
    </w:p>
    <w:tbl>
      <w:tblPr>
        <w:tblLayout w:type="fixed"/>
        <w:tblInd w:w="3940" w:type="dxa"/>
        <w:tblCellMar>
          <w:top w:w="0" w:type="dxa"/>
          <w:left w:w="0" w:type="dxa"/>
          <w:bottom w:w="0" w:type="dxa"/>
          <w:right w:w="0" w:type="dxa"/>
        </w:tblCellMar>
      </w:tblPr>
      <w:tr>
        <w:trPr>
          <w:trHeight w:val="149"/>
        </w:trPr>
        <w:tc>
          <w:tcPr>
            <w:tcW w:w="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8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180" w:type="dxa"/>
            <w:vAlign w:val="bottom"/>
          </w:tcPr>
          <w:p>
            <w:pPr>
              <w:spacing w:after="0"/>
              <w:rPr>
                <w:sz w:val="11"/>
                <w:szCs w:val="11"/>
                <w:color w:val="auto"/>
              </w:rPr>
            </w:pPr>
          </w:p>
        </w:tc>
        <w:tc>
          <w:tcPr>
            <w:tcW w:w="980" w:type="dxa"/>
            <w:vAlign w:val="bottom"/>
          </w:tcPr>
          <w:p>
            <w:pPr>
              <w:jc w:val="center"/>
              <w:ind w:left="17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1280" w:type="dxa"/>
            <w:vAlign w:val="bottom"/>
          </w:tcPr>
          <w:p>
            <w:pPr>
              <w:jc w:val="center"/>
              <w:ind w:left="157"/>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3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1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980" w:type="dxa"/>
            <w:vAlign w:val="bottom"/>
          </w:tcPr>
          <w:p>
            <w:pPr>
              <w:jc w:val="center"/>
              <w:ind w:left="177"/>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67"/>
        </w:trPr>
        <w:tc>
          <w:tcPr>
            <w:tcW w:w="7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58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280" w:type="dxa"/>
            <w:vAlign w:val="bottom"/>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Income/(Loss)</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98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1">
            <w:col w:w="11240"/>
          </w:cols>
          <w:pgMar w:left="320" w:top="1098"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Balances at December 31, 2021</w:t>
      </w:r>
    </w:p>
    <w:p>
      <w:pPr>
        <w:spacing w:after="0" w:line="26" w:lineRule="exact"/>
        <w:rPr>
          <w:sz w:val="20"/>
          <w:szCs w:val="20"/>
          <w:color w:val="auto"/>
        </w:rPr>
      </w:pPr>
    </w:p>
    <w:p>
      <w:pPr>
        <w:ind w:left="20"/>
        <w:spacing w:after="0" w:line="264" w:lineRule="auto"/>
        <w:rPr>
          <w:sz w:val="20"/>
          <w:szCs w:val="20"/>
          <w:color w:val="auto"/>
        </w:rPr>
      </w:pPr>
      <w:r>
        <w:rPr>
          <w:rFonts w:ascii="Times New Roman" w:cs="Times New Roman" w:eastAsia="Times New Roman" w:hAnsi="Times New Roman"/>
          <w:sz w:val="16"/>
          <w:szCs w:val="16"/>
          <w:color w:val="auto"/>
        </w:rPr>
        <w:t>Issuance of common stock upon milestone achievement Issuance of common stock through follow-on offering, net Issuance of common stock through exercise of stock options</w:t>
      </w:r>
    </w:p>
    <w:p>
      <w:pPr>
        <w:ind w:left="20" w:right="140"/>
        <w:spacing w:after="0" w:line="264" w:lineRule="auto"/>
        <w:rPr>
          <w:sz w:val="20"/>
          <w:szCs w:val="20"/>
          <w:color w:val="auto"/>
        </w:rPr>
      </w:pPr>
      <w:r>
        <w:rPr>
          <w:rFonts w:ascii="Times New Roman" w:cs="Times New Roman" w:eastAsia="Times New Roman" w:hAnsi="Times New Roman"/>
          <w:sz w:val="16"/>
          <w:szCs w:val="16"/>
          <w:color w:val="auto"/>
        </w:rPr>
        <w:t>Issuance of common stock via employee stock purchase plan</w:t>
      </w:r>
    </w:p>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Unrealized loss on investments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8"/>
        </w:trPr>
        <w:tc>
          <w:tcPr>
            <w:tcW w:w="10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108,210,318</w:t>
            </w:r>
          </w:p>
        </w:tc>
        <w:tc>
          <w:tcPr>
            <w:tcW w:w="240" w:type="dxa"/>
            <w:vAlign w:val="bottom"/>
          </w:tcPr>
          <w:p>
            <w:pPr>
              <w:spacing w:after="0"/>
              <w:rPr>
                <w:sz w:val="15"/>
                <w:szCs w:val="15"/>
                <w:color w:val="auto"/>
              </w:rPr>
            </w:pPr>
          </w:p>
        </w:tc>
        <w:tc>
          <w:tcPr>
            <w:tcW w:w="440" w:type="dxa"/>
            <w:vAlign w:val="bottom"/>
          </w:tcPr>
          <w:p>
            <w:pPr>
              <w:jc w:val="right"/>
              <w:ind w:right="259"/>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109</w:t>
            </w:r>
          </w:p>
        </w:tc>
        <w:tc>
          <w:tcPr>
            <w:tcW w:w="24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   1,666,887</w:t>
            </w:r>
          </w:p>
        </w:tc>
        <w:tc>
          <w:tcPr>
            <w:tcW w:w="220" w:type="dxa"/>
            <w:vAlign w:val="bottom"/>
          </w:tcPr>
          <w:p>
            <w:pPr>
              <w:spacing w:after="0"/>
              <w:rPr>
                <w:sz w:val="15"/>
                <w:szCs w:val="15"/>
                <w:color w:val="auto"/>
              </w:rPr>
            </w:pPr>
          </w:p>
        </w:tc>
        <w:tc>
          <w:tcPr>
            <w:tcW w:w="340" w:type="dxa"/>
            <w:vAlign w:val="bottom"/>
          </w:tcPr>
          <w:p>
            <w:pPr>
              <w:jc w:val="right"/>
              <w:ind w:right="159"/>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tcPr>
          <w:p>
            <w:pPr>
              <w:jc w:val="right"/>
              <w:ind w:right="140"/>
              <w:spacing w:after="0" w:line="178" w:lineRule="exact"/>
              <w:rPr>
                <w:sz w:val="20"/>
                <w:szCs w:val="20"/>
                <w:color w:val="auto"/>
              </w:rPr>
            </w:pPr>
            <w:r>
              <w:rPr>
                <w:rFonts w:ascii="Times New Roman" w:cs="Times New Roman" w:eastAsia="Times New Roman" w:hAnsi="Times New Roman"/>
                <w:sz w:val="16"/>
                <w:szCs w:val="16"/>
                <w:color w:val="auto"/>
              </w:rPr>
              <w:t>(1,088 )  $</w:t>
            </w:r>
          </w:p>
        </w:tc>
        <w:tc>
          <w:tcPr>
            <w:tcW w:w="1240" w:type="dxa"/>
            <w:vAlign w:val="bottom"/>
            <w:gridSpan w:val="3"/>
          </w:tcPr>
          <w:p>
            <w:pPr>
              <w:jc w:val="right"/>
              <w:ind w:right="180"/>
              <w:spacing w:after="0" w:line="178" w:lineRule="exact"/>
              <w:rPr>
                <w:sz w:val="20"/>
                <w:szCs w:val="20"/>
                <w:color w:val="auto"/>
              </w:rPr>
            </w:pPr>
            <w:r>
              <w:rPr>
                <w:rFonts w:ascii="Times New Roman" w:cs="Times New Roman" w:eastAsia="Times New Roman" w:hAnsi="Times New Roman"/>
                <w:sz w:val="16"/>
                <w:szCs w:val="16"/>
                <w:color w:val="auto"/>
              </w:rPr>
              <w:t>(768,100 )  $</w:t>
            </w:r>
          </w:p>
        </w:tc>
        <w:tc>
          <w:tcPr>
            <w:tcW w:w="7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897,808</w:t>
            </w:r>
          </w:p>
        </w:tc>
        <w:tc>
          <w:tcPr>
            <w:tcW w:w="60" w:type="dxa"/>
            <w:vAlign w:val="bottom"/>
          </w:tcPr>
          <w:p>
            <w:pPr>
              <w:spacing w:after="0"/>
              <w:rPr>
                <w:sz w:val="15"/>
                <w:szCs w:val="15"/>
                <w:color w:val="auto"/>
              </w:rPr>
            </w:pPr>
          </w:p>
        </w:tc>
      </w:tr>
      <w:tr>
        <w:trPr>
          <w:trHeight w:val="203"/>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301,939</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60" w:type="dxa"/>
            <w:vAlign w:val="bottom"/>
          </w:tcPr>
          <w:p>
            <w:pPr>
              <w:spacing w:after="0"/>
              <w:rPr>
                <w:sz w:val="17"/>
                <w:szCs w:val="17"/>
                <w:color w:val="auto"/>
              </w:rPr>
            </w:pPr>
          </w:p>
        </w:tc>
      </w:tr>
      <w:tr>
        <w:trPr>
          <w:trHeight w:val="210"/>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11,320,755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284,733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284,744</w:t>
            </w:r>
          </w:p>
        </w:tc>
        <w:tc>
          <w:tcPr>
            <w:tcW w:w="60" w:type="dxa"/>
            <w:vAlign w:val="bottom"/>
          </w:tcPr>
          <w:p>
            <w:pPr>
              <w:spacing w:after="0"/>
              <w:rPr>
                <w:sz w:val="18"/>
                <w:szCs w:val="18"/>
                <w:color w:val="auto"/>
              </w:rPr>
            </w:pPr>
          </w:p>
        </w:tc>
      </w:tr>
      <w:tr>
        <w:trPr>
          <w:trHeight w:val="297"/>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757,873</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60" w:type="dxa"/>
            <w:vAlign w:val="bottom"/>
          </w:tcPr>
          <w:p>
            <w:pPr>
              <w:spacing w:after="0"/>
              <w:rPr>
                <w:sz w:val="24"/>
                <w:szCs w:val="24"/>
                <w:color w:val="auto"/>
              </w:rPr>
            </w:pPr>
          </w:p>
        </w:tc>
      </w:tr>
      <w:tr>
        <w:trPr>
          <w:trHeight w:val="405"/>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123,019</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60" w:type="dxa"/>
            <w:vAlign w:val="bottom"/>
          </w:tcPr>
          <w:p>
            <w:pPr>
              <w:spacing w:after="0"/>
              <w:rPr>
                <w:sz w:val="24"/>
                <w:szCs w:val="24"/>
                <w:color w:val="auto"/>
              </w:rPr>
            </w:pPr>
          </w:p>
        </w:tc>
      </w:tr>
      <w:tr>
        <w:trPr>
          <w:trHeight w:val="303"/>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398,330</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56,138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56,138</w:t>
            </w:r>
          </w:p>
        </w:tc>
        <w:tc>
          <w:tcPr>
            <w:tcW w:w="60" w:type="dxa"/>
            <w:vAlign w:val="bottom"/>
          </w:tcPr>
          <w:p>
            <w:pPr>
              <w:spacing w:after="0"/>
              <w:rPr>
                <w:sz w:val="17"/>
                <w:szCs w:val="17"/>
                <w:color w:val="auto"/>
              </w:rPr>
            </w:pPr>
          </w:p>
        </w:tc>
      </w:tr>
      <w:tr>
        <w:trPr>
          <w:trHeight w:val="210"/>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(9,332 )</w:t>
            </w:r>
          </w:p>
        </w:tc>
        <w:tc>
          <w:tcPr>
            <w:tcW w:w="24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(9,332 )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-1281430</wp:posOffset>
            </wp:positionV>
            <wp:extent cx="7132320"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-1024255</wp:posOffset>
            </wp:positionV>
            <wp:extent cx="713232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-638810</wp:posOffset>
            </wp:positionV>
            <wp:extent cx="7132320" cy="2571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-252730</wp:posOffset>
            </wp:positionV>
            <wp:extent cx="7132320"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800" w:space="140"/>
            <w:col w:w="7300"/>
          </w:cols>
          <w:pgMar w:left="320" w:top="1098"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(290,509 )</w:t>
            </w: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(290,509 )</w:t>
            </w: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1"/>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December 31,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121,112,234</w:t>
            </w:r>
          </w:p>
        </w:tc>
        <w:tc>
          <w:tcPr>
            <w:tcW w:w="240" w:type="dxa"/>
            <w:vAlign w:val="bottom"/>
          </w:tcPr>
          <w:p>
            <w:pPr>
              <w:spacing w:after="0"/>
              <w:rPr>
                <w:sz w:val="16"/>
                <w:szCs w:val="16"/>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2,019,126</w:t>
            </w:r>
          </w:p>
        </w:tc>
        <w:tc>
          <w:tcPr>
            <w:tcW w:w="22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(10,420 )  $</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(1,058,609 )</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950,218</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-158750</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-141605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-158750</wp:posOffset>
            </wp:positionV>
            <wp:extent cx="768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-141605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-158750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-141605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-158750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-141605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-158750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-141605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-158750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-4445</wp:posOffset>
            </wp:positionV>
            <wp:extent cx="45605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p>
      <w:pPr>
        <w:spacing w:after="0" w:line="19"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6"/>
          <w:szCs w:val="16"/>
          <w:color w:val="auto"/>
        </w:rPr>
        <w:t>Issuance of common stock upon milestone achievement Issuance of common stock via at-the-market offerings, net Issuance of common stock through exercise of stock options</w:t>
      </w:r>
    </w:p>
    <w:p>
      <w:pPr>
        <w:spacing w:after="0" w:line="2" w:lineRule="exact"/>
        <w:rPr>
          <w:sz w:val="20"/>
          <w:szCs w:val="20"/>
          <w:color w:val="auto"/>
        </w:rPr>
      </w:pPr>
    </w:p>
    <w:p>
      <w:pPr>
        <w:ind w:left="20" w:right="140"/>
        <w:spacing w:after="0" w:line="264" w:lineRule="auto"/>
        <w:rPr>
          <w:sz w:val="20"/>
          <w:szCs w:val="20"/>
          <w:color w:val="auto"/>
        </w:rPr>
      </w:pPr>
      <w:r>
        <w:rPr>
          <w:rFonts w:ascii="Times New Roman" w:cs="Times New Roman" w:eastAsia="Times New Roman" w:hAnsi="Times New Roman"/>
          <w:sz w:val="16"/>
          <w:szCs w:val="16"/>
          <w:color w:val="auto"/>
        </w:rPr>
        <w:t>Issuance of common stock via employee stock purchase plan</w:t>
      </w:r>
    </w:p>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Unrealized gain on investments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p>
      <w:pPr>
        <w:spacing w:after="0" w:line="59"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6"/>
          <w:szCs w:val="16"/>
          <w:color w:val="auto"/>
        </w:rPr>
        <w:t>Issuance of common stock through Private Placement, net Issuance of common stock via at-the-market offerings, net Issuance of common stock through follow-on offering, net Issuance of common stock through exercise of stock options</w:t>
      </w:r>
    </w:p>
    <w:p>
      <w:pPr>
        <w:spacing w:after="0" w:line="1" w:lineRule="exact"/>
        <w:rPr>
          <w:sz w:val="20"/>
          <w:szCs w:val="20"/>
          <w:color w:val="auto"/>
        </w:rPr>
      </w:pPr>
    </w:p>
    <w:p>
      <w:pPr>
        <w:ind w:left="20" w:right="140"/>
        <w:spacing w:after="0" w:line="264" w:lineRule="auto"/>
        <w:rPr>
          <w:sz w:val="20"/>
          <w:szCs w:val="20"/>
          <w:color w:val="auto"/>
        </w:rPr>
      </w:pPr>
      <w:r>
        <w:rPr>
          <w:rFonts w:ascii="Times New Roman" w:cs="Times New Roman" w:eastAsia="Times New Roman" w:hAnsi="Times New Roman"/>
          <w:sz w:val="16"/>
          <w:szCs w:val="16"/>
          <w:color w:val="auto"/>
        </w:rPr>
        <w:t>Issuance of common stock via employee stock purchase plan</w:t>
      </w:r>
    </w:p>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Unrealized loss on investments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Balances at December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1,797,064</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3,026,072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399,498</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244,125</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883,416</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(341,973 )</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(341,973 )</w:t>
            </w: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127,462,409</w:t>
            </w:r>
          </w:p>
        </w:tc>
        <w:tc>
          <w:tcPr>
            <w:tcW w:w="240" w:type="dxa"/>
            <w:vAlign w:val="bottom"/>
            <w:vMerge w:val="continue"/>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4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2,152,654</w:t>
            </w:r>
          </w:p>
        </w:tc>
        <w:tc>
          <w:tcPr>
            <w:tcW w:w="22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22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(1,400,582</w:t>
            </w: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752,003</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2,500,000</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29,800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29,803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1,889,597</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32,857,143</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617,570</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303,670</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2,125,326</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94,139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(795 )</w:t>
            </w:r>
          </w:p>
        </w:tc>
        <w:tc>
          <w:tcPr>
            <w:tcW w:w="180" w:type="dxa"/>
            <w:vAlign w:val="bottom"/>
          </w:tcPr>
          <w:p>
            <w:pPr>
              <w:spacing w:after="0"/>
              <w:rPr>
                <w:sz w:val="17"/>
                <w:szCs w:val="17"/>
                <w:color w:val="auto"/>
              </w:rPr>
            </w:pPr>
          </w:p>
        </w:tc>
        <w:tc>
          <w:tcPr>
            <w:tcW w:w="10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(795 )</w:t>
            </w:r>
          </w:p>
        </w:tc>
        <w:tc>
          <w:tcPr>
            <w:tcW w:w="0" w:type="dxa"/>
            <w:vAlign w:val="bottom"/>
          </w:tcPr>
          <w:p>
            <w:pPr>
              <w:spacing w:after="0"/>
              <w:rPr>
                <w:sz w:val="1"/>
                <w:szCs w:val="1"/>
                <w:color w:val="auto"/>
              </w:rPr>
            </w:pPr>
          </w:p>
        </w:tc>
      </w:tr>
      <w:tr>
        <w:trPr>
          <w:trHeight w:val="213"/>
        </w:trPr>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(337,708 )</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(337,708 )</w:t>
            </w: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167,755,715</w:t>
            </w:r>
          </w:p>
        </w:tc>
        <w:tc>
          <w:tcPr>
            <w:tcW w:w="240" w:type="dxa"/>
            <w:vAlign w:val="bottom"/>
            <w:vMerge w:val="continue"/>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4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2,516,905</w:t>
            </w:r>
          </w:p>
        </w:tc>
        <w:tc>
          <w:tcPr>
            <w:tcW w:w="22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22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(1,738,290</w:t>
            </w: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777,792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-3068320</wp:posOffset>
            </wp:positionV>
            <wp:extent cx="7132320" cy="3068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30689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140"/>
            <w:col w:w="7300"/>
          </w:cols>
          <w:pgMar w:left="320" w:top="109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104" w:name="page105"/>
    <w:bookmarkEnd w:id="104"/>
    <w:p>
      <w:pPr>
        <w:jc w:val="center"/>
        <w:ind w:right="40"/>
        <w:spacing w:after="0"/>
        <w:rPr>
          <w:sz w:val="20"/>
          <w:szCs w:val="20"/>
          <w:color w:val="auto"/>
        </w:rPr>
      </w:pPr>
      <w:r>
        <w:rPr>
          <w:rFonts w:ascii="Times New Roman" w:cs="Times New Roman" w:eastAsia="Times New Roman" w:hAnsi="Times New Roman"/>
          <w:sz w:val="16"/>
          <w:szCs w:val="16"/>
          <w:color w:val="auto"/>
        </w:rPr>
        <w:t>Relay Therapeutics,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r>
      <w:tr>
        <w:trPr>
          <w:trHeight w:val="20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(337,708 )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(341,973 )</w:t>
            </w:r>
          </w:p>
        </w:tc>
        <w:tc>
          <w:tcPr>
            <w:tcW w:w="300" w:type="dxa"/>
            <w:vAlign w:val="bottom"/>
          </w:tcPr>
          <w:p>
            <w:pPr>
              <w:jc w:val="right"/>
              <w:ind w:right="17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(290,509 )</w:t>
            </w:r>
          </w:p>
        </w:tc>
      </w:tr>
      <w:tr>
        <w:trPr>
          <w:trHeight w:val="20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expense</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94,139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86,031</w:t>
            </w:r>
          </w:p>
        </w:tc>
        <w:tc>
          <w:tcPr>
            <w:tcW w:w="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56,138</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realized gain on sale of investments</w:t>
            </w: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(101 )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amortization of premiums and discounts on investments</w:t>
            </w: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(12,315 )</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(10,763 )</w:t>
            </w: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contingent consideration liability</w:t>
            </w: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(13,206 )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(6,422 )</w:t>
            </w:r>
          </w:p>
        </w:tc>
        <w:tc>
          <w:tcPr>
            <w:tcW w:w="3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(11,677 )</w:t>
            </w:r>
          </w:p>
        </w:tc>
      </w:tr>
      <w:tr>
        <w:trPr>
          <w:trHeight w:val="20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Contract asset</w:t>
            </w: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4,913</w:t>
            </w:r>
          </w:p>
        </w:tc>
        <w:tc>
          <w:tcPr>
            <w:tcW w:w="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(376 )</w:t>
            </w: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(5,356 )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(4,648 )</w:t>
            </w:r>
          </w:p>
        </w:tc>
        <w:tc>
          <w:tcPr>
            <w:tcW w:w="3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(2,140 )</w:t>
            </w:r>
          </w:p>
        </w:tc>
      </w:tr>
      <w:tr>
        <w:trPr>
          <w:trHeight w:val="203"/>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assets and liabilities, net</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(8,132 )</w:t>
            </w:r>
          </w:p>
        </w:tc>
      </w:tr>
      <w:tr>
        <w:trPr>
          <w:trHeight w:val="202"/>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(9,590 )</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11,289</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(248 )</w:t>
            </w: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(24,948 )</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10,756</w:t>
            </w:r>
          </w:p>
        </w:tc>
        <w:tc>
          <w:tcPr>
            <w:tcW w:w="100" w:type="dxa"/>
            <w:vAlign w:val="bottom"/>
          </w:tcPr>
          <w:p>
            <w:pPr>
              <w:spacing w:after="0"/>
              <w:rPr>
                <w:sz w:val="17"/>
                <w:szCs w:val="17"/>
                <w:color w:val="auto"/>
              </w:rPr>
            </w:pPr>
          </w:p>
        </w:tc>
      </w:tr>
      <w:tr>
        <w:trPr>
          <w:trHeight w:val="20"/>
        </w:trPr>
        <w:tc>
          <w:tcPr>
            <w:tcW w:w="7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(249,107 )</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(300,316 )</w:t>
            </w:r>
          </w:p>
        </w:tc>
        <w:tc>
          <w:tcPr>
            <w:tcW w:w="3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(229,490 )</w:t>
            </w:r>
          </w:p>
        </w:tc>
      </w:tr>
      <w:tr>
        <w:trPr>
          <w:trHeight w:val="20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(2,018 )</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(4,126 )</w:t>
            </w:r>
          </w:p>
        </w:tc>
        <w:tc>
          <w:tcPr>
            <w:tcW w:w="3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(9,062 )</w:t>
            </w:r>
          </w:p>
        </w:tc>
      </w:tr>
      <w:tr>
        <w:trPr>
          <w:trHeight w:val="20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(650,629 )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(385,542 )</w:t>
            </w:r>
          </w:p>
        </w:tc>
        <w:tc>
          <w:tcPr>
            <w:tcW w:w="3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(535,419 )</w:t>
            </w:r>
          </w:p>
        </w:tc>
      </w:tr>
      <w:tr>
        <w:trPr>
          <w:trHeight w:val="202"/>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maturities and sales of investments</w:t>
            </w: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611,564</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647,302</w:t>
            </w:r>
          </w:p>
        </w:tc>
        <w:tc>
          <w:tcPr>
            <w:tcW w:w="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right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355,736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(41,083 )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257,634</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(188,745 )</w:t>
            </w:r>
          </w:p>
        </w:tc>
      </w:tr>
      <w:tr>
        <w:trPr>
          <w:trHeight w:val="20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through Private Placement, net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via at-the-market offerings, net</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17,932</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30,281</w:t>
            </w:r>
          </w:p>
        </w:tc>
        <w:tc>
          <w:tcPr>
            <w:tcW w:w="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through follow-on offering, net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284,744</w:t>
            </w:r>
          </w:p>
        </w:tc>
        <w:tc>
          <w:tcPr>
            <w:tcW w:w="100" w:type="dxa"/>
            <w:vAlign w:val="bottom"/>
          </w:tcPr>
          <w:p>
            <w:pPr>
              <w:spacing w:after="0"/>
              <w:rPr>
                <w:sz w:val="17"/>
                <w:szCs w:val="17"/>
                <w:color w:val="auto"/>
              </w:rPr>
            </w:pPr>
          </w:p>
        </w:tc>
      </w:tr>
      <w:tr>
        <w:trPr>
          <w:trHeight w:val="20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through exercise of stock options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via employee stock purchase plan</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tcPr>
          <w:p>
            <w:pPr>
              <w:spacing w:after="0"/>
              <w:rPr>
                <w:sz w:val="17"/>
                <w:szCs w:val="17"/>
                <w:color w:val="auto"/>
              </w:rPr>
            </w:pPr>
          </w:p>
        </w:tc>
      </w:tr>
      <w:tr>
        <w:trPr>
          <w:trHeight w:val="196"/>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270,153</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34,753</w:t>
            </w:r>
          </w:p>
        </w:tc>
        <w:tc>
          <w:tcPr>
            <w:tcW w:w="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right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289,910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cash equivalents, and restricted cash</w:t>
            </w: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(20,037 )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(7,929 )</w:t>
            </w:r>
          </w:p>
        </w:tc>
        <w:tc>
          <w:tcPr>
            <w:tcW w:w="3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(128,325 )</w:t>
            </w:r>
          </w:p>
        </w:tc>
      </w:tr>
      <w:tr>
        <w:trPr>
          <w:trHeight w:val="203"/>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146,443</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154,372</w:t>
            </w:r>
          </w:p>
        </w:tc>
        <w:tc>
          <w:tcPr>
            <w:tcW w:w="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right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282,697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126,406</w:t>
            </w:r>
          </w:p>
        </w:tc>
        <w:tc>
          <w:tcPr>
            <w:tcW w:w="1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146,443</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jc w:val="right"/>
              <w:ind w:right="17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154,372</w:t>
            </w:r>
          </w:p>
        </w:tc>
        <w:tc>
          <w:tcPr>
            <w:tcW w:w="100" w:type="dxa"/>
            <w:vAlign w:val="bottom"/>
          </w:tcPr>
          <w:p>
            <w:pPr>
              <w:spacing w:after="0"/>
              <w:rPr>
                <w:sz w:val="17"/>
                <w:szCs w:val="17"/>
                <w:color w:val="auto"/>
              </w:rPr>
            </w:pPr>
          </w:p>
        </w:tc>
      </w:tr>
      <w:tr>
        <w:trPr>
          <w:trHeight w:val="196"/>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2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Periodic change in additions of property and equipment within current liabilities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(1,544 )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jc w:val="right"/>
              <w:ind w:right="17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7"/>
                <w:szCs w:val="17"/>
                <w:color w:val="auto"/>
              </w:rPr>
            </w:pPr>
          </w:p>
        </w:tc>
      </w:tr>
      <w:tr>
        <w:trPr>
          <w:trHeight w:val="20"/>
        </w:trPr>
        <w:tc>
          <w:tcPr>
            <w:tcW w:w="7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Periodic change in costs to obtain license agreement within current liabilities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FF0FC"/>
              <w:right w:val="single" w:sz="8" w:color="CFF0FC"/>
            </w:tcBorders>
            <w:gridSpan w:val="2"/>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7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7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46,626</w:t>
            </w:r>
          </w:p>
        </w:tc>
        <w:tc>
          <w:tcPr>
            <w:tcW w:w="100" w:type="dxa"/>
            <w:vAlign w:val="bottom"/>
          </w:tcPr>
          <w:p>
            <w:pPr>
              <w:spacing w:after="0"/>
              <w:rPr>
                <w:sz w:val="15"/>
                <w:szCs w:val="15"/>
                <w:color w:val="auto"/>
              </w:rPr>
            </w:pPr>
          </w:p>
        </w:tc>
      </w:tr>
      <w:tr>
        <w:trPr>
          <w:trHeight w:val="20"/>
        </w:trPr>
        <w:tc>
          <w:tcPr>
            <w:tcW w:w="7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upon milestone achievement</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12,750</w:t>
            </w: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7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393"/>
        </w:trPr>
        <w:tc>
          <w:tcPr>
            <w:tcW w:w="84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from Balance Sheets to Statements of Cash Flows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7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6"/>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43"/>
        </w:trPr>
        <w:tc>
          <w:tcPr>
            <w:tcW w:w="7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76"/>
        </w:trPr>
        <w:tc>
          <w:tcPr>
            <w:tcW w:w="7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r>
      <w:tr>
        <w:trPr>
          <w:trHeight w:val="173"/>
        </w:trPr>
        <w:tc>
          <w:tcPr>
            <w:tcW w:w="7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4"/>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
        </w:trPr>
        <w:tc>
          <w:tcPr>
            <w:tcW w:w="7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124,287</w:t>
            </w:r>
          </w:p>
        </w:tc>
        <w:tc>
          <w:tcPr>
            <w:tcW w:w="30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143,736</w:t>
            </w:r>
          </w:p>
        </w:tc>
        <w:tc>
          <w:tcPr>
            <w:tcW w:w="100" w:type="dxa"/>
            <w:vAlign w:val="bottom"/>
            <w:shd w:val="clear" w:color="auto" w:fill="CFF0FC"/>
          </w:tcPr>
          <w:p>
            <w:pPr>
              <w:spacing w:after="0"/>
              <w:rPr>
                <w:sz w:val="17"/>
                <w:szCs w:val="17"/>
                <w:color w:val="auto"/>
              </w:rPr>
            </w:pPr>
          </w:p>
        </w:tc>
      </w:tr>
      <w:tr>
        <w:trPr>
          <w:trHeight w:val="20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2,119</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Pr>
          <w:p>
            <w:pPr>
              <w:spacing w:after="0"/>
              <w:rPr>
                <w:sz w:val="17"/>
                <w:szCs w:val="17"/>
                <w:color w:val="auto"/>
              </w:rPr>
            </w:pPr>
          </w:p>
        </w:tc>
      </w:tr>
      <w:tr>
        <w:trPr>
          <w:trHeight w:val="236"/>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per statements of cash flows</w:t>
            </w:r>
          </w:p>
        </w:tc>
        <w:tc>
          <w:tcPr>
            <w:tcW w:w="2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126,406</w:t>
            </w:r>
          </w:p>
        </w:tc>
        <w:tc>
          <w:tcPr>
            <w:tcW w:w="300" w:type="dxa"/>
            <w:vAlign w:val="bottom"/>
            <w:tcBorders>
              <w:bottom w:val="single" w:sz="8" w:color="CFF0FC"/>
              <w:right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38"/>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146,443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-3436620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-3436620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-2390775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-2390775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-2125345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-2125345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-1567815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-1550670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-1567815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-1550670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-1259205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-1242060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-1259205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-1242060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05" w:name="page106"/>
    <w:bookmarkEnd w:id="105"/>
    <w:p>
      <w:pPr>
        <w:jc w:val="center"/>
        <w:ind w:right="20"/>
        <w:spacing w:after="0"/>
        <w:rPr>
          <w:sz w:val="20"/>
          <w:szCs w:val="20"/>
          <w:color w:val="auto"/>
        </w:rPr>
      </w:pPr>
      <w:r>
        <w:rPr>
          <w:rFonts w:ascii="Times New Roman" w:cs="Times New Roman" w:eastAsia="Times New Roman" w:hAnsi="Times New Roman"/>
          <w:sz w:val="16"/>
          <w:szCs w:val="16"/>
          <w:color w:val="auto"/>
        </w:rPr>
        <w:t>Relay Therapeutics,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Notes to Consolidated Financial Statements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Nature of Business and Basis of Presentation</w:t>
      </w:r>
    </w:p>
    <w:p>
      <w:pPr>
        <w:spacing w:after="0" w:line="23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Relay Therapeutics, Inc. (the "Company") was incorporated in Delaware on May 4, 2015 and is headquartered in Cambridge, Massachusetts. The Company is a clinical-stage, precision medicine company transforming the drug discovery process by combining leading-edge computational and experimental technologies with the goal of bringing life-changing therapies to patients. As the Company believes it is among the first of a new breed of biotech created at the intersection of complementary techniques and technologies, the Company aims to push the boundaries of what’s possible in drug discovery. The Company’s Dynamo® platform integrates an array of leading-edge computational and experimental approaches designed to drug protein targets that have previously been intractable or inadequately addressed. The Company’s initial focus is on enhancing small molecule therapeutic discovery in targeted oncology and genetic disease indications. The Company’s lead product candidate, RLY-2608, is in clinical development. In June 2024, the Company announced three new programs, including two genetic disease programs to address clinically and commercially validated targets in vascular malformations and Fabry disease, respectively, and an NRAS-selective inhibitor for NRAS-mutated solid tumors. The Company also has four active discovery stage programs across precision oncology and genetic diseases.</w:t>
      </w:r>
    </w:p>
    <w:p>
      <w:pPr>
        <w:spacing w:after="0" w:line="18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86"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The Company has devoted substantially all of its resources to developing its product candidates by integrating its computation and experimental approaches, building its intellectual property portfolio, business planning, raising capital and providing general and administrative support for these operations.</w:t>
      </w:r>
    </w:p>
    <w:p>
      <w:pPr>
        <w:spacing w:after="0" w:line="16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The Company has incurred net operating losses since inception and had an accumulated deficit of $1.7 billion as of December 31, 2024. The Company expects its existing cash, cash equivalents, and investments as of December 31, 2024 will enable it to fund its planned operating expenses and capital expenditures for at least one year from the date of the issuance of these consolidated financial statements. The future viability of the Company is dependent on its ability to generate cash from operating activities or to raise additional capital to finance its operations. The Company’s failure to raise capital as and when needed could have a material adverse effect on its financial condition and ability to pursue its business strategies. The Company may not be able to obtain financing on acceptable terms, or at all, and the Company may not be able to enter into license or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 In the event the Company requires additional funding, there can be no assurance that it will be successful in obtaining sufficient funding on terms acceptable to the Company to fund its continuing operations, if at all.</w:t>
      </w:r>
    </w:p>
    <w:p>
      <w:pPr>
        <w:spacing w:after="0" w:line="187" w:lineRule="exact"/>
        <w:rPr>
          <w:sz w:val="20"/>
          <w:szCs w:val="20"/>
          <w:color w:val="auto"/>
        </w:rPr>
      </w:pPr>
    </w:p>
    <w:p>
      <w:pPr>
        <w:ind w:right="8900" w:firstLine="8"/>
        <w:spacing w:after="0" w:line="547" w:lineRule="auto"/>
        <w:tabs>
          <w:tab w:leader="none" w:pos="162"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Accounting Policies Basis of Presentation</w:t>
      </w:r>
    </w:p>
    <w:p>
      <w:pPr>
        <w:ind w:right="460"/>
        <w:spacing w:after="0" w:line="298"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conformity with accounting principles generally accepted in the United States of America ("GAAP") and pursuant to the rules and regulations of the U.S. Securities and Exchange Commission ("SEC") for reporting on Form 10-K.</w:t>
      </w:r>
    </w:p>
    <w:p>
      <w:pPr>
        <w:spacing w:after="0" w:line="164" w:lineRule="exact"/>
        <w:rPr>
          <w:sz w:val="20"/>
          <w:szCs w:val="20"/>
          <w:color w:val="auto"/>
        </w:rPr>
      </w:pPr>
    </w:p>
    <w:p>
      <w:pPr>
        <w:ind w:right="560"/>
        <w:spacing w:after="0" w:line="298" w:lineRule="auto"/>
        <w:rPr>
          <w:sz w:val="20"/>
          <w:szCs w:val="20"/>
          <w:color w:val="auto"/>
        </w:rPr>
      </w:pPr>
      <w:r>
        <w:rPr>
          <w:rFonts w:ascii="Times New Roman" w:cs="Times New Roman" w:eastAsia="Times New Roman" w:hAnsi="Times New Roman"/>
          <w:sz w:val="16"/>
          <w:szCs w:val="16"/>
          <w:color w:val="auto"/>
        </w:rPr>
        <w:t>The Company’s consolidated financial statements include the accounts of Relay Therapeutics, Inc. and its wholly-owned subsidiaries, Relay Therapeutics Securities Corporation and Relay ML Discovery, LLC.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intercompany balances and transactions have been eliminated.</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23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fair value of contingent milestone payments in connection with the acquisition of ZebiAI Therapeutics, Inc. ("ZebiAI") in 2021, the determination of the transaction price and standalone selling price of performance obligations under Financial Accounting Standards Board ("FASB") Accounting Standards Codification ("ASC") Topic 606, Revenue from Contracts with Customers ("ASC 606"), the accrual of research and development and manufacturing expenses, the valuation of equity instruments, and the incremental borrowing rate for determining operating lease assets and liabilities. Estimates are periodically reviewed in light of changes in circumstances, facts, and experience.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Segments</w:t>
      </w:r>
    </w:p>
    <w:p>
      <w:pPr>
        <w:spacing w:after="0" w:line="237"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In general, segments are identified as components of an enterprise or business about which separate discrete financial information is available for evaluation by the chief operating decision maker ("CODM") in making decisions on how to allocate resources and assess performance of the enterprise or business.</w:t>
      </w:r>
    </w:p>
    <w:p>
      <w:pPr>
        <w:spacing w:after="0" w:line="16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In November 2023, the FASB issued Accounting Standards Update ("ASU") 2023-07, Segment Reporting (Topic 280): Improvements to Reportable Segment Disclosures ("ASU 2023-07"), which is intended to provide enhancements to segment disclosures, even for entities with one reportable segment. In particular, the standard requires disclosure of significant segment expenses regularly (a) provided to the CODM and (b) included within each reported measure of segment profit and loss. The standard also requires disclosure of all other segment items by reportable segment and a description of its composition. Finally, the standard requires disclosure of the title and position of the CODM and an explanation of CODM uses the reported measure(s) of segment profit or loss in assessing segment performance and deciding how to allocate resources.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adopted ASU 2023-07 upon filing of this Annual Report on Form 10-K.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CODM is the President and Chief Executive Officer.</w:t>
      </w:r>
    </w:p>
    <w:p>
      <w:pPr>
        <w:spacing w:after="0" w:line="235"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The Company and the CODM view the Company's operations as one segment, which is using innovative experimental and computational approaches on protein motion for making medicines to drug protein targets that have previously been intractable or inadequately addressed.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further considerations, refer to Note 3, </w:t>
      </w:r>
      <w:r>
        <w:rPr>
          <w:rFonts w:ascii="Times New Roman" w:cs="Times New Roman" w:eastAsia="Times New Roman" w:hAnsi="Times New Roman"/>
          <w:sz w:val="16"/>
          <w:szCs w:val="16"/>
          <w:i w:val="1"/>
          <w:iCs w:val="1"/>
          <w:color w:val="auto"/>
        </w:rPr>
        <w:t>Segment Information</w:t>
      </w:r>
      <w:r>
        <w:rPr>
          <w:rFonts w:ascii="Times New Roman" w:cs="Times New Roman" w:eastAsia="Times New Roman" w:hAnsi="Times New Roman"/>
          <w:sz w:val="16"/>
          <w:szCs w:val="16"/>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Equivalents</w:t>
      </w:r>
    </w:p>
    <w:p>
      <w:pPr>
        <w:spacing w:after="0" w:line="237"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The Company considers all short-term, highly liquid investments with original maturities of 90 days or less at acquisition date to be cash equivalents. Cash equivalents, which consist of money market funds, are stated at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Cash</w:t>
      </w:r>
    </w:p>
    <w:p>
      <w:pPr>
        <w:spacing w:after="0" w:line="23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 xml:space="preserve">As of December 31, 2024 and 2023, the Company had restricted cash of $2.1 million and $2.7 million, respectively, to secure letters of credit in connection with the Company's operating leases, as detailed in Note 12, </w:t>
      </w:r>
      <w:r>
        <w:rPr>
          <w:rFonts w:ascii="Times New Roman" w:cs="Times New Roman" w:eastAsia="Times New Roman" w:hAnsi="Times New Roman"/>
          <w:sz w:val="16"/>
          <w:szCs w:val="16"/>
          <w:i w:val="1"/>
          <w:iCs w:val="1"/>
          <w:color w:val="auto"/>
        </w:rPr>
        <w:t>Operating Leases</w:t>
      </w:r>
      <w:r>
        <w:rPr>
          <w:rFonts w:ascii="Times New Roman" w:cs="Times New Roman" w:eastAsia="Times New Roman" w:hAnsi="Times New Roman"/>
          <w:sz w:val="16"/>
          <w:szCs w:val="16"/>
          <w:color w:val="auto"/>
        </w:rPr>
        <w:t>. The Company classified the restricted cash as a noncurrent asset on its consolidated balance sheets, consistent with the terms of the lease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 in marketable securities are classified as available-for-sale.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 are measured and reported at fair value using quoted prices in active markets for similar securities.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Premiums or discounts from par value are amortized to interest income over the life of the underlying investment.</w:t>
      </w:r>
    </w:p>
    <w:p>
      <w:pPr>
        <w:spacing w:after="0" w:line="23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In June 2016, the FASB issued ASU 2016-13, Financial Instruments—Credit Losses (Topic 326): Measurement of Credit Losses on Financial Instruments ("ASU 2016-13"). Certain amendments thereto were also issued by the FASB. The Company adopted ASU 2016-13, as well as the related amendments thereto, on January 1, 2022, pursuant to which the Company reviews investments whenever the fair value of an investment is less than the amortized cost and evidence indicates that an investment’s carrying amount is not recoverable within a reasonable period of time. In connection therewith, the Company evaluates whether the decline in fair value has resulted from credit losses or other factors, considering the extent to which fair value is less than amortized cost, any changes to the rating of the security by a rating agency, and adverse conditions specifically related to the security, among other factors. If the assessment indicates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12" w:right="399" w:bottom="1440" w:gutter="0" w:footer="0" w:header="0"/>
        </w:sectPr>
      </w:pPr>
    </w:p>
    <w:bookmarkStart w:id="107" w:name="page108"/>
    <w:bookmarkEnd w:id="107"/>
    <w:p>
      <w:pPr>
        <w:ind w:right="80"/>
        <w:spacing w:after="0" w:line="272" w:lineRule="auto"/>
        <w:rPr>
          <w:sz w:val="20"/>
          <w:szCs w:val="20"/>
          <w:color w:val="auto"/>
        </w:rPr>
      </w:pPr>
      <w:r>
        <w:rPr>
          <w:rFonts w:ascii="Times New Roman" w:cs="Times New Roman" w:eastAsia="Times New Roman" w:hAnsi="Times New Roman"/>
          <w:sz w:val="16"/>
          <w:szCs w:val="16"/>
          <w:color w:val="auto"/>
        </w:rPr>
        <w:t>losses is recorded on the consolidated balance sheet, limited by the amount that the fair value is less than the amortized cost basis. Any impairment not related to credit is recognized in other comprehensive loss as a separate component of stockholders' equity. Changes in the allowance for credit losses are recorded as a provision for (or reversal of) credit loss expense in general and administrative expenses within the consolidated statements of operations and comprehensive loss. Losses are charged against the allowance when the Company believes the uncollectability of an available-for-sale security is confirmed or when either of the criteria regarding intent or requirement to sell is met.</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In the event no credit losses are identified, the entire change in fair value of investments are recognized as unrealized gains and losses, which are included as a component of accumulated other income/(loss) on the consolidated balance sheets and statements of stockholders' equity, as well as a component of other comprehensive income/(loss) on the consolidated statements of operations and comprehensive loss, until realized. To the extent there are realized gains/(losses), such amounts are specifically identified and included in interest income.</w:t>
      </w:r>
    </w:p>
    <w:p>
      <w:pPr>
        <w:spacing w:after="0" w:line="183" w:lineRule="exact"/>
        <w:rPr>
          <w:sz w:val="20"/>
          <w:szCs w:val="20"/>
          <w:color w:val="auto"/>
        </w:rPr>
      </w:pPr>
    </w:p>
    <w:p>
      <w:pPr>
        <w:ind w:right="420"/>
        <w:spacing w:after="0" w:line="298" w:lineRule="auto"/>
        <w:rPr>
          <w:sz w:val="20"/>
          <w:szCs w:val="20"/>
          <w:color w:val="auto"/>
        </w:rPr>
      </w:pPr>
      <w:r>
        <w:rPr>
          <w:rFonts w:ascii="Times New Roman" w:cs="Times New Roman" w:eastAsia="Times New Roman" w:hAnsi="Times New Roman"/>
          <w:sz w:val="16"/>
          <w:szCs w:val="16"/>
          <w:color w:val="auto"/>
        </w:rPr>
        <w:t>All of the Company’s available-for-sale securities are available to the Company for use in current operations. As a result, the Company classified all such securities as current assets as of December 31, 2024 and 2023, although the stated maturity of some individual securities may be one year or more beyond the balance sheet dates.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 of Credit Risk and Significant Suppliers</w:t>
      </w:r>
    </w:p>
    <w:p>
      <w:pPr>
        <w:spacing w:after="0" w:line="23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Financial instruments that potentially expose the Company to concentrations of credit risk consist primarily of cash, cash equivalents, and investments. From time to time, the Company has maintained all of its cash, cash equivalents, and investments at certain accredited financial institutions in amounts that exceed federally insured limits. The Company generally invests its excess capital in money market funds, U.S. treasury bonds, U.S. treasury bills, and agency bonds, all of which are subject to minimal credit and market risk. Management has established guidelines relative to credit ratings and maturities intended to safeguard principal balances and maintain liquidity. The investment portfolio is maintained in accordance with the Company’s investment policy, which defines allowable investments, specifies credit quality standards, and limits the credit exposure of any single issuer.</w:t>
      </w:r>
    </w:p>
    <w:p>
      <w:pPr>
        <w:spacing w:after="0" w:line="18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 xml:space="preserve">The Company is dependent on third-party suppliers for research and development activities of its programs, including preclinical and clinical testing. In particular, the Company relies and expects to continue to rely on a small number of these suppliers, as discussed in Note 11,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to meet its requirements for certain of its programs. These programs could be adversely affected by a significant interruption in preclinical and clinical testing, as well as the supply of active pharmaceutical ingredients and formulated drugs.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Measurements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assets and liabilities are carried at fair value under GAAP.</w:t>
      </w:r>
    </w:p>
    <w:p>
      <w:pPr>
        <w:spacing w:after="0" w:line="235"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77" w:lineRule="exact"/>
        <w:rPr>
          <w:sz w:val="20"/>
          <w:szCs w:val="20"/>
          <w:color w:val="auto"/>
        </w:rPr>
      </w:pPr>
    </w:p>
    <w:p>
      <w:pPr>
        <w:ind w:left="380" w:hanging="372"/>
        <w:spacing w:after="0"/>
        <w:tabs>
          <w:tab w:leader="none" w:pos="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1—Quoted prices in active markets for identical assets or liabilities.</w:t>
      </w:r>
    </w:p>
    <w:p>
      <w:pPr>
        <w:spacing w:after="0" w:line="234" w:lineRule="exact"/>
        <w:rPr>
          <w:rFonts w:ascii="Times New Roman" w:cs="Times New Roman" w:eastAsia="Times New Roman" w:hAnsi="Times New Roman"/>
          <w:sz w:val="16"/>
          <w:szCs w:val="16"/>
          <w:color w:val="auto"/>
        </w:rPr>
      </w:pPr>
    </w:p>
    <w:p>
      <w:pPr>
        <w:ind w:left="380" w:right="20" w:hanging="372"/>
        <w:spacing w:after="0" w:line="298" w:lineRule="auto"/>
        <w:tabs>
          <w:tab w:leader="none" w:pos="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64" w:lineRule="exact"/>
        <w:rPr>
          <w:rFonts w:ascii="Times New Roman" w:cs="Times New Roman" w:eastAsia="Times New Roman" w:hAnsi="Times New Roman"/>
          <w:sz w:val="16"/>
          <w:szCs w:val="16"/>
          <w:color w:val="auto"/>
        </w:rPr>
      </w:pPr>
    </w:p>
    <w:p>
      <w:pPr>
        <w:ind w:left="380" w:right="620" w:hanging="372"/>
        <w:spacing w:after="0" w:line="298" w:lineRule="auto"/>
        <w:tabs>
          <w:tab w:leader="none" w:pos="3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23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Depreciation is recognized using the straight-line method over the useful life of the asset. Laboratory and computer equipment are depreciated over three years. Furniture and fixtures are depreciated over five years. Leasehold improvements are amortized over the shorter of the lease term or the estimated useful life of the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color w:val="auto"/>
        </w:rPr>
        <w:t>Property and equipment, net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5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r>
      <w:tr>
        <w:trPr>
          <w:trHeight w:val="173"/>
        </w:trPr>
        <w:tc>
          <w:tcPr>
            <w:tcW w:w="6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60" w:type="dxa"/>
            <w:vAlign w:val="bottom"/>
            <w:gridSpan w:val="3"/>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
        </w:trPr>
        <w:tc>
          <w:tcPr>
            <w:tcW w:w="6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5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Laboratory equipment</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27,407</w:t>
            </w:r>
          </w:p>
        </w:tc>
        <w:tc>
          <w:tcPr>
            <w:tcW w:w="380" w:type="dxa"/>
            <w:vAlign w:val="bottom"/>
          </w:tcPr>
          <w:p>
            <w:pPr>
              <w:spacing w:after="0"/>
              <w:rPr>
                <w:sz w:val="17"/>
                <w:szCs w:val="17"/>
                <w:color w:val="auto"/>
              </w:rPr>
            </w:pP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25,558</w:t>
            </w:r>
          </w:p>
        </w:tc>
        <w:tc>
          <w:tcPr>
            <w:tcW w:w="100" w:type="dxa"/>
            <w:vAlign w:val="bottom"/>
          </w:tcPr>
          <w:p>
            <w:pPr>
              <w:spacing w:after="0"/>
              <w:rPr>
                <w:sz w:val="17"/>
                <w:szCs w:val="17"/>
                <w:color w:val="auto"/>
              </w:rPr>
            </w:pPr>
          </w:p>
        </w:tc>
      </w:tr>
      <w:tr>
        <w:trPr>
          <w:trHeight w:val="203"/>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Leasehold improvements</w:t>
            </w:r>
          </w:p>
        </w:tc>
        <w:tc>
          <w:tcPr>
            <w:tcW w:w="5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3,825</w:t>
            </w:r>
          </w:p>
        </w:tc>
        <w:tc>
          <w:tcPr>
            <w:tcW w:w="3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3,826</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Computer equipment</w:t>
            </w:r>
          </w:p>
        </w:tc>
        <w:tc>
          <w:tcPr>
            <w:tcW w:w="5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00" w:type="dxa"/>
            <w:vAlign w:val="bottom"/>
          </w:tcPr>
          <w:p>
            <w:pPr>
              <w:spacing w:after="0"/>
              <w:rPr>
                <w:sz w:val="17"/>
                <w:szCs w:val="17"/>
                <w:color w:val="auto"/>
              </w:rPr>
            </w:pPr>
          </w:p>
        </w:tc>
      </w:tr>
      <w:tr>
        <w:trPr>
          <w:trHeight w:val="203"/>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Furniture and fixtures</w:t>
            </w:r>
          </w:p>
        </w:tc>
        <w:tc>
          <w:tcPr>
            <w:tcW w:w="5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3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Construction in process</w:t>
            </w: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3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00" w:type="dxa"/>
            <w:vAlign w:val="bottom"/>
          </w:tcPr>
          <w:p>
            <w:pPr>
              <w:spacing w:after="0"/>
              <w:rPr>
                <w:sz w:val="17"/>
                <w:szCs w:val="17"/>
                <w:color w:val="auto"/>
              </w:rPr>
            </w:pPr>
          </w:p>
        </w:tc>
      </w:tr>
      <w:tr>
        <w:trPr>
          <w:trHeight w:val="196"/>
        </w:trPr>
        <w:tc>
          <w:tcPr>
            <w:tcW w:w="65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34,823</w:t>
            </w:r>
          </w:p>
        </w:tc>
        <w:tc>
          <w:tcPr>
            <w:tcW w:w="3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34,483</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520" w:type="dxa"/>
            <w:vAlign w:val="bottom"/>
          </w:tcPr>
          <w:p>
            <w:pPr>
              <w:spacing w:after="0"/>
              <w:rPr>
                <w:sz w:val="17"/>
                <w:szCs w:val="17"/>
                <w:color w:val="auto"/>
              </w:rPr>
            </w:pP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(28,912 )</w:t>
            </w:r>
          </w:p>
        </w:tc>
        <w:tc>
          <w:tcPr>
            <w:tcW w:w="560" w:type="dxa"/>
            <w:vAlign w:val="bottom"/>
          </w:tcPr>
          <w:p>
            <w:pPr>
              <w:spacing w:after="0"/>
              <w:rPr>
                <w:sz w:val="17"/>
                <w:szCs w:val="17"/>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(23,582 )</w:t>
            </w:r>
          </w:p>
        </w:tc>
      </w:tr>
      <w:tr>
        <w:trPr>
          <w:trHeight w:val="236"/>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520" w:type="dxa"/>
            <w:vAlign w:val="bottom"/>
            <w:tcBorders>
              <w:top w:val="single" w:sz="8" w:color="auto"/>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38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768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23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The Company continually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the assets are expected to generate. If such assets are considered to be impaired, the impairment to be recognized is measured in an amount by which the book values of the assets exceed their fair value. The Company did not recognize any impairment losses for the years ended December 31, 2024, 2023, and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237"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In general, research and development expenses include salaries, stock compensation and benefits of employees, third-party license fees, and other operational costs incurred in connection with the Company’s research and development activities, including allocated facility expenses and external costs of outside vendors engaged to conduct both preclinical studies and clinical trials.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8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The Company expenses research and development costs as incurred. When evaluating the adequacy of expense recognized, particularly from services performed by external third parties, the Company analyzes progress of the services, including the phase or completion of events, invoices received, and contracted costs. Judgments and estimates are made in determining the expense recognized and the related prepaid or accrued balances at the end of any reporting period. Actual results could differ from the Company’s estimates. The Company’s historical estimates have not been materially different from the actual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Patent Costs</w:t>
      </w:r>
    </w:p>
    <w:p>
      <w:pPr>
        <w:spacing w:after="0" w:line="237"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6"/>
          <w:szCs w:val="16"/>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Compensation</w:t>
      </w:r>
    </w:p>
    <w:p>
      <w:pPr>
        <w:spacing w:after="0" w:line="23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For stock options and restricted stock units ("RSUs") granted to employees, directors, and other consultants with vesting over specified periods of continued service, the Company measures their fair value on the grant date using (a) the Black-Scholes Option Pricing Model for stock options and (b) the Company’s closing stock price on such date for RSUs. In connection therewith, compensation expense for such awards is recognized under the straight-line method over the requisite service period, which is generally the vesting period. The Company recognizes the impact of forfeitures on compensation expense as they occur.</w:t>
      </w:r>
    </w:p>
    <w:p>
      <w:pPr>
        <w:spacing w:after="0" w:line="183"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6"/>
          <w:szCs w:val="16"/>
          <w:color w:val="auto"/>
        </w:rPr>
        <w:t>For stock options and RSUs granted to employees, directors, and other consultants with vesting over specified periods of continued service and contingent upon achievement of certain performance conditions, the Company measures their fair value on the grant date using (a) the Black-Scholes Option Pricing Model for stock options and (b) the Company’s closing stock price on such date for RSUs. In connection therewith, compensation expense for such awards is recognized under the accelerated attribution method over the requisite service period, which is generally the vesting period. The Company recognizes the impact of forfeitures on compensation expense as they occur.</w:t>
      </w:r>
    </w:p>
    <w:p>
      <w:pPr>
        <w:spacing w:after="0" w:line="388"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For stock options and RSUs granted to employees, directors, and other consultants with vesting over specified periods of continued service and contingent upon achievement of certain market conditions, the Company measures their fair value on the grant date using a Monte Carlo Simulation, incorporating various option pricing inputs. In connection therewith, compensation expense for such awards is recognized under the accelerated attribution method over the derived service period or requisite service period, whichever is longer, regardless of whether the market conditions have been achieved. The Company recognizes the impact of forfeitures on compensation expense as they occur.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23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Company accounts for revenue recognition in accordance with ASC 606, pursuant to which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at contract inception: (i) identify the contract(s) with customer(s); (ii) identify the performance obligation(s) in the contract(s); (iii) determine the transaction price; (iv) allocate the transaction price to the performance obligation(s) in the contract(s); and (v) recognize revenue when (or as) the entity satisfies a performance obligation.</w:t>
      </w:r>
    </w:p>
    <w:p>
      <w:pPr>
        <w:spacing w:after="0" w:line="18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Once the contract is determined to be within the scope of ASC 606, the Company assesses the goods or services promised within the contract and determines those that are performance obligations at contract inception. The Company then determines the transaction price and allocates it to the performance obligations. As part of the accounting for such arrangements, the Company must use judgment to determine: (a) the number of performance obligations based on the determination under step (ii) above; (b) the transaction price under step (iii) above, including the determination of whether milestones or other variable consideration should be included in the transaction price; and (c) the stand-alone selling price for each performance obligation identified in the contract for the allocation of the transaction price in step (iv) above.</w:t>
      </w:r>
    </w:p>
    <w:p>
      <w:pPr>
        <w:spacing w:after="0" w:line="18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6"/>
          <w:szCs w:val="16"/>
          <w:color w:val="auto"/>
        </w:rPr>
        <w:t>The Company utilizes key assumptions and judgments in (a) determining the stand-alone selling price for each performance obligation, which may include discounted cash flow models, evaluation of comparable transactions, and pricing considered in negotiating the transaction and estimated costs, and (b) determining how the transaction price is allocated amongst the performance obligations. The Company also uses judgment to determine whether milestones or other variable consideration should be included in the transaction price. As part of management’s evaluation of the transaction price, the Company considers numerous factors, including whether the achievement of the milestones is outside of the Company's control, contingent upon the efforts of others, or subject to scientific risks of success. If the Company concludes it is probable that a significant revenue reversal would not occur, the associated milestone payment is included in the transaction price. Milestone payments that are not within the Company's control, such as regulatory approvals, are generally not considered probable until those milestones are achieved. The Company re-evaluates the transaction price, including estimated variable consideration included in the transaction price and all constrained amounts, in each reporting period and as uncertain events are resolved or other changes in circumstances occur. For revenue-based royalties, including milestone payments based on the level of sales, the Company will include royalties in the transaction price at the later of (i) when the related sales occur, or (ii) when the performance obligation to which some or all of the royalty is allocated has been satisfied (or partially satisfied).</w:t>
      </w:r>
    </w:p>
    <w:p>
      <w:pPr>
        <w:spacing w:after="0" w:line="19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6"/>
          <w:szCs w:val="16"/>
          <w:color w:val="auto"/>
        </w:rPr>
        <w:t>Once the performance obligations are identified, the transaction price is allocated to each performance obligation based on the relative stand-alone selling price. The Company then recognizes as revenue the amount of the transaction price allocated to the respective performance obligation when (or as) it is satisfied, either at a point in time or over time. If the performance obligation is satisfied over time, the Company recognizes revenue based on the use of either an output or input method.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Assets and Liabilities</w:t>
      </w:r>
    </w:p>
    <w:p>
      <w:pPr>
        <w:spacing w:after="0" w:line="23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In general, a contract asset is an entity's right to consideration in exchange for goods or services the entity has transferred to a customer when the right is conditioned on something besides the passage of time. The Company recognizes a contract asset when it transfers goods or services to a customer before the customer pays consideration and/or before payment is due, excluding any amounts presented as a receivable. The Company also assesses contract assets for credit losses.</w:t>
      </w:r>
    </w:p>
    <w:p>
      <w:pPr>
        <w:spacing w:after="0" w:line="177"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 general, a contract liability, or deferred revenue, primarily relates to amounts for which an entity has received payment or has the unconditional right to receive payment in the future, but has not yet satisfied the related performance obligations. The Company records such payments or consideration due as deferred revenue and until it satisfies the performance obligations under such arrangements. In connection therewith, upfront payments from the Company's licensing agreements do not represent financing, as the payment is not funding the transfer of good or services and the technology under the licenses granted reflects research and development expenses already incurred.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23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Pursuant to ASC Topic 842, Leases ("ASC 842"), the Company determines if an arrangement is or contains a lease at inception. For leases with a term of 12 months or less, the Company does not recognize a right-of-use asset or lease liability. The Company’s operating leases are recognized on its consolidated balance sheets as other noncurrent assets, other current liabilities, and other noncurrent liabilities. The Company does not have any finance leases.</w:t>
      </w:r>
    </w:p>
    <w:p>
      <w:pPr>
        <w:spacing w:after="0" w:line="17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As the Company’s leases typically do not provide an implicit rate, the Company uses an estimate of its incremental borrowing rate based on the information available at lease commencement in determining the present value of lease payments. Operating lease right-of-use assets also include the effect of any lease payments made prior to commencement and exclude lease incentives. The lease terms may include options to extend or terminate the lease when it is reasonably certain that the Company will exercise that option. Lease expense is recognized on a straight-line basis over the lease term.</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2"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color w:val="auto"/>
        </w:rPr>
        <w:t>The Company has lease agreements with lease and non-lease components, which are accounted for as a combined element.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p>
      <w:pPr>
        <w:spacing w:after="0" w:line="23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Comprehensive loss includes net loss, as well as other changes in stockholders’ equity resulting from transactions and economic events other than those with stockholders. For the years ended December 31, 2024, 2023, and 2022, other comprehensive income (loss) consisted of changes in unrealized gains and losses from available-for-sale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Loss per Common Share</w:t>
      </w:r>
    </w:p>
    <w:p>
      <w:pPr>
        <w:spacing w:after="0" w:line="237"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6"/>
          <w:szCs w:val="16"/>
          <w:color w:val="auto"/>
        </w:rPr>
        <w:t>Basic net loss per share is computed using the weighted-average number of common shares outstanding during the period. Diluted net loss per share is computed using the sum of the weighted-average number of common shares outstanding during the period and the effect of any dilutive securities. For periods in which the Company reports a net loss, diluted net loss per share is the same as basic net loss per share, since dilutive common shares are not assumed to have been issued if their effect is anti-dilutive.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For additional discussion of net loss per common share, please refer to Note 9, </w:t>
      </w:r>
      <w:r>
        <w:rPr>
          <w:rFonts w:ascii="Times New Roman" w:cs="Times New Roman" w:eastAsia="Times New Roman" w:hAnsi="Times New Roman"/>
          <w:sz w:val="16"/>
          <w:szCs w:val="16"/>
          <w:i w:val="1"/>
          <w:iCs w:val="1"/>
          <w:color w:val="auto"/>
        </w:rPr>
        <w:t>Net Loss per Share.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23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The Company recognizes deferred tax assets and liabilities for the expected future tax consequences of events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8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The Company accounts for uncertainty in income taxes recognized in the financial statements by applying a two-step process to determine the amount of tax benefit to be recognized. The tax position first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Adopted Accounting Pronouncements</w:t>
      </w:r>
    </w:p>
    <w:p>
      <w:pPr>
        <w:spacing w:after="0" w:line="23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As noted above, the Company adopted (a) ASU 2016-13, as well as the related amendments thereto, on January 1, 2022 and (b) ASU 2023-07 upon filing of this Annual Report on Form 10-K. The adoption of the standards noted did not have a material impact on the Company's consolidated financial statements or disclosures, except as otherwise noted.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 Not Yet Adopted</w:t>
      </w:r>
    </w:p>
    <w:p>
      <w:pPr>
        <w:spacing w:after="0" w:line="23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Improvements to Income Tax Disclosures, which is intended to provide enhancements to annual income tax disclosures. In particular, the standard will require more detailed information in the income tax rate reconciliation, as well as the disclosure of income taxes paid disaggregated by jurisdiction, among other enhancements. The standard is effective for years beginning after December 15, 2024 and early adoption is permitted. The Company is currently evaluating the impact of the standard on the presentation of its consolidated financial statements and footnotes.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Segment Information</w:t>
      </w:r>
    </w:p>
    <w:p>
      <w:pPr>
        <w:spacing w:after="0" w:line="235"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6"/>
          <w:szCs w:val="16"/>
          <w:color w:val="auto"/>
        </w:rPr>
        <w:t xml:space="preserve">As summarized in Note 2, </w:t>
      </w:r>
      <w:r>
        <w:rPr>
          <w:rFonts w:ascii="Times New Roman" w:cs="Times New Roman" w:eastAsia="Times New Roman" w:hAnsi="Times New Roman"/>
          <w:sz w:val="16"/>
          <w:szCs w:val="16"/>
          <w:i w:val="1"/>
          <w:iCs w:val="1"/>
          <w:color w:val="auto"/>
        </w:rPr>
        <w:t>Significant Accounting Policies</w:t>
      </w:r>
      <w:r>
        <w:rPr>
          <w:rFonts w:ascii="Times New Roman" w:cs="Times New Roman" w:eastAsia="Times New Roman" w:hAnsi="Times New Roman"/>
          <w:sz w:val="16"/>
          <w:szCs w:val="16"/>
          <w:color w:val="auto"/>
        </w:rPr>
        <w:t>, the Company’s CODM is the President and Chief Executive Officer and the Company views its operations as one segment, which is using innovative experimental and computational approaches on protein motion for making medicines to drug protein targets that have previously been intractable or inadequately addressed. The factors used in determining the Company’s segments include the nature of the Company’s operating activities, the organizational and reporting structure, and the type of information provided to and reviewed by the Company’s CODM to allocate resources and evaluate financial performance.</w:t>
      </w:r>
    </w:p>
    <w:p>
      <w:pPr>
        <w:spacing w:after="0" w:line="184"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The measure of segment assets is reported on the Company’s consolidated balance sheets as total consolidated assets. The Company only operates in the United States and all tangible assets, consisting of property and equipment and operating lease right-of-use assets, are held in the United States.</w:t>
      </w:r>
    </w:p>
    <w:p>
      <w:pPr>
        <w:spacing w:after="0" w:line="164"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The Company’s CODM uses consolidated net loss to evaluate the Company’s expenditures and monitor budget-to-actual results. In connection therewith, the review of budget-to-actual results is used in assessing performance of the Company’s one operating segment, as well as in establishing resource allocations across the Company.</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14" w:right="4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color w:val="auto"/>
        </w:rPr>
        <w:t>The following tables illustrates information about segment revenue, significant segment expenses, and segment net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License and other revenue</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40"/>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00"/>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400" w:type="dxa"/>
            <w:vAlign w:val="bottom"/>
            <w:vMerge w:val="continue"/>
          </w:tcPr>
          <w:p>
            <w:pPr>
              <w:spacing w:after="0"/>
              <w:rPr>
                <w:sz w:val="17"/>
                <w:szCs w:val="17"/>
                <w:color w:val="auto"/>
              </w:rPr>
            </w:pPr>
          </w:p>
        </w:tc>
        <w:tc>
          <w:tcPr>
            <w:tcW w:w="840" w:type="dxa"/>
            <w:vAlign w:val="bottom"/>
          </w:tcPr>
          <w:p>
            <w:pPr>
              <w:jc w:val="right"/>
              <w:ind w:right="684"/>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10,007</w:t>
            </w:r>
          </w:p>
        </w:tc>
        <w:tc>
          <w:tcPr>
            <w:tcW w:w="22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25,546</w:t>
            </w:r>
          </w:p>
        </w:tc>
        <w:tc>
          <w:tcPr>
            <w:tcW w:w="2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8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External costs for programs in clinical trials</w:t>
            </w:r>
          </w:p>
        </w:tc>
        <w:tc>
          <w:tcPr>
            <w:tcW w:w="840" w:type="dxa"/>
            <w:vAlign w:val="bottom"/>
            <w:shd w:val="clear" w:color="auto" w:fill="CFF0FC"/>
          </w:tcPr>
          <w:p>
            <w:pPr>
              <w:jc w:val="right"/>
              <w:ind w:right="684"/>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92,096</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101,055</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External costs for platform technologies and preclinical programs</w:t>
            </w: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76,392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76,471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Employee related expenses (1)</w:t>
            </w:r>
          </w:p>
        </w:tc>
        <w:tc>
          <w:tcPr>
            <w:tcW w:w="8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71,979</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77,120</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expenses</w:t>
            </w: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 expenses (2)</w:t>
            </w:r>
          </w:p>
        </w:tc>
        <w:tc>
          <w:tcPr>
            <w:tcW w:w="8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33,309</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36,510</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segment expenses (income)</w:t>
            </w: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 expense</w:t>
            </w:r>
          </w:p>
        </w:tc>
        <w:tc>
          <w:tcPr>
            <w:tcW w:w="8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94,139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 in fair value of contingent consideration liability</w:t>
            </w:r>
          </w:p>
        </w:tc>
        <w:tc>
          <w:tcPr>
            <w:tcW w:w="8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(13,206 )</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(6,422 )</w:t>
            </w:r>
          </w:p>
        </w:tc>
        <w:tc>
          <w:tcPr>
            <w:tcW w:w="3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(11,677 )</w:t>
            </w:r>
          </w:p>
        </w:tc>
        <w:tc>
          <w:tcPr>
            <w:tcW w:w="0" w:type="dxa"/>
            <w:vAlign w:val="bottom"/>
          </w:tcPr>
          <w:p>
            <w:pPr>
              <w:spacing w:after="0"/>
              <w:rPr>
                <w:sz w:val="1"/>
                <w:szCs w:val="1"/>
                <w:color w:val="auto"/>
              </w:rPr>
            </w:pPr>
          </w:p>
        </w:tc>
      </w:tr>
      <w:tr>
        <w:trPr>
          <w:trHeight w:val="203"/>
        </w:trPr>
        <w:tc>
          <w:tcPr>
            <w:tcW w:w="6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income</w:t>
            </w:r>
          </w:p>
        </w:tc>
        <w:tc>
          <w:tcPr>
            <w:tcW w:w="8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(34,746 )</w:t>
            </w:r>
          </w:p>
        </w:tc>
        <w:tc>
          <w:tcPr>
            <w:tcW w:w="34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(31,045 )</w:t>
            </w:r>
          </w:p>
        </w:tc>
        <w:tc>
          <w:tcPr>
            <w:tcW w:w="3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(8,786 )</w:t>
            </w:r>
          </w:p>
        </w:tc>
        <w:tc>
          <w:tcPr>
            <w:tcW w:w="0" w:type="dxa"/>
            <w:vAlign w:val="bottom"/>
          </w:tcPr>
          <w:p>
            <w:pPr>
              <w:spacing w:after="0"/>
              <w:rPr>
                <w:sz w:val="1"/>
                <w:szCs w:val="1"/>
                <w:color w:val="auto"/>
              </w:rPr>
            </w:pPr>
          </w:p>
        </w:tc>
      </w:tr>
      <w:tr>
        <w:trPr>
          <w:trHeight w:val="203"/>
        </w:trPr>
        <w:tc>
          <w:tcPr>
            <w:tcW w:w="6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(income) expense</w:t>
            </w:r>
          </w:p>
        </w:tc>
        <w:tc>
          <w:tcPr>
            <w:tcW w:w="8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(14 )</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net loss</w:t>
            </w:r>
          </w:p>
        </w:tc>
        <w:tc>
          <w:tcPr>
            <w:tcW w:w="8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5"/>
              </w:rPr>
              <w:t>(337,708 )</w:t>
            </w:r>
          </w:p>
        </w:tc>
        <w:tc>
          <w:tcPr>
            <w:tcW w:w="34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(341,973 )</w:t>
            </w:r>
          </w:p>
        </w:tc>
        <w:tc>
          <w:tcPr>
            <w:tcW w:w="3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(290,509 )</w:t>
            </w:r>
          </w:p>
        </w:tc>
        <w:tc>
          <w:tcPr>
            <w:tcW w:w="0" w:type="dxa"/>
            <w:vAlign w:val="bottom"/>
          </w:tcPr>
          <w:p>
            <w:pPr>
              <w:spacing w:after="0"/>
              <w:rPr>
                <w:sz w:val="1"/>
                <w:szCs w:val="1"/>
                <w:color w:val="auto"/>
              </w:rPr>
            </w:pPr>
          </w:p>
        </w:tc>
      </w:tr>
      <w:tr>
        <w:trPr>
          <w:trHeight w:val="19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Reconciliation to consolidated net loss:</w:t>
            </w:r>
          </w:p>
        </w:tc>
        <w:tc>
          <w:tcPr>
            <w:tcW w:w="8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or reconciling items</w:t>
            </w:r>
          </w:p>
        </w:tc>
        <w:tc>
          <w:tcPr>
            <w:tcW w:w="8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Consolidated net loss</w:t>
            </w:r>
          </w:p>
        </w:tc>
        <w:tc>
          <w:tcPr>
            <w:tcW w:w="840" w:type="dxa"/>
            <w:vAlign w:val="bottom"/>
            <w:shd w:val="clear" w:color="auto" w:fill="CFF0FC"/>
          </w:tcPr>
          <w:p>
            <w:pPr>
              <w:jc w:val="right"/>
              <w:ind w:right="68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5"/>
              </w:rPr>
              <w:t>(337,708 )</w:t>
            </w: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(341,973 )</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(290,509 )</w:t>
            </w: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-565150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-565150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expense categories and amounts in the table above align with the segment-level information regularly provided to the CODM.</w:t>
      </w:r>
    </w:p>
    <w:p>
      <w:pPr>
        <w:spacing w:after="0" w:line="233" w:lineRule="exact"/>
        <w:rPr>
          <w:sz w:val="20"/>
          <w:szCs w:val="20"/>
          <w:color w:val="auto"/>
        </w:rPr>
      </w:pPr>
    </w:p>
    <w:p>
      <w:pPr>
        <w:ind w:left="240" w:hanging="232"/>
        <w:spacing w:after="0"/>
        <w:tabs>
          <w:tab w:leader="none" w:pos="2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"Employee related expenses" excludes stock compensation expense, which is summarized in Note 8, </w:t>
      </w:r>
      <w:r>
        <w:rPr>
          <w:rFonts w:ascii="Times New Roman" w:cs="Times New Roman" w:eastAsia="Times New Roman" w:hAnsi="Times New Roman"/>
          <w:sz w:val="16"/>
          <w:szCs w:val="16"/>
          <w:i w:val="1"/>
          <w:iCs w:val="1"/>
          <w:color w:val="auto"/>
        </w:rPr>
        <w:t>Stock Compensation</w:t>
      </w:r>
      <w:r>
        <w:rPr>
          <w:rFonts w:ascii="Times New Roman" w:cs="Times New Roman" w:eastAsia="Times New Roman" w:hAnsi="Times New Roman"/>
          <w:sz w:val="16"/>
          <w:szCs w:val="16"/>
          <w:color w:val="auto"/>
        </w:rPr>
        <w:t>.</w:t>
      </w:r>
    </w:p>
    <w:p>
      <w:pPr>
        <w:spacing w:after="0" w:line="234"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"General and administrative expenses" excludes stock compensation expense, which is summarized in Note 8, </w:t>
      </w:r>
      <w:r>
        <w:rPr>
          <w:rFonts w:ascii="Times New Roman" w:cs="Times New Roman" w:eastAsia="Times New Roman" w:hAnsi="Times New Roman"/>
          <w:sz w:val="16"/>
          <w:szCs w:val="16"/>
          <w:i w:val="1"/>
          <w:iCs w:val="1"/>
          <w:color w:val="auto"/>
        </w:rPr>
        <w:t>Stock Compensation</w:t>
      </w:r>
      <w:r>
        <w:rPr>
          <w:rFonts w:ascii="Times New Roman" w:cs="Times New Roman" w:eastAsia="Times New Roman" w:hAnsi="Times New Roman"/>
          <w:sz w:val="16"/>
          <w:szCs w:val="16"/>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Fair Value Measurements</w:t>
      </w:r>
    </w:p>
    <w:p>
      <w:pPr>
        <w:spacing w:after="0" w:line="237"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The following tables present information about the Company’s financial assets and liabilities measured at fair value on a recurring basis and indicate the level of the fair value hierarchy utilized to determine such fair values: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3"/>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Fair Value Measurements as of</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5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8"/>
        </w:trPr>
        <w:tc>
          <w:tcPr>
            <w:tcW w:w="58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81"/>
              <w:spacing w:after="0" w:line="129"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05"/>
              <w:spacing w:after="0" w:line="129" w:lineRule="exact"/>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1"/>
                <w:szCs w:val="11"/>
                <w:color w:val="auto"/>
              </w:rPr>
            </w:pPr>
          </w:p>
        </w:tc>
        <w:tc>
          <w:tcPr>
            <w:tcW w:w="88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61"/>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r>
      <w:tr>
        <w:trPr>
          <w:trHeight w:val="129"/>
        </w:trPr>
        <w:tc>
          <w:tcPr>
            <w:tcW w:w="5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45"/>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1120" w:type="dxa"/>
            <w:vAlign w:val="bottom"/>
            <w:gridSpan w:val="2"/>
          </w:tcPr>
          <w:p>
            <w:pPr>
              <w:jc w:val="right"/>
              <w:ind w:right="548"/>
              <w:spacing w:after="0" w:line="129"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122,128</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5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122,128</w:t>
            </w:r>
          </w:p>
        </w:tc>
        <w:tc>
          <w:tcPr>
            <w:tcW w:w="120" w:type="dxa"/>
            <w:vAlign w:val="bottom"/>
            <w:shd w:val="clear" w:color="auto" w:fill="CFF0FC"/>
          </w:tcPr>
          <w:p>
            <w:pPr>
              <w:spacing w:after="0"/>
              <w:rPr>
                <w:sz w:val="17"/>
                <w:szCs w:val="17"/>
                <w:color w:val="auto"/>
              </w:rPr>
            </w:pP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equivalents</w:t>
            </w: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122,128</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122,128</w:t>
            </w:r>
          </w:p>
        </w:tc>
        <w:tc>
          <w:tcPr>
            <w:tcW w:w="120" w:type="dxa"/>
            <w:vAlign w:val="bottom"/>
          </w:tcPr>
          <w:p>
            <w:pPr>
              <w:spacing w:after="0"/>
              <w:rPr>
                <w:sz w:val="17"/>
                <w:szCs w:val="17"/>
                <w:color w:val="auto"/>
              </w:rPr>
            </w:pP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U.S. treasury bills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564,083</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564,083</w:t>
            </w:r>
          </w:p>
        </w:tc>
        <w:tc>
          <w:tcPr>
            <w:tcW w:w="120" w:type="dxa"/>
            <w:vAlign w:val="bottom"/>
          </w:tcPr>
          <w:p>
            <w:pPr>
              <w:spacing w:after="0"/>
              <w:rPr>
                <w:sz w:val="17"/>
                <w:szCs w:val="17"/>
                <w:color w:val="auto"/>
              </w:rPr>
            </w:pPr>
          </w:p>
        </w:tc>
      </w:tr>
      <w:tr>
        <w:trPr>
          <w:trHeight w:val="20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agency securities</w:t>
            </w: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92,953</w:t>
            </w:r>
          </w:p>
        </w:tc>
        <w:tc>
          <w:tcPr>
            <w:tcW w:w="2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92,953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657,036</w:t>
            </w:r>
          </w:p>
        </w:tc>
        <w:tc>
          <w:tcPr>
            <w:tcW w:w="2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657,036</w:t>
            </w:r>
          </w:p>
        </w:tc>
        <w:tc>
          <w:tcPr>
            <w:tcW w:w="120" w:type="dxa"/>
            <w:vAlign w:val="bottom"/>
          </w:tcPr>
          <w:p>
            <w:pPr>
              <w:spacing w:after="0"/>
              <w:rPr>
                <w:sz w:val="17"/>
                <w:szCs w:val="17"/>
                <w:color w:val="auto"/>
              </w:rPr>
            </w:pPr>
          </w:p>
        </w:tc>
      </w:tr>
      <w:tr>
        <w:trPr>
          <w:trHeight w:val="23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122,128</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657,036</w:t>
            </w:r>
          </w:p>
        </w:tc>
        <w:tc>
          <w:tcPr>
            <w:tcW w:w="11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5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779,164</w:t>
            </w:r>
          </w:p>
        </w:tc>
        <w:tc>
          <w:tcPr>
            <w:tcW w:w="120" w:type="dxa"/>
            <w:vAlign w:val="bottom"/>
            <w:shd w:val="clear" w:color="auto" w:fill="CFF0FC"/>
          </w:tcPr>
          <w:p>
            <w:pPr>
              <w:spacing w:after="0"/>
              <w:rPr>
                <w:sz w:val="20"/>
                <w:szCs w:val="20"/>
                <w:color w:val="auto"/>
              </w:rPr>
            </w:pPr>
          </w:p>
        </w:tc>
      </w:tr>
      <w:tr>
        <w:trPr>
          <w:trHeight w:val="183"/>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20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Contingent Milestone Payments</w:t>
            </w: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708"/>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70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87"/>
              </w:rPr>
              <w:t>—</w:t>
            </w:r>
          </w:p>
        </w:tc>
        <w:tc>
          <w:tcPr>
            <w:tcW w:w="5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-1263650</wp:posOffset>
            </wp:positionV>
            <wp:extent cx="93980"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-1263650</wp:posOffset>
            </wp:positionV>
            <wp:extent cx="9398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6164580</wp:posOffset>
            </wp:positionH>
            <wp:positionV relativeFrom="paragraph">
              <wp:posOffset>-1263650</wp:posOffset>
            </wp:positionV>
            <wp:extent cx="9398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-1263650</wp:posOffset>
            </wp:positionV>
            <wp:extent cx="102870"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-719455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-719455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-719455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-719455</wp:posOffset>
            </wp:positionV>
            <wp:extent cx="774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-445135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-427990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-445135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-427990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-445135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-427990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-445135</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-427990</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-162560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-162560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-162560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49"/>
        </w:trPr>
        <w:tc>
          <w:tcPr>
            <w:tcW w:w="5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 Measurements as of</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5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8"/>
        </w:trPr>
        <w:tc>
          <w:tcPr>
            <w:tcW w:w="58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81"/>
              <w:spacing w:after="0" w:line="129"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05"/>
              <w:spacing w:after="0" w:line="129" w:lineRule="exact"/>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Level 3</w:t>
            </w:r>
          </w:p>
        </w:tc>
        <w:tc>
          <w:tcPr>
            <w:tcW w:w="3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61"/>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r>
      <w:tr>
        <w:trPr>
          <w:trHeight w:val="128"/>
        </w:trPr>
        <w:tc>
          <w:tcPr>
            <w:tcW w:w="5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45"/>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1000" w:type="dxa"/>
            <w:vAlign w:val="bottom"/>
            <w:gridSpan w:val="2"/>
          </w:tcPr>
          <w:p>
            <w:pPr>
              <w:jc w:val="right"/>
              <w:ind w:right="428"/>
              <w:spacing w:after="0" w:line="129"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140,466</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140,466</w:t>
            </w:r>
          </w:p>
        </w:tc>
        <w:tc>
          <w:tcPr>
            <w:tcW w:w="120" w:type="dxa"/>
            <w:vAlign w:val="bottom"/>
            <w:shd w:val="clear" w:color="auto" w:fill="CFF0FC"/>
          </w:tcPr>
          <w:p>
            <w:pPr>
              <w:spacing w:after="0"/>
              <w:rPr>
                <w:sz w:val="17"/>
                <w:szCs w:val="17"/>
                <w:color w:val="auto"/>
              </w:rPr>
            </w:pPr>
          </w:p>
        </w:tc>
      </w:tr>
      <w:tr>
        <w:trPr>
          <w:trHeight w:val="196"/>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Total cash equivalents</w:t>
            </w: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140,466</w:t>
            </w: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140,466</w:t>
            </w:r>
          </w:p>
        </w:tc>
        <w:tc>
          <w:tcPr>
            <w:tcW w:w="120" w:type="dxa"/>
            <w:vAlign w:val="bottom"/>
            <w:tcBorders>
              <w:top w:val="single" w:sz="8" w:color="CFF0FC"/>
            </w:tcBorders>
          </w:tcPr>
          <w:p>
            <w:pPr>
              <w:spacing w:after="0"/>
              <w:rPr>
                <w:sz w:val="17"/>
                <w:szCs w:val="17"/>
                <w:color w:val="auto"/>
              </w:rPr>
            </w:pP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U.S. treasury bills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416,008</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416,008</w:t>
            </w:r>
          </w:p>
        </w:tc>
        <w:tc>
          <w:tcPr>
            <w:tcW w:w="120" w:type="dxa"/>
            <w:vAlign w:val="bottom"/>
          </w:tcPr>
          <w:p>
            <w:pPr>
              <w:spacing w:after="0"/>
              <w:rPr>
                <w:sz w:val="17"/>
                <w:szCs w:val="17"/>
                <w:color w:val="auto"/>
              </w:rPr>
            </w:pPr>
          </w:p>
        </w:tc>
      </w:tr>
      <w:tr>
        <w:trPr>
          <w:trHeight w:val="20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agency securities</w:t>
            </w: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190,342</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190,342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606,350</w:t>
            </w:r>
          </w:p>
        </w:tc>
        <w:tc>
          <w:tcPr>
            <w:tcW w:w="2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606,350</w:t>
            </w:r>
          </w:p>
        </w:tc>
        <w:tc>
          <w:tcPr>
            <w:tcW w:w="120" w:type="dxa"/>
            <w:vAlign w:val="bottom"/>
          </w:tcPr>
          <w:p>
            <w:pPr>
              <w:spacing w:after="0"/>
              <w:rPr>
                <w:sz w:val="17"/>
                <w:szCs w:val="17"/>
                <w:color w:val="auto"/>
              </w:rPr>
            </w:pPr>
          </w:p>
        </w:tc>
      </w:tr>
      <w:tr>
        <w:trPr>
          <w:trHeight w:val="23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140,466</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606,350</w:t>
            </w:r>
          </w:p>
        </w:tc>
        <w:tc>
          <w:tcPr>
            <w:tcW w:w="100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746,816</w:t>
            </w:r>
          </w:p>
        </w:tc>
        <w:tc>
          <w:tcPr>
            <w:tcW w:w="120" w:type="dxa"/>
            <w:vAlign w:val="bottom"/>
            <w:shd w:val="clear" w:color="auto" w:fill="CFF0FC"/>
          </w:tcPr>
          <w:p>
            <w:pPr>
              <w:spacing w:after="0"/>
              <w:rPr>
                <w:sz w:val="20"/>
                <w:szCs w:val="20"/>
                <w:color w:val="auto"/>
              </w:rPr>
            </w:pPr>
          </w:p>
        </w:tc>
      </w:tr>
      <w:tr>
        <w:trPr>
          <w:trHeight w:val="183"/>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20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Contingent Milestone Payments</w:t>
            </w: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588"/>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8,206</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58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8,206</w:t>
            </w:r>
          </w:p>
        </w:tc>
        <w:tc>
          <w:tcPr>
            <w:tcW w:w="5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8,206</w:t>
            </w:r>
          </w:p>
        </w:tc>
        <w:tc>
          <w:tcPr>
            <w:tcW w:w="12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-1250950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-1250950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-1250950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-1250950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-719455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-719455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-719455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-719455</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-445135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-427990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-445135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-427990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-445135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-427990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-445135</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-427990</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-162560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-162560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-162560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ind w:right="380"/>
        <w:spacing w:after="0" w:line="298" w:lineRule="auto"/>
        <w:rPr>
          <w:sz w:val="20"/>
          <w:szCs w:val="20"/>
          <w:color w:val="auto"/>
        </w:rPr>
      </w:pPr>
      <w:r>
        <w:rPr>
          <w:rFonts w:ascii="Times New Roman" w:cs="Times New Roman" w:eastAsia="Times New Roman" w:hAnsi="Times New Roman"/>
          <w:sz w:val="16"/>
          <w:szCs w:val="16"/>
          <w:color w:val="auto"/>
        </w:rPr>
        <w:t>In determining the fair value of its investments at each date presented above, the Company relied on quoted prices for similar securities in active markets or using other inputs that are observable or can be corroborated by observable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of Contingent Consideration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April 2021, the Company acquired ZebiAI.</w:t>
      </w:r>
    </w:p>
    <w:p>
      <w:pPr>
        <w:spacing w:after="0" w:line="235"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16"/>
          <w:szCs w:val="16"/>
          <w:color w:val="auto"/>
        </w:rPr>
        <w:t>Pursuant to the terms of the acquisition, the Company is liable for certain contingent consideration, including (a) up to $85.0 million in platform and program milestones ("Contingent Milestone Payments") and (b) up to $100.0 million in earnout payments ("Contingent Earnout Payments"), both payable to ZebiAI's former equity holders upon achievement.</w:t>
      </w:r>
    </w:p>
    <w:p>
      <w:pPr>
        <w:spacing w:after="0" w:line="17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The Company classified the Contingent Milestone Payments within Level 3 of the fair value hierarchy. Pursuant to ASC Topic 480, Distinguishing Liabilities from Equity ("ASC 480"), the Company accounted for the Contingent Milestone Payments as a liability and remeasured the fair value at each reporting period based on the probability of achieving the milestones and timing. In connection therewith, the liability was recorded at $0 on the consolidated balance sheet as of December 31, 2024.</w:t>
      </w:r>
    </w:p>
    <w:p>
      <w:pPr>
        <w:spacing w:after="0" w:line="177"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The Company has not accounted for the Contingent Earnout Payments as derivatives under ASC Topic 815, Derivatives and Hedging ("ASC 815"). As such, they were only measured at fair value as of the acquisition date and have not been re-assessed at fair value as of each reporting period end. During the year ended December 31, 2024, the contingency was resolved without the consideration becoming payable. Therefore, the liability was recorded at $0 on the consolidated balance sheet as of December 31, 2024.</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the change in the contingent consideration liability: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6600" w:type="dxa"/>
            <w:vAlign w:val="bottom"/>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104"/>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2023</w:t>
            </w:r>
          </w:p>
        </w:tc>
        <w:tc>
          <w:tcPr>
            <w:tcW w:w="2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62"/>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r>
      <w:tr>
        <w:trPr>
          <w:trHeight w:val="129"/>
        </w:trPr>
        <w:tc>
          <w:tcPr>
            <w:tcW w:w="6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124"/>
              <w:spacing w:after="0" w:line="129" w:lineRule="exact"/>
              <w:rPr>
                <w:sz w:val="20"/>
                <w:szCs w:val="20"/>
                <w:color w:val="auto"/>
              </w:rPr>
            </w:pPr>
            <w:r>
              <w:rPr>
                <w:rFonts w:ascii="Times New Roman" w:cs="Times New Roman" w:eastAsia="Times New Roman" w:hAnsi="Times New Roman"/>
                <w:sz w:val="13"/>
                <w:szCs w:val="13"/>
                <w:b w:val="1"/>
                <w:bCs w:val="1"/>
                <w:color w:val="auto"/>
                <w:w w:val="98"/>
              </w:rPr>
              <w:t>(in thousands)</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2"/>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840" w:type="dxa"/>
            <w:vAlign w:val="bottom"/>
            <w:shd w:val="clear" w:color="auto" w:fill="CFF0FC"/>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13,206</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32,378</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50,258</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Contingent Milestone Payments</w:t>
            </w:r>
          </w:p>
        </w:tc>
        <w:tc>
          <w:tcPr>
            <w:tcW w:w="8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(8,206 )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(6,422 )</w:t>
            </w:r>
          </w:p>
        </w:tc>
        <w:tc>
          <w:tcPr>
            <w:tcW w:w="3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(11,677 )</w:t>
            </w:r>
          </w:p>
        </w:tc>
      </w:tr>
      <w:tr>
        <w:trPr>
          <w:trHeight w:val="20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carrying value of Contingent Earnout Payments</w:t>
            </w:r>
          </w:p>
        </w:tc>
        <w:tc>
          <w:tcPr>
            <w:tcW w:w="8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(5,000 )</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upon milestone achievement</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(12,750 )</w:t>
            </w:r>
          </w:p>
        </w:tc>
        <w:tc>
          <w:tcPr>
            <w:tcW w:w="3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(6,203 )</w:t>
            </w:r>
          </w:p>
        </w:tc>
      </w:tr>
      <w:tr>
        <w:trPr>
          <w:trHeight w:val="236"/>
        </w:trPr>
        <w:tc>
          <w:tcPr>
            <w:tcW w:w="66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13,206</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32,378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color w:val="auto"/>
        </w:rPr>
        <w:t>5. Investments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available-for-sale investments by type of security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08"/>
        </w:trPr>
        <w:tc>
          <w:tcPr>
            <w:tcW w:w="5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jc w:val="center"/>
              <w:ind w:right="104"/>
              <w:spacing w:after="0" w:line="109" w:lineRule="exact"/>
              <w:rPr>
                <w:sz w:val="20"/>
                <w:szCs w:val="20"/>
                <w:color w:val="auto"/>
              </w:rPr>
            </w:pPr>
            <w:r>
              <w:rPr>
                <w:rFonts w:ascii="Times New Roman" w:cs="Times New Roman" w:eastAsia="Times New Roman" w:hAnsi="Times New Roman"/>
                <w:sz w:val="12"/>
                <w:szCs w:val="12"/>
                <w:b w:val="1"/>
                <w:bCs w:val="1"/>
                <w:color w:val="auto"/>
              </w:rPr>
              <w:t>Amortized</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jc w:val="center"/>
              <w:ind w:right="106"/>
              <w:spacing w:after="0" w:line="109"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gridSpan w:val="3"/>
          </w:tcPr>
          <w:p>
            <w:pPr>
              <w:jc w:val="center"/>
              <w:ind w:right="540"/>
              <w:spacing w:after="0" w:line="109"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240" w:type="dxa"/>
            <w:vAlign w:val="bottom"/>
          </w:tcPr>
          <w:p>
            <w:pPr>
              <w:spacing w:after="0"/>
              <w:rPr>
                <w:sz w:val="9"/>
                <w:szCs w:val="9"/>
                <w:color w:val="auto"/>
              </w:rPr>
            </w:pPr>
          </w:p>
        </w:tc>
        <w:tc>
          <w:tcPr>
            <w:tcW w:w="900" w:type="dxa"/>
            <w:vAlign w:val="bottom"/>
          </w:tcPr>
          <w:p>
            <w:pPr>
              <w:jc w:val="center"/>
              <w:ind w:right="184"/>
              <w:spacing w:after="0" w:line="109" w:lineRule="exact"/>
              <w:rPr>
                <w:sz w:val="20"/>
                <w:szCs w:val="20"/>
                <w:color w:val="auto"/>
              </w:rPr>
            </w:pPr>
            <w:r>
              <w:rPr>
                <w:rFonts w:ascii="Times New Roman" w:cs="Times New Roman" w:eastAsia="Times New Roman" w:hAnsi="Times New Roman"/>
                <w:sz w:val="12"/>
                <w:szCs w:val="12"/>
                <w:b w:val="1"/>
                <w:bCs w:val="1"/>
                <w:color w:val="auto"/>
              </w:rPr>
              <w:t>Fair</w:t>
            </w:r>
          </w:p>
        </w:tc>
        <w:tc>
          <w:tcPr>
            <w:tcW w:w="120" w:type="dxa"/>
            <w:vAlign w:val="bottom"/>
          </w:tcPr>
          <w:p>
            <w:pPr>
              <w:spacing w:after="0"/>
              <w:rPr>
                <w:sz w:val="9"/>
                <w:szCs w:val="9"/>
                <w:color w:val="auto"/>
              </w:rPr>
            </w:pPr>
          </w:p>
        </w:tc>
      </w:tr>
      <w:tr>
        <w:trPr>
          <w:trHeight w:val="155"/>
        </w:trPr>
        <w:tc>
          <w:tcPr>
            <w:tcW w:w="58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260" w:type="dxa"/>
            <w:vAlign w:val="bottom"/>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3"/>
                <w:szCs w:val="13"/>
                <w:color w:val="auto"/>
              </w:rPr>
            </w:pPr>
          </w:p>
        </w:tc>
      </w:tr>
      <w:tr>
        <w:trPr>
          <w:trHeight w:val="128"/>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46"/>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5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U.S. treasury bills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245,208</w:t>
            </w:r>
          </w:p>
        </w:tc>
        <w:tc>
          <w:tcPr>
            <w:tcW w:w="4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5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(35 )</w:t>
            </w:r>
          </w:p>
        </w:tc>
        <w:tc>
          <w:tcPr>
            <w:tcW w:w="14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245,689</w:t>
            </w:r>
          </w:p>
        </w:tc>
        <w:tc>
          <w:tcPr>
            <w:tcW w:w="120" w:type="dxa"/>
            <w:vAlign w:val="bottom"/>
          </w:tcPr>
          <w:p>
            <w:pPr>
              <w:spacing w:after="0"/>
              <w:rPr>
                <w:sz w:val="17"/>
                <w:szCs w:val="17"/>
                <w:color w:val="auto"/>
              </w:rPr>
            </w:pPr>
          </w:p>
        </w:tc>
      </w:tr>
      <w:tr>
        <w:trPr>
          <w:trHeight w:val="20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agency securities</w:t>
            </w: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51,153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gridSpan w:val="2"/>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51,276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investments with a maturity of one year or less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296,965</w:t>
            </w:r>
          </w:p>
        </w:tc>
        <w:tc>
          <w:tcPr>
            <w:tcW w:w="120" w:type="dxa"/>
            <w:vAlign w:val="bottom"/>
          </w:tcPr>
          <w:p>
            <w:pPr>
              <w:spacing w:after="0"/>
              <w:rPr>
                <w:sz w:val="17"/>
                <w:szCs w:val="17"/>
                <w:color w:val="auto"/>
              </w:rPr>
            </w:pPr>
          </w:p>
        </w:tc>
      </w:tr>
      <w:tr>
        <w:trPr>
          <w:trHeight w:val="196"/>
        </w:trPr>
        <w:tc>
          <w:tcPr>
            <w:tcW w:w="58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U.S. treasury bills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(1,607 )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318,394</w:t>
            </w:r>
          </w:p>
        </w:tc>
        <w:tc>
          <w:tcPr>
            <w:tcW w:w="120" w:type="dxa"/>
            <w:vAlign w:val="bottom"/>
          </w:tcPr>
          <w:p>
            <w:pPr>
              <w:spacing w:after="0"/>
              <w:rPr>
                <w:sz w:val="17"/>
                <w:szCs w:val="17"/>
                <w:color w:val="auto"/>
              </w:rPr>
            </w:pPr>
          </w:p>
        </w:tc>
      </w:tr>
      <w:tr>
        <w:trPr>
          <w:trHeight w:val="20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agency securities</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42,041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(378 )</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41,677</w:t>
            </w:r>
          </w:p>
        </w:tc>
        <w:tc>
          <w:tcPr>
            <w:tcW w:w="120" w:type="dxa"/>
            <w:vAlign w:val="bottom"/>
            <w:shd w:val="clear" w:color="auto" w:fill="CFF0FC"/>
          </w:tcPr>
          <w:p>
            <w:pPr>
              <w:spacing w:after="0"/>
              <w:rPr>
                <w:sz w:val="17"/>
                <w:szCs w:val="17"/>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investments with a maturity of one to two years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(1,985 )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360,071</w:t>
            </w:r>
          </w:p>
        </w:tc>
        <w:tc>
          <w:tcPr>
            <w:tcW w:w="12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investments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658,027</w:t>
            </w:r>
          </w:p>
        </w:tc>
        <w:tc>
          <w:tcPr>
            <w:tcW w:w="240" w:type="dxa"/>
            <w:vAlign w:val="bottom"/>
            <w:gridSpan w:val="2"/>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240" w:type="dxa"/>
            <w:vAlign w:val="bottom"/>
            <w:gridSpan w:val="2"/>
            <w:shd w:val="clear" w:color="auto" w:fill="CFF0FC"/>
          </w:tcPr>
          <w:p>
            <w:pPr>
              <w:spacing w:after="0"/>
              <w:rPr>
                <w:sz w:val="18"/>
                <w:szCs w:val="18"/>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(2,020 )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657,036</w:t>
            </w:r>
          </w:p>
        </w:tc>
        <w:tc>
          <w:tcPr>
            <w:tcW w:w="120" w:type="dxa"/>
            <w:vAlign w:val="bottom"/>
            <w:shd w:val="clear" w:color="auto" w:fill="CFF0FC"/>
          </w:tcPr>
          <w:p>
            <w:pPr>
              <w:spacing w:after="0"/>
              <w:rPr>
                <w:sz w:val="18"/>
                <w:szCs w:val="18"/>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318"/>
        </w:trPr>
        <w:tc>
          <w:tcPr>
            <w:tcW w:w="5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5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jc w:val="center"/>
              <w:ind w:right="104"/>
              <w:spacing w:after="0" w:line="109" w:lineRule="exact"/>
              <w:rPr>
                <w:sz w:val="20"/>
                <w:szCs w:val="20"/>
                <w:color w:val="auto"/>
              </w:rPr>
            </w:pPr>
            <w:r>
              <w:rPr>
                <w:rFonts w:ascii="Times New Roman" w:cs="Times New Roman" w:eastAsia="Times New Roman" w:hAnsi="Times New Roman"/>
                <w:sz w:val="12"/>
                <w:szCs w:val="12"/>
                <w:b w:val="1"/>
                <w:bCs w:val="1"/>
                <w:color w:val="auto"/>
              </w:rPr>
              <w:t>Amortized</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jc w:val="center"/>
              <w:ind w:right="106"/>
              <w:spacing w:after="0" w:line="109"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gridSpan w:val="3"/>
          </w:tcPr>
          <w:p>
            <w:pPr>
              <w:jc w:val="center"/>
              <w:ind w:right="540"/>
              <w:spacing w:after="0" w:line="109"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240" w:type="dxa"/>
            <w:vAlign w:val="bottom"/>
          </w:tcPr>
          <w:p>
            <w:pPr>
              <w:spacing w:after="0"/>
              <w:rPr>
                <w:sz w:val="9"/>
                <w:szCs w:val="9"/>
                <w:color w:val="auto"/>
              </w:rPr>
            </w:pPr>
          </w:p>
        </w:tc>
        <w:tc>
          <w:tcPr>
            <w:tcW w:w="900" w:type="dxa"/>
            <w:vAlign w:val="bottom"/>
          </w:tcPr>
          <w:p>
            <w:pPr>
              <w:jc w:val="center"/>
              <w:ind w:right="184"/>
              <w:spacing w:after="0" w:line="109" w:lineRule="exact"/>
              <w:rPr>
                <w:sz w:val="20"/>
                <w:szCs w:val="20"/>
                <w:color w:val="auto"/>
              </w:rPr>
            </w:pPr>
            <w:r>
              <w:rPr>
                <w:rFonts w:ascii="Times New Roman" w:cs="Times New Roman" w:eastAsia="Times New Roman" w:hAnsi="Times New Roman"/>
                <w:sz w:val="12"/>
                <w:szCs w:val="12"/>
                <w:b w:val="1"/>
                <w:bCs w:val="1"/>
                <w:color w:val="auto"/>
              </w:rPr>
              <w:t>Fair</w:t>
            </w:r>
          </w:p>
        </w:tc>
        <w:tc>
          <w:tcPr>
            <w:tcW w:w="120" w:type="dxa"/>
            <w:vAlign w:val="bottom"/>
          </w:tcPr>
          <w:p>
            <w:pPr>
              <w:spacing w:after="0"/>
              <w:rPr>
                <w:sz w:val="9"/>
                <w:szCs w:val="9"/>
                <w:color w:val="auto"/>
              </w:rPr>
            </w:pPr>
          </w:p>
        </w:tc>
      </w:tr>
      <w:tr>
        <w:trPr>
          <w:trHeight w:val="155"/>
        </w:trPr>
        <w:tc>
          <w:tcPr>
            <w:tcW w:w="58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260" w:type="dxa"/>
            <w:vAlign w:val="bottom"/>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3"/>
                <w:szCs w:val="13"/>
                <w:color w:val="auto"/>
              </w:rPr>
            </w:pPr>
          </w:p>
        </w:tc>
      </w:tr>
      <w:tr>
        <w:trPr>
          <w:trHeight w:val="128"/>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46"/>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5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U.S. treasury bills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314,957</w:t>
            </w:r>
          </w:p>
        </w:tc>
        <w:tc>
          <w:tcPr>
            <w:tcW w:w="4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5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(482 )</w:t>
            </w:r>
          </w:p>
        </w:tc>
        <w:tc>
          <w:tcPr>
            <w:tcW w:w="14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314,558</w:t>
            </w:r>
          </w:p>
        </w:tc>
        <w:tc>
          <w:tcPr>
            <w:tcW w:w="120" w:type="dxa"/>
            <w:vAlign w:val="bottom"/>
          </w:tcPr>
          <w:p>
            <w:pPr>
              <w:spacing w:after="0"/>
              <w:rPr>
                <w:sz w:val="17"/>
                <w:szCs w:val="17"/>
                <w:color w:val="auto"/>
              </w:rPr>
            </w:pPr>
          </w:p>
        </w:tc>
      </w:tr>
      <w:tr>
        <w:trPr>
          <w:trHeight w:val="20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agency securities</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185,672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(353 )</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185,343</w:t>
            </w:r>
          </w:p>
        </w:tc>
        <w:tc>
          <w:tcPr>
            <w:tcW w:w="120" w:type="dxa"/>
            <w:vAlign w:val="bottom"/>
            <w:shd w:val="clear" w:color="auto" w:fill="CFF0FC"/>
          </w:tcPr>
          <w:p>
            <w:pPr>
              <w:spacing w:after="0"/>
              <w:rPr>
                <w:sz w:val="17"/>
                <w:szCs w:val="17"/>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investments with a maturity of one year or less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500,629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(835 )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499,901</w:t>
            </w:r>
          </w:p>
        </w:tc>
        <w:tc>
          <w:tcPr>
            <w:tcW w:w="120" w:type="dxa"/>
            <w:vAlign w:val="bottom"/>
          </w:tcPr>
          <w:p>
            <w:pPr>
              <w:spacing w:after="0"/>
              <w:rPr>
                <w:sz w:val="17"/>
                <w:szCs w:val="17"/>
                <w:color w:val="auto"/>
              </w:rPr>
            </w:pPr>
          </w:p>
        </w:tc>
      </w:tr>
      <w:tr>
        <w:trPr>
          <w:trHeight w:val="196"/>
        </w:trPr>
        <w:tc>
          <w:tcPr>
            <w:tcW w:w="58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U.S. treasury bills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101,450</w:t>
            </w:r>
          </w:p>
        </w:tc>
        <w:tc>
          <w:tcPr>
            <w:tcW w:w="120" w:type="dxa"/>
            <w:vAlign w:val="bottom"/>
          </w:tcPr>
          <w:p>
            <w:pPr>
              <w:spacing w:after="0"/>
              <w:rPr>
                <w:sz w:val="17"/>
                <w:szCs w:val="17"/>
                <w:color w:val="auto"/>
              </w:rPr>
            </w:pPr>
          </w:p>
        </w:tc>
      </w:tr>
      <w:tr>
        <w:trPr>
          <w:trHeight w:val="20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agency securities</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4,999</w:t>
            </w:r>
          </w:p>
        </w:tc>
        <w:tc>
          <w:tcPr>
            <w:tcW w:w="120" w:type="dxa"/>
            <w:vAlign w:val="bottom"/>
            <w:shd w:val="clear" w:color="auto" w:fill="CFF0FC"/>
          </w:tcPr>
          <w:p>
            <w:pPr>
              <w:spacing w:after="0"/>
              <w:rPr>
                <w:sz w:val="17"/>
                <w:szCs w:val="17"/>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investments with a maturity of one to two years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106,449</w:t>
            </w:r>
          </w:p>
        </w:tc>
        <w:tc>
          <w:tcPr>
            <w:tcW w:w="12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investments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606,546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(894 )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606,350</w:t>
            </w:r>
          </w:p>
        </w:tc>
        <w:tc>
          <w:tcPr>
            <w:tcW w:w="120" w:type="dxa"/>
            <w:vAlign w:val="bottom"/>
            <w:shd w:val="clear" w:color="auto" w:fill="CFF0FC"/>
          </w:tcPr>
          <w:p>
            <w:pPr>
              <w:spacing w:after="0"/>
              <w:rPr>
                <w:sz w:val="18"/>
                <w:szCs w:val="18"/>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-2536825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-2536825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-2536825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-2536825</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-2005330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-2005330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-2005330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-2005330</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-1731010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-1713865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-1731010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-1713865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-1731010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-1713865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-1731010</wp:posOffset>
            </wp:positionV>
            <wp:extent cx="774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-1713865</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-831215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-831215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-831215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-831215</wp:posOffset>
            </wp:positionV>
            <wp:extent cx="774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-299720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-299720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-299720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The following tables summarize the Company's available-for-sale debt securities in an unrealized loss position for which an allowance for credit losses has not been recorded, aggregated by major security type and length of time in a continuous unrealized loss position: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9"/>
        </w:trPr>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60" w:type="dxa"/>
            <w:vAlign w:val="bottom"/>
            <w:gridSpan w:val="5"/>
          </w:tcPr>
          <w:p>
            <w:pPr>
              <w:jc w:val="right"/>
              <w:ind w:right="940"/>
              <w:spacing w:after="0" w:line="129" w:lineRule="exact"/>
              <w:rPr>
                <w:sz w:val="20"/>
                <w:szCs w:val="20"/>
                <w:color w:val="auto"/>
              </w:rPr>
            </w:pPr>
            <w:r>
              <w:rPr>
                <w:rFonts w:ascii="Times New Roman" w:cs="Times New Roman" w:eastAsia="Times New Roman" w:hAnsi="Times New Roman"/>
                <w:sz w:val="13"/>
                <w:szCs w:val="13"/>
                <w:b w:val="1"/>
                <w:bCs w:val="1"/>
                <w:color w:val="auto"/>
              </w:rPr>
              <w:t>Less than 12 Months</w:t>
            </w:r>
          </w:p>
        </w:tc>
        <w:tc>
          <w:tcPr>
            <w:tcW w:w="180" w:type="dxa"/>
            <w:vAlign w:val="bottom"/>
          </w:tcPr>
          <w:p>
            <w:pPr>
              <w:spacing w:after="0"/>
              <w:rPr>
                <w:sz w:val="11"/>
                <w:szCs w:val="11"/>
                <w:color w:val="auto"/>
              </w:rPr>
            </w:pPr>
          </w:p>
        </w:tc>
        <w:tc>
          <w:tcPr>
            <w:tcW w:w="2560" w:type="dxa"/>
            <w:vAlign w:val="bottom"/>
            <w:gridSpan w:val="5"/>
          </w:tcPr>
          <w:p>
            <w:pPr>
              <w:jc w:val="right"/>
              <w:ind w:right="940"/>
              <w:spacing w:after="0" w:line="129" w:lineRule="exact"/>
              <w:rPr>
                <w:sz w:val="20"/>
                <w:szCs w:val="20"/>
                <w:color w:val="auto"/>
              </w:rPr>
            </w:pPr>
            <w:r>
              <w:rPr>
                <w:rFonts w:ascii="Times New Roman" w:cs="Times New Roman" w:eastAsia="Times New Roman" w:hAnsi="Times New Roman"/>
                <w:sz w:val="13"/>
                <w:szCs w:val="13"/>
                <w:b w:val="1"/>
                <w:bCs w:val="1"/>
                <w:color w:val="auto"/>
              </w:rPr>
              <w:t>12 Months or Longer</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08"/>
        </w:trPr>
        <w:tc>
          <w:tcPr>
            <w:tcW w:w="31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ind w:right="107"/>
              <w:spacing w:after="0" w:line="109"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2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107"/>
              <w:spacing w:after="0" w:line="109"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2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107"/>
              <w:spacing w:after="0" w:line="109"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20" w:type="dxa"/>
            <w:vAlign w:val="bottom"/>
          </w:tcPr>
          <w:p>
            <w:pPr>
              <w:spacing w:after="0"/>
              <w:rPr>
                <w:sz w:val="9"/>
                <w:szCs w:val="9"/>
                <w:color w:val="auto"/>
              </w:rPr>
            </w:pPr>
          </w:p>
        </w:tc>
      </w:tr>
      <w:tr>
        <w:trPr>
          <w:trHeight w:val="155"/>
        </w:trPr>
        <w:tc>
          <w:tcPr>
            <w:tcW w:w="3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20" w:type="dxa"/>
            <w:vAlign w:val="bottom"/>
          </w:tcPr>
          <w:p>
            <w:pPr>
              <w:spacing w:after="0"/>
              <w:rPr>
                <w:sz w:val="13"/>
                <w:szCs w:val="13"/>
                <w:color w:val="auto"/>
              </w:rPr>
            </w:pPr>
          </w:p>
        </w:tc>
      </w:tr>
      <w:tr>
        <w:trPr>
          <w:trHeight w:val="167"/>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9"/>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treasury bills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258,196</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(1,642 )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258,196</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(1,642 )</w:t>
            </w:r>
          </w:p>
        </w:tc>
      </w:tr>
      <w:tr>
        <w:trPr>
          <w:trHeight w:val="20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agency securities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(378 )</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(378 )</w:t>
            </w:r>
          </w:p>
        </w:tc>
      </w:tr>
      <w:tr>
        <w:trPr>
          <w:trHeight w:val="20"/>
        </w:trPr>
        <w:tc>
          <w:tcPr>
            <w:tcW w:w="3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293,651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(2,020 )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293,651</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(2,020 )</w:t>
            </w:r>
          </w:p>
        </w:tc>
      </w:tr>
      <w:tr>
        <w:trPr>
          <w:trHeight w:val="20"/>
        </w:trPr>
        <w:tc>
          <w:tcPr>
            <w:tcW w:w="3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385"/>
        </w:trPr>
        <w:tc>
          <w:tcPr>
            <w:tcW w:w="3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8"/>
        </w:trPr>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60" w:type="dxa"/>
            <w:vAlign w:val="bottom"/>
            <w:gridSpan w:val="5"/>
          </w:tcPr>
          <w:p>
            <w:pPr>
              <w:jc w:val="right"/>
              <w:ind w:right="940"/>
              <w:spacing w:after="0" w:line="129" w:lineRule="exact"/>
              <w:rPr>
                <w:sz w:val="20"/>
                <w:szCs w:val="20"/>
                <w:color w:val="auto"/>
              </w:rPr>
            </w:pPr>
            <w:r>
              <w:rPr>
                <w:rFonts w:ascii="Times New Roman" w:cs="Times New Roman" w:eastAsia="Times New Roman" w:hAnsi="Times New Roman"/>
                <w:sz w:val="13"/>
                <w:szCs w:val="13"/>
                <w:b w:val="1"/>
                <w:bCs w:val="1"/>
                <w:color w:val="auto"/>
              </w:rPr>
              <w:t>Less than 12 Months</w:t>
            </w:r>
          </w:p>
        </w:tc>
        <w:tc>
          <w:tcPr>
            <w:tcW w:w="180" w:type="dxa"/>
            <w:vAlign w:val="bottom"/>
          </w:tcPr>
          <w:p>
            <w:pPr>
              <w:spacing w:after="0"/>
              <w:rPr>
                <w:sz w:val="11"/>
                <w:szCs w:val="11"/>
                <w:color w:val="auto"/>
              </w:rPr>
            </w:pPr>
          </w:p>
        </w:tc>
        <w:tc>
          <w:tcPr>
            <w:tcW w:w="2560" w:type="dxa"/>
            <w:vAlign w:val="bottom"/>
            <w:gridSpan w:val="5"/>
          </w:tcPr>
          <w:p>
            <w:pPr>
              <w:jc w:val="right"/>
              <w:ind w:right="940"/>
              <w:spacing w:after="0" w:line="129" w:lineRule="exact"/>
              <w:rPr>
                <w:sz w:val="20"/>
                <w:szCs w:val="20"/>
                <w:color w:val="auto"/>
              </w:rPr>
            </w:pPr>
            <w:r>
              <w:rPr>
                <w:rFonts w:ascii="Times New Roman" w:cs="Times New Roman" w:eastAsia="Times New Roman" w:hAnsi="Times New Roman"/>
                <w:sz w:val="13"/>
                <w:szCs w:val="13"/>
                <w:b w:val="1"/>
                <w:bCs w:val="1"/>
                <w:color w:val="auto"/>
              </w:rPr>
              <w:t>12 Months or Longer</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08"/>
        </w:trPr>
        <w:tc>
          <w:tcPr>
            <w:tcW w:w="31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ind w:right="107"/>
              <w:spacing w:after="0" w:line="109"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2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107"/>
              <w:spacing w:after="0" w:line="109"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2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107"/>
              <w:spacing w:after="0" w:line="109"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20" w:type="dxa"/>
            <w:vAlign w:val="bottom"/>
          </w:tcPr>
          <w:p>
            <w:pPr>
              <w:spacing w:after="0"/>
              <w:rPr>
                <w:sz w:val="9"/>
                <w:szCs w:val="9"/>
                <w:color w:val="auto"/>
              </w:rPr>
            </w:pPr>
          </w:p>
        </w:tc>
      </w:tr>
      <w:tr>
        <w:trPr>
          <w:trHeight w:val="155"/>
        </w:trPr>
        <w:tc>
          <w:tcPr>
            <w:tcW w:w="3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20" w:type="dxa"/>
            <w:vAlign w:val="bottom"/>
          </w:tcPr>
          <w:p>
            <w:pPr>
              <w:spacing w:after="0"/>
              <w:rPr>
                <w:sz w:val="13"/>
                <w:szCs w:val="13"/>
                <w:color w:val="auto"/>
              </w:rPr>
            </w:pPr>
          </w:p>
        </w:tc>
      </w:tr>
      <w:tr>
        <w:trPr>
          <w:trHeight w:val="167"/>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0"/>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r>
      <w:tr>
        <w:trPr>
          <w:trHeight w:val="203"/>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U.S. treasury bills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172,625</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(371 )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27,822</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200,447</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(540 )</w:t>
            </w:r>
          </w:p>
        </w:tc>
      </w:tr>
      <w:tr>
        <w:trPr>
          <w:trHeight w:val="20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agency securities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136,356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(207 )</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36,742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(147 )</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173,098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(354 )</w:t>
            </w:r>
          </w:p>
        </w:tc>
      </w:tr>
      <w:tr>
        <w:trPr>
          <w:trHeight w:val="20"/>
        </w:trPr>
        <w:tc>
          <w:tcPr>
            <w:tcW w:w="3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308,981</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(578 )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64,564</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(316 )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373,545</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(894 )</w:t>
            </w:r>
          </w:p>
        </w:tc>
      </w:tr>
      <w:tr>
        <w:trPr>
          <w:trHeight w:val="20"/>
        </w:trPr>
        <w:tc>
          <w:tcPr>
            <w:tcW w:w="3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-1070610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-1070610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-1070610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-1070610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-1070610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As summarized in the tables immediately above, the Company held 58 and 70 debt securities that were in an unrealized loss position as of December 31, 2024 and 2023, respectively. The unrealized losses at December 31, 2024 and 2023 were attributable to changes in interest rates and the unrealized losses do not represent credit losses. The Company does not intend to sell such securities and it is not more likely than not that it will be required to sell them before recovery of their amortized cost basis.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color w:val="auto"/>
        </w:rPr>
        <w:t>6. Accrued Expenses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expenses consisted of the following:</w:t>
      </w:r>
    </w:p>
    <w:p>
      <w:pPr>
        <w:spacing w:after="0" w:line="282"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73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83"/>
        </w:trPr>
        <w:tc>
          <w:tcPr>
            <w:tcW w:w="7300" w:type="dxa"/>
            <w:vAlign w:val="bottom"/>
          </w:tcPr>
          <w:p>
            <w:pPr>
              <w:spacing w:after="0"/>
              <w:rPr>
                <w:sz w:val="15"/>
                <w:szCs w:val="15"/>
                <w:color w:val="auto"/>
              </w:rPr>
            </w:pPr>
          </w:p>
        </w:tc>
        <w:tc>
          <w:tcPr>
            <w:tcW w:w="10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5"/>
                <w:szCs w:val="15"/>
                <w:color w:val="auto"/>
              </w:rPr>
            </w:pPr>
          </w:p>
        </w:tc>
      </w:tr>
      <w:tr>
        <w:trPr>
          <w:trHeight w:val="196"/>
        </w:trPr>
        <w:tc>
          <w:tcPr>
            <w:tcW w:w="7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gridSpan w:val="3"/>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External research and development costs</w:t>
            </w:r>
          </w:p>
        </w:tc>
        <w:tc>
          <w:tcPr>
            <w:tcW w:w="1080" w:type="dxa"/>
            <w:vAlign w:val="bottom"/>
            <w:shd w:val="clear" w:color="auto" w:fill="CFF0FC"/>
          </w:tcPr>
          <w:p>
            <w:pPr>
              <w:jc w:val="right"/>
              <w:ind w:right="925"/>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19,565</w:t>
            </w:r>
          </w:p>
        </w:tc>
        <w:tc>
          <w:tcPr>
            <w:tcW w:w="78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12,509</w:t>
            </w:r>
          </w:p>
        </w:tc>
        <w:tc>
          <w:tcPr>
            <w:tcW w:w="12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Consulting and professional services</w:t>
            </w: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20" w:type="dxa"/>
            <w:vAlign w:val="bottom"/>
          </w:tcPr>
          <w:p>
            <w:pPr>
              <w:spacing w:after="0"/>
              <w:rPr>
                <w:sz w:val="17"/>
                <w:szCs w:val="17"/>
                <w:color w:val="auto"/>
              </w:rPr>
            </w:pPr>
          </w:p>
        </w:tc>
      </w:tr>
      <w:tr>
        <w:trPr>
          <w:trHeight w:val="203"/>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costs</w:t>
            </w: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Pr>
          <w:p>
            <w:pPr>
              <w:spacing w:after="0"/>
              <w:rPr>
                <w:sz w:val="17"/>
                <w:szCs w:val="17"/>
                <w:color w:val="auto"/>
              </w:rPr>
            </w:pPr>
          </w:p>
        </w:tc>
      </w:tr>
      <w:tr>
        <w:trPr>
          <w:trHeight w:val="236"/>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accrued expenses</w:t>
            </w: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21,236</w:t>
            </w:r>
          </w:p>
        </w:tc>
        <w:tc>
          <w:tcPr>
            <w:tcW w:w="3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14,890</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77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Common Stock</w:t>
      </w:r>
    </w:p>
    <w:p>
      <w:pPr>
        <w:spacing w:after="0" w:line="237"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Each share of common stock entitles the stockholder to one vote on all matters submitted to a vote of the Company’s stockholders. Common stockholders are entitled to receive dividends, as may be declared by the Company’s board of directors. As of December 31, 2024, no dividends had been declared.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At-the-Market Offerings</w:t>
      </w:r>
    </w:p>
    <w:p>
      <w:pPr>
        <w:spacing w:after="0" w:line="237" w:lineRule="exact"/>
        <w:rPr>
          <w:sz w:val="20"/>
          <w:szCs w:val="20"/>
          <w:color w:val="auto"/>
        </w:rPr>
      </w:pPr>
    </w:p>
    <w:p>
      <w:pPr>
        <w:jc w:val="both"/>
        <w:ind w:right="200"/>
        <w:spacing w:after="0" w:line="281" w:lineRule="auto"/>
        <w:rPr>
          <w:sz w:val="20"/>
          <w:szCs w:val="20"/>
          <w:color w:val="auto"/>
        </w:rPr>
      </w:pPr>
      <w:r>
        <w:rPr>
          <w:rFonts w:ascii="Times New Roman" w:cs="Times New Roman" w:eastAsia="Times New Roman" w:hAnsi="Times New Roman"/>
          <w:sz w:val="16"/>
          <w:szCs w:val="16"/>
          <w:color w:val="auto"/>
        </w:rPr>
        <w:t>In August 2021, the Company entered into a sales agreement (the "2021 Sales Agreement") with Cowen and Company, LLC ("Cowen"), pursuant to which the Company could offer and sell shares of its common stock having aggregate gross proceeds of up to $300.0 million from time to time in "at-the-market" offerings through Cowen, as the Company’s sales agent.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2022, no shares of common stock had been sold under the 2021 Sales Agreement.</w:t>
      </w:r>
    </w:p>
    <w:p>
      <w:pPr>
        <w:spacing w:after="0" w:line="23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2023, the Company sold 3,026,072 shares of common stock under the 2021 Sales Agreement at a weighted-average price of $10.26 per share. The Company received proceeds of $30.3 million therefrom, which were net of $0.8 million in commissions paid to Cowen and other offering expenses.</w:t>
      </w:r>
    </w:p>
    <w:p>
      <w:pPr>
        <w:spacing w:after="0" w:line="164"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During the year ended December 31, 2024, the Company sold 1,889,597 shares of common stock under the 2021 Sales Agreement at a weighted-average price of $9.73 per share. The Company received $17.9 million in proceeds therefrom, which were net of $0.5 million in commissions paid to Cowen and other offering expenses.</w:t>
      </w:r>
    </w:p>
    <w:p>
      <w:pPr>
        <w:spacing w:after="0" w:line="16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6"/>
          <w:szCs w:val="16"/>
          <w:color w:val="auto"/>
        </w:rPr>
        <w:t>In August 2024, the 2021 Sales Agreement was terminated by mutual agreement between the Company and Cowen. Separately, the Company entered into a new sales agreement (the "2024 Sales Agreement") with TD Securities (USA) LLC ("TD Securities"), pursuant to which the Company may offer and sell shares of its common stock having aggregate gross proceeds of up to $250.0 million from time to time in "at-the-market" offerings through TD Securities, as the Company’s sales agent.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year ended December 31, 2024, there were no sales of common stock under the 2024 Sales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Private Placement</w:t>
      </w:r>
    </w:p>
    <w:p>
      <w:pPr>
        <w:spacing w:after="0" w:line="237"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In January 2024, the Company entered into a securities purchase agreement with Nextech Crossover I SCP for the private placement of 2,500,000 shares of common stock at $12.00 per share (the "Private Placement"). The Company received $29.8 million in proceeds from the Private Placement, which was net of $0.2 million in offering expenses.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Follow-On Offerings</w:t>
      </w:r>
    </w:p>
    <w:p>
      <w:pPr>
        <w:spacing w:after="0" w:line="237" w:lineRule="exact"/>
        <w:rPr>
          <w:sz w:val="20"/>
          <w:szCs w:val="20"/>
          <w:color w:val="auto"/>
        </w:rPr>
      </w:pPr>
    </w:p>
    <w:p>
      <w:pPr>
        <w:ind w:right="500"/>
        <w:spacing w:after="0" w:line="298" w:lineRule="auto"/>
        <w:rPr>
          <w:sz w:val="20"/>
          <w:szCs w:val="20"/>
          <w:color w:val="auto"/>
        </w:rPr>
      </w:pPr>
      <w:r>
        <w:rPr>
          <w:rFonts w:ascii="Times New Roman" w:cs="Times New Roman" w:eastAsia="Times New Roman" w:hAnsi="Times New Roman"/>
          <w:sz w:val="16"/>
          <w:szCs w:val="16"/>
          <w:color w:val="auto"/>
        </w:rPr>
        <w:t>In September 2022, the Company completed a public offering of 11,320,755 shares of common stock at an offering price of $26.50 per share. The Company received proceeds of $284.7 million, which was net of $15.3 million in underwriting discounts and other expenses.</w:t>
      </w:r>
    </w:p>
    <w:p>
      <w:pPr>
        <w:spacing w:after="0" w:line="164" w:lineRule="exact"/>
        <w:rPr>
          <w:sz w:val="20"/>
          <w:szCs w:val="20"/>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In September 2024, the Company completed a public offering of 32,857,143 shares of common stock at an offering price of $7.00 per share. The Company received proceeds of $218.2 million, which was net of $11.8 million in underwriting discounts and other expenses.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color w:val="auto"/>
        </w:rPr>
        <w:t>8. Stock Compensation</w:t>
      </w:r>
    </w:p>
    <w:p>
      <w:pPr>
        <w:spacing w:after="0" w:line="23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 2016, the Company adopted the 2016 Stock Option and Grant Plan (the "2016 Stock Plan"). Subsequent to July 2020, no further awards have been granted under the 2016 Stock Plan and all equity-based awards have been and will continue to be granted under the 2020 Stock Option and Incentive Plan (the "2020 Stock Plan"). To the extent outstanding options granted under the 2016 Stock Plan are cancelled, forfeited, or otherwise terminated without being exercised and would otherwise have been returned to the share reserve under the 2016 Stock Plan, the number of shares underlying such awards will be available for future grant under the 2020 Stock Plan.</w:t>
      </w:r>
    </w:p>
    <w:p>
      <w:pPr>
        <w:spacing w:after="0" w:line="18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In 2020, the Company’s stockholders approved the 2020 Stock Plan. All of the Company’s employees, officers, directors, and consultants are eligible to be granted options, restricted stock units, and other stock-based awards under the terms of the 2020 Stock Plan, which originally provided for the issuance of up to 8,376,080 of stock-based awards. The 2020 Stock Plan is also subject to annual increases to be added on the first day of each fiscal year, commencing on January 1, 2021, equal to 5% of the number of outstanding shares on the immediately preceding December 31 or such lesser number of shares approved by the Company’s board of directors or compensation committee of the board of directors. On January 1, 2024, the number of shares available for issuance under the 2020 Stock Plan was increased by 6,372,620 shares of common stock. There were 9,417,226 stock-based awards available for issuance at December 31, 2024 under the 2020 Stock Plan.</w:t>
      </w:r>
    </w:p>
    <w:p>
      <w:pPr>
        <w:spacing w:after="0" w:line="184"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In 2020, the Company adopted an Employee Stock Purchase Plan ("ESPP") that permits eligible employees to enroll in six-month offering periods. Participants may purchase shares of the Company’s common stock, through after-tax payroll deductions, at a price equal to 85% of the fair market value of the common stock on the first or last day of the applicable six-month offering period, whichever is lower. Purchase dates under the ESPP occur on or about June 30 and December 31 each year. The Company’s stockholders originally authorized 1,092,532 shares for issuance pursuant to the ESPP, which is subject to annual increases to be added on the first day of each fiscal year, commencing on January 1, 2021, equal to the lesser of 2,185,064 shares of the Company’s common stock, 1% of the number of outstanding shares on the immediately preceding December 31, or an amount determined by the Company’s board of directors. On January 1, 2024, the number of shares available for issuance under the ESPP was increased by 1,274,524 shares of common stock. There were 4,844,950 shares available for issuance at December 31, 2024 under the ESPP.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connection with all stock-based payments, total stock compensation expense recognized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6600" w:type="dxa"/>
            <w:vAlign w:val="bottom"/>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466"/>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64"/>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r>
      <w:tr>
        <w:trPr>
          <w:trHeight w:val="128"/>
        </w:trPr>
        <w:tc>
          <w:tcPr>
            <w:tcW w:w="6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306"/>
              <w:spacing w:after="0" w:line="129" w:lineRule="exact"/>
              <w:rPr>
                <w:sz w:val="20"/>
                <w:szCs w:val="20"/>
                <w:color w:val="auto"/>
              </w:rPr>
            </w:pPr>
            <w:r>
              <w:rPr>
                <w:rFonts w:ascii="Times New Roman" w:cs="Times New Roman" w:eastAsia="Times New Roman" w:hAnsi="Times New Roman"/>
                <w:sz w:val="13"/>
                <w:szCs w:val="13"/>
                <w:b w:val="1"/>
                <w:bCs w:val="1"/>
                <w:color w:val="auto"/>
                <w:w w:val="98"/>
              </w:rPr>
              <w:t>(in thousands)</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840" w:type="dxa"/>
            <w:vAlign w:val="bottom"/>
            <w:shd w:val="clear" w:color="auto" w:fill="CFF0FC"/>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51,622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48,351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30,671</w:t>
            </w:r>
          </w:p>
        </w:tc>
        <w:tc>
          <w:tcPr>
            <w:tcW w:w="10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42,517</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37,680</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25,467</w:t>
            </w:r>
          </w:p>
        </w:tc>
        <w:tc>
          <w:tcPr>
            <w:tcW w:w="100" w:type="dxa"/>
            <w:vAlign w:val="bottom"/>
          </w:tcPr>
          <w:p>
            <w:pPr>
              <w:spacing w:after="0"/>
              <w:rPr>
                <w:sz w:val="17"/>
                <w:szCs w:val="17"/>
                <w:color w:val="auto"/>
              </w:rPr>
            </w:pPr>
          </w:p>
        </w:tc>
      </w:tr>
      <w:tr>
        <w:trPr>
          <w:trHeight w:val="236"/>
        </w:trPr>
        <w:tc>
          <w:tcPr>
            <w:tcW w:w="660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94,139</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86,031</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56,138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Time-Based Stock Options</w:t>
      </w:r>
    </w:p>
    <w:p>
      <w:pPr>
        <w:spacing w:after="0" w:line="237" w:lineRule="exact"/>
        <w:rPr>
          <w:sz w:val="20"/>
          <w:szCs w:val="20"/>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The Company has historically granted stock options to employees, directors, and consultants with vesting subject to continued service over time. Accordingly, stock compensation expense for such awards is recognized using a straight-line attribution model over the vesting term.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activity for time-based stock options for the year ended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Aggregate</w:t>
            </w:r>
          </w:p>
        </w:tc>
      </w:tr>
      <w:tr>
        <w:trPr>
          <w:trHeight w:val="135"/>
        </w:trPr>
        <w:tc>
          <w:tcPr>
            <w:tcW w:w="4860" w:type="dxa"/>
            <w:vAlign w:val="bottom"/>
          </w:tcPr>
          <w:p>
            <w:pPr>
              <w:spacing w:after="0"/>
              <w:rPr>
                <w:sz w:val="11"/>
                <w:szCs w:val="11"/>
                <w:color w:val="auto"/>
              </w:rPr>
            </w:pPr>
          </w:p>
        </w:tc>
        <w:tc>
          <w:tcPr>
            <w:tcW w:w="1700" w:type="dxa"/>
            <w:vAlign w:val="bottom"/>
            <w:gridSpan w:val="2"/>
          </w:tcPr>
          <w:p>
            <w:pPr>
              <w:jc w:val="right"/>
              <w:ind w:right="70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1"/>
                <w:szCs w:val="11"/>
                <w:color w:val="auto"/>
              </w:rPr>
            </w:pPr>
          </w:p>
        </w:tc>
        <w:tc>
          <w:tcPr>
            <w:tcW w:w="1200" w:type="dxa"/>
            <w:vAlign w:val="bottom"/>
          </w:tcPr>
          <w:p>
            <w:pPr>
              <w:jc w:val="right"/>
              <w:ind w:right="83"/>
              <w:spacing w:after="0" w:line="135" w:lineRule="exact"/>
              <w:rPr>
                <w:sz w:val="20"/>
                <w:szCs w:val="20"/>
                <w:color w:val="auto"/>
              </w:rPr>
            </w:pPr>
            <w:r>
              <w:rPr>
                <w:rFonts w:ascii="Times New Roman" w:cs="Times New Roman" w:eastAsia="Times New Roman" w:hAnsi="Times New Roman"/>
                <w:sz w:val="13"/>
                <w:szCs w:val="13"/>
                <w:b w:val="1"/>
                <w:bCs w:val="1"/>
                <w:color w:val="auto"/>
                <w:w w:val="98"/>
              </w:rPr>
              <w:t>Weighted-Average</w:t>
            </w:r>
          </w:p>
        </w:tc>
        <w:tc>
          <w:tcPr>
            <w:tcW w:w="22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Remaining Term</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Intrinsic Value</w:t>
            </w:r>
          </w:p>
        </w:tc>
      </w:tr>
      <w:tr>
        <w:trPr>
          <w:trHeight w:val="155"/>
        </w:trPr>
        <w:tc>
          <w:tcPr>
            <w:tcW w:w="4860" w:type="dxa"/>
            <w:vAlign w:val="bottom"/>
          </w:tcPr>
          <w:p>
            <w:pPr>
              <w:spacing w:after="0"/>
              <w:rPr>
                <w:sz w:val="13"/>
                <w:szCs w:val="13"/>
                <w:color w:val="auto"/>
              </w:rPr>
            </w:pPr>
          </w:p>
        </w:tc>
        <w:tc>
          <w:tcPr>
            <w:tcW w:w="1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220" w:type="dxa"/>
            <w:vAlign w:val="bottom"/>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 Years)</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00" w:type="dxa"/>
            <w:vAlign w:val="bottom"/>
          </w:tcPr>
          <w:p>
            <w:pPr>
              <w:spacing w:after="0"/>
              <w:rPr>
                <w:sz w:val="13"/>
                <w:szCs w:val="13"/>
                <w:color w:val="auto"/>
              </w:rPr>
            </w:pPr>
          </w:p>
        </w:tc>
      </w:tr>
      <w:tr>
        <w:trPr>
          <w:trHeight w:val="19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12,391,815</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18,907</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1,249,240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Exercised</w:t>
            </w: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(551,334 )</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(1,491,377 )</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2024</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11,598,344</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at December 31,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7,856,919</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3,741,425</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16.11</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-299085</wp:posOffset>
            </wp:positionV>
            <wp:extent cx="774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774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The total intrinsic value of time-based stock options exercised was $6.7 million, $4.4 million, and $15.5 million for the years ended December 31, 2024, 2023, and 2022, respectively.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116" w:name="page117"/>
    <w:bookmarkEnd w:id="116"/>
    <w:p>
      <w:pPr>
        <w:ind w:right="80"/>
        <w:spacing w:after="0" w:line="281" w:lineRule="auto"/>
        <w:rPr>
          <w:sz w:val="20"/>
          <w:szCs w:val="20"/>
          <w:color w:val="auto"/>
        </w:rPr>
      </w:pPr>
      <w:r>
        <w:rPr>
          <w:rFonts w:ascii="Times New Roman" w:cs="Times New Roman" w:eastAsia="Times New Roman" w:hAnsi="Times New Roman"/>
          <w:sz w:val="16"/>
          <w:szCs w:val="16"/>
          <w:color w:val="auto"/>
        </w:rPr>
        <w:t>The fair value of each time-based stock option granted is estimated on the grant date using the Black-Scholes option pricing model, pursuant to which the weighted-average grant date fair values were $4.87, $12.83, and $13.67 during the years ended December 31, 2024, 2023, and 2022, respectively. The following table summarizes the assumptions used in calculating the fair value of the time-based stock options granted.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80" w:type="dxa"/>
            <w:vAlign w:val="bottom"/>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r>
      <w:tr>
        <w:trPr>
          <w:trHeight w:val="129"/>
        </w:trPr>
        <w:tc>
          <w:tcPr>
            <w:tcW w:w="4180" w:type="dxa"/>
            <w:vAlign w:val="bottom"/>
          </w:tcPr>
          <w:p>
            <w:pPr>
              <w:spacing w:after="0"/>
              <w:rPr>
                <w:sz w:val="11"/>
                <w:szCs w:val="11"/>
                <w:color w:val="auto"/>
              </w:rPr>
            </w:pPr>
          </w:p>
        </w:tc>
        <w:tc>
          <w:tcPr>
            <w:tcW w:w="2180" w:type="dxa"/>
            <w:vAlign w:val="bottom"/>
            <w:tcBorders>
              <w:bottom w:val="single" w:sz="8" w:color="auto"/>
            </w:tcBorders>
          </w:tcPr>
          <w:p>
            <w:pPr>
              <w:jc w:val="right"/>
              <w:ind w:right="883"/>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1"/>
                <w:szCs w:val="11"/>
                <w:color w:val="auto"/>
              </w:rPr>
            </w:pPr>
          </w:p>
        </w:tc>
        <w:tc>
          <w:tcPr>
            <w:tcW w:w="2180" w:type="dxa"/>
            <w:vAlign w:val="bottom"/>
            <w:tcBorders>
              <w:bottom w:val="single" w:sz="8" w:color="auto"/>
            </w:tcBorders>
          </w:tcPr>
          <w:p>
            <w:pPr>
              <w:jc w:val="right"/>
              <w:ind w:right="888"/>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1"/>
                <w:szCs w:val="11"/>
                <w:color w:val="auto"/>
              </w:rPr>
            </w:pPr>
          </w:p>
        </w:tc>
        <w:tc>
          <w:tcPr>
            <w:tcW w:w="2180" w:type="dxa"/>
            <w:vAlign w:val="bottom"/>
            <w:tcBorders>
              <w:bottom w:val="single" w:sz="8" w:color="auto"/>
            </w:tcBorders>
          </w:tcPr>
          <w:p>
            <w:pPr>
              <w:jc w:val="right"/>
              <w:ind w:right="885"/>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19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2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2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w:t>
            </w: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to 4.7%</w:t>
            </w:r>
          </w:p>
        </w:tc>
        <w:tc>
          <w:tcPr>
            <w:tcW w:w="26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to 5.0%</w:t>
            </w:r>
          </w:p>
        </w:tc>
        <w:tc>
          <w:tcPr>
            <w:tcW w:w="26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to 4.2%</w:t>
            </w:r>
          </w:p>
        </w:tc>
      </w:tr>
      <w:tr>
        <w:trPr>
          <w:trHeight w:val="20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 to 78.9%</w:t>
            </w:r>
          </w:p>
        </w:tc>
        <w:tc>
          <w:tcPr>
            <w:tcW w:w="260" w:type="dxa"/>
            <w:vAlign w:val="bottom"/>
            <w:shd w:val="clear" w:color="auto" w:fill="CFF0FC"/>
          </w:tcPr>
          <w:p>
            <w:pPr>
              <w:spacing w:after="0"/>
              <w:rPr>
                <w:sz w:val="17"/>
                <w:szCs w:val="17"/>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 to 79.8%</w:t>
            </w:r>
          </w:p>
        </w:tc>
        <w:tc>
          <w:tcPr>
            <w:tcW w:w="260" w:type="dxa"/>
            <w:vAlign w:val="bottom"/>
            <w:shd w:val="clear" w:color="auto" w:fill="CFF0FC"/>
          </w:tcPr>
          <w:p>
            <w:pPr>
              <w:spacing w:after="0"/>
              <w:rPr>
                <w:sz w:val="17"/>
                <w:szCs w:val="17"/>
                <w:color w:val="auto"/>
              </w:rPr>
            </w:pP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 to 76.2%</w:t>
            </w:r>
          </w:p>
        </w:tc>
      </w:tr>
      <w:tr>
        <w:trPr>
          <w:trHeight w:val="21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r>
    </w:tbl>
    <w:p>
      <w:pPr>
        <w:spacing w:after="0" w:line="19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Company uses the simplified method to calculate the expected term, as it does not have sufficient historical exercise data as a public company to provide a reasonable basis upon which to estimate the expected term for time-based stock options granted. The expected term is applied to the group of time-based stock option grants as a whole, as the Company does not expect substantially different exercise or post-vesting termination behavior amongst the Company’s employees, directors, and consultants. The risk-free interest rate is based on a U.S. treasury instrument, whose term is consistent with the expected term of the time-based stock options. The Company’s assumption for volatility is based on historical volatility of (a) the Company's stock price on the Nasdaq Global Market and (b) a group of peer companies with similar characteristics to the Company and who have similar risk profiles and positions within the industry. The Company has not historically issued dividends and, therefore, estimates none in calculating the grant date fair value of time-based stock options.</w:t>
      </w:r>
    </w:p>
    <w:p>
      <w:pPr>
        <w:spacing w:after="0" w:line="190" w:lineRule="exact"/>
        <w:rPr>
          <w:sz w:val="20"/>
          <w:szCs w:val="20"/>
          <w:color w:val="auto"/>
        </w:rPr>
      </w:pPr>
    </w:p>
    <w:p>
      <w:pPr>
        <w:ind w:right="520"/>
        <w:spacing w:after="0" w:line="298" w:lineRule="auto"/>
        <w:rPr>
          <w:sz w:val="20"/>
          <w:szCs w:val="20"/>
          <w:color w:val="auto"/>
        </w:rPr>
      </w:pPr>
      <w:r>
        <w:rPr>
          <w:rFonts w:ascii="Times New Roman" w:cs="Times New Roman" w:eastAsia="Times New Roman" w:hAnsi="Times New Roman"/>
          <w:sz w:val="16"/>
          <w:szCs w:val="16"/>
          <w:color w:val="auto"/>
        </w:rPr>
        <w:t>As of December 31, 2024, the total unrecognized stock compensation related to unvested time-based stock options was $34.4 million, which the Company expects to recognize over a weighted-average period of approximately 1.03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Performance-Based Stock Options</w:t>
      </w:r>
    </w:p>
    <w:p>
      <w:pPr>
        <w:spacing w:after="0" w:line="237"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6"/>
          <w:szCs w:val="16"/>
          <w:color w:val="auto"/>
        </w:rPr>
        <w:t>In prior years, the Company granted options to certain employees with vesting subject to achievement of certain performance conditions, as well as continued service over time. Specifically, commencement of vesting was contingent on achievement of various goals over specified periods, subject to approval by either the Company’s Board of Directors or President and Chief Executive Officer.</w:t>
      </w:r>
    </w:p>
    <w:p>
      <w:pPr>
        <w:spacing w:after="0" w:line="17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For the performance-based stock options, the Company applied variable accounting until the performance criteria were determined to be achieved, at which time vesting commenced over contractual service periods. Furthermore, because (a) the awards were authorized prior to the accounting grant date pursuant to ASC Topic 718, Stock Compensation ("ASC 718"), (b) the recipients were providing service prior to the accounting grant date, and (c) there were performance conditions that, if not met by the accounting grant date, would have resulted in the forfeiture of the award, the service inception dates preceded the accounting grant dates. Ultimately, the stock compensation expense for the options was determined based on the fair value of the awards on the accounting grant dates, which was then recognized using an accelerated attribution model over the vesting term commencing upon the actual or expected accounting grant dates.</w:t>
      </w:r>
    </w:p>
    <w:p>
      <w:pPr>
        <w:spacing w:after="0" w:line="184"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For the performance-based stock options granted in prior years, all performance conditions were resolved in prior years and the grant dates were set prior to December 31,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activity for performance-based stock options for the year ended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Aggregate</w:t>
            </w:r>
          </w:p>
        </w:tc>
      </w:tr>
      <w:tr>
        <w:trPr>
          <w:trHeight w:val="135"/>
        </w:trPr>
        <w:tc>
          <w:tcPr>
            <w:tcW w:w="4860" w:type="dxa"/>
            <w:vAlign w:val="bottom"/>
          </w:tcPr>
          <w:p>
            <w:pPr>
              <w:spacing w:after="0"/>
              <w:rPr>
                <w:sz w:val="11"/>
                <w:szCs w:val="11"/>
                <w:color w:val="auto"/>
              </w:rPr>
            </w:pPr>
          </w:p>
        </w:tc>
        <w:tc>
          <w:tcPr>
            <w:tcW w:w="1700" w:type="dxa"/>
            <w:vAlign w:val="bottom"/>
            <w:gridSpan w:val="2"/>
          </w:tcPr>
          <w:p>
            <w:pPr>
              <w:jc w:val="right"/>
              <w:ind w:right="70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1"/>
                <w:szCs w:val="11"/>
                <w:color w:val="auto"/>
              </w:rPr>
            </w:pPr>
          </w:p>
        </w:tc>
        <w:tc>
          <w:tcPr>
            <w:tcW w:w="1200" w:type="dxa"/>
            <w:vAlign w:val="bottom"/>
          </w:tcPr>
          <w:p>
            <w:pPr>
              <w:jc w:val="right"/>
              <w:ind w:right="84"/>
              <w:spacing w:after="0" w:line="135" w:lineRule="exact"/>
              <w:rPr>
                <w:sz w:val="20"/>
                <w:szCs w:val="20"/>
                <w:color w:val="auto"/>
              </w:rPr>
            </w:pPr>
            <w:r>
              <w:rPr>
                <w:rFonts w:ascii="Times New Roman" w:cs="Times New Roman" w:eastAsia="Times New Roman" w:hAnsi="Times New Roman"/>
                <w:sz w:val="13"/>
                <w:szCs w:val="13"/>
                <w:b w:val="1"/>
                <w:bCs w:val="1"/>
                <w:color w:val="auto"/>
                <w:w w:val="98"/>
              </w:rPr>
              <w:t>Weighted-Average</w:t>
            </w:r>
          </w:p>
        </w:tc>
        <w:tc>
          <w:tcPr>
            <w:tcW w:w="22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Remaining Term</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Intrinsic Value</w:t>
            </w:r>
          </w:p>
        </w:tc>
      </w:tr>
      <w:tr>
        <w:trPr>
          <w:trHeight w:val="155"/>
        </w:trPr>
        <w:tc>
          <w:tcPr>
            <w:tcW w:w="4860" w:type="dxa"/>
            <w:vAlign w:val="bottom"/>
          </w:tcPr>
          <w:p>
            <w:pPr>
              <w:spacing w:after="0"/>
              <w:rPr>
                <w:sz w:val="13"/>
                <w:szCs w:val="13"/>
                <w:color w:val="auto"/>
              </w:rPr>
            </w:pPr>
          </w:p>
        </w:tc>
        <w:tc>
          <w:tcPr>
            <w:tcW w:w="14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220" w:type="dxa"/>
            <w:vAlign w:val="bottom"/>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 Years)</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00" w:type="dxa"/>
            <w:vAlign w:val="bottom"/>
          </w:tcPr>
          <w:p>
            <w:pPr>
              <w:spacing w:after="0"/>
              <w:rPr>
                <w:sz w:val="13"/>
                <w:szCs w:val="13"/>
                <w:color w:val="auto"/>
              </w:rPr>
            </w:pPr>
          </w:p>
        </w:tc>
      </w:tr>
      <w:tr>
        <w:trPr>
          <w:trHeight w:val="19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1,705,951</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9,808</w:t>
            </w:r>
          </w:p>
        </w:tc>
        <w:tc>
          <w:tcPr>
            <w:tcW w:w="100" w:type="dxa"/>
            <w:vAlign w:val="bottom"/>
            <w:shd w:val="clear" w:color="auto" w:fill="CFF0FC"/>
          </w:tcPr>
          <w:p>
            <w:pPr>
              <w:spacing w:after="0"/>
              <w:rPr>
                <w:sz w:val="17"/>
                <w:szCs w:val="17"/>
                <w:color w:val="auto"/>
              </w:rPr>
            </w:pPr>
          </w:p>
        </w:tc>
      </w:tr>
      <w:tr>
        <w:trPr>
          <w:trHeight w:val="203"/>
        </w:trPr>
        <w:tc>
          <w:tcPr>
            <w:tcW w:w="4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Exercised</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(66,236 )</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(83,031 )</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4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2024</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1,556,684</w:t>
            </w:r>
          </w:p>
        </w:tc>
        <w:tc>
          <w:tcPr>
            <w:tcW w:w="2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6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44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Vested at December 31, 2024</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1,556,684</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8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-436245</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-162560</wp:posOffset>
            </wp:positionV>
            <wp:extent cx="7747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The total intrinsic value of performance-based stock options exercised was $0.1 million, $0.3 million, and $0.4 million for the years ended December 31, 2024, 2023, and 2022, respectively.</w:t>
      </w:r>
    </w:p>
    <w:p>
      <w:pPr>
        <w:spacing w:after="0" w:line="16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The fair value of each performance-based stock option granted in prior years was estimated on the accounting grant date, or at the end of each reporting period if variable accounting was applied, using the Black-Scholes option-pricing model. There were no performance-based stock options granted during the years ended December 31, 2024, 2023, and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the total unrecognized stock compensation related to unvested performance-based stock options was $0 million.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color w:val="auto"/>
        </w:rPr>
        <w:t>Time-Based RSUs</w:t>
      </w:r>
    </w:p>
    <w:p>
      <w:pPr>
        <w:spacing w:after="0" w:line="237"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The Company has historically granted RSUs to employees, directors, and consultants with vesting subject to continued service over time. Accordingly, stock compensation expense for such awards is recognized using a straight-line attribution model over the vesting term. The fair value of each time-based RSU is based on the closing price of the Company’s common stock on the date of grant.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activity for time-based RSUs for the year ended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r>
      <w:tr>
        <w:trPr>
          <w:trHeight w:val="135"/>
        </w:trPr>
        <w:tc>
          <w:tcPr>
            <w:tcW w:w="7420" w:type="dxa"/>
            <w:vAlign w:val="bottom"/>
          </w:tcPr>
          <w:p>
            <w:pPr>
              <w:spacing w:after="0"/>
              <w:rPr>
                <w:sz w:val="11"/>
                <w:szCs w:val="11"/>
                <w:color w:val="auto"/>
              </w:rPr>
            </w:pPr>
          </w:p>
        </w:tc>
        <w:tc>
          <w:tcPr>
            <w:tcW w:w="2200" w:type="dxa"/>
            <w:vAlign w:val="bottom"/>
            <w:gridSpan w:val="2"/>
          </w:tcPr>
          <w:p>
            <w:pPr>
              <w:jc w:val="right"/>
              <w:ind w:right="440"/>
              <w:spacing w:after="0" w:line="135" w:lineRule="exact"/>
              <w:rPr>
                <w:sz w:val="20"/>
                <w:szCs w:val="20"/>
                <w:color w:val="auto"/>
              </w:rPr>
            </w:pPr>
            <w:r>
              <w:rPr>
                <w:rFonts w:ascii="Times New Roman" w:cs="Times New Roman" w:eastAsia="Times New Roman" w:hAnsi="Times New Roman"/>
                <w:sz w:val="13"/>
                <w:szCs w:val="13"/>
                <w:b w:val="1"/>
                <w:bCs w:val="1"/>
                <w:color w:val="auto"/>
              </w:rPr>
              <w:t>Number of Shares Underlying</w:t>
            </w:r>
          </w:p>
        </w:tc>
        <w:tc>
          <w:tcPr>
            <w:tcW w:w="180" w:type="dxa"/>
            <w:vAlign w:val="bottom"/>
          </w:tcPr>
          <w:p>
            <w:pPr>
              <w:spacing w:after="0"/>
              <w:rPr>
                <w:sz w:val="11"/>
                <w:szCs w:val="11"/>
                <w:color w:val="auto"/>
              </w:rPr>
            </w:pPr>
          </w:p>
        </w:tc>
        <w:tc>
          <w:tcPr>
            <w:tcW w:w="14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 Date</w:t>
            </w:r>
          </w:p>
        </w:tc>
      </w:tr>
      <w:tr>
        <w:trPr>
          <w:trHeight w:val="155"/>
        </w:trPr>
        <w:tc>
          <w:tcPr>
            <w:tcW w:w="7420" w:type="dxa"/>
            <w:vAlign w:val="bottom"/>
          </w:tcPr>
          <w:p>
            <w:pPr>
              <w:spacing w:after="0"/>
              <w:rPr>
                <w:sz w:val="13"/>
                <w:szCs w:val="13"/>
                <w:color w:val="auto"/>
              </w:rPr>
            </w:pPr>
          </w:p>
        </w:tc>
        <w:tc>
          <w:tcPr>
            <w:tcW w:w="2200" w:type="dxa"/>
            <w:vAlign w:val="bottom"/>
            <w:gridSpan w:val="2"/>
          </w:tcPr>
          <w:p>
            <w:pPr>
              <w:jc w:val="right"/>
              <w:ind w:right="1100"/>
              <w:spacing w:after="0"/>
              <w:rPr>
                <w:sz w:val="20"/>
                <w:szCs w:val="20"/>
                <w:color w:val="auto"/>
              </w:rPr>
            </w:pPr>
            <w:r>
              <w:rPr>
                <w:rFonts w:ascii="Times New Roman" w:cs="Times New Roman" w:eastAsia="Times New Roman" w:hAnsi="Times New Roman"/>
                <w:sz w:val="13"/>
                <w:szCs w:val="13"/>
                <w:b w:val="1"/>
                <w:bCs w:val="1"/>
                <w:color w:val="auto"/>
              </w:rPr>
              <w:t>RSUs</w:t>
            </w:r>
          </w:p>
        </w:tc>
        <w:tc>
          <w:tcPr>
            <w:tcW w:w="18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r>
      <w:tr>
        <w:trPr>
          <w:trHeight w:val="196"/>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2,992,247</w:t>
            </w: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6,294,890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Pr>
          <w:p>
            <w:pPr>
              <w:spacing w:after="0"/>
              <w:rPr>
                <w:sz w:val="17"/>
                <w:szCs w:val="17"/>
                <w:color w:val="auto"/>
              </w:rPr>
            </w:pPr>
          </w:p>
        </w:tc>
      </w:tr>
      <w:tr>
        <w:trPr>
          <w:trHeight w:val="203"/>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Vested</w:t>
            </w:r>
          </w:p>
        </w:tc>
        <w:tc>
          <w:tcPr>
            <w:tcW w:w="2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(2,125,326 )</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shd w:val="clear" w:color="auto" w:fill="CFF0FC"/>
          </w:tcPr>
          <w:p>
            <w:pPr>
              <w:spacing w:after="0"/>
              <w:rPr>
                <w:sz w:val="17"/>
                <w:szCs w:val="17"/>
                <w:color w:val="auto"/>
              </w:rPr>
            </w:pPr>
          </w:p>
        </w:tc>
      </w:tr>
      <w:tr>
        <w:trPr>
          <w:trHeight w:val="203"/>
        </w:trPr>
        <w:tc>
          <w:tcPr>
            <w:tcW w:w="7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(1,353,152 )</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00" w:type="dxa"/>
            <w:vAlign w:val="bottom"/>
          </w:tcPr>
          <w:p>
            <w:pPr>
              <w:spacing w:after="0"/>
              <w:rPr>
                <w:sz w:val="17"/>
                <w:szCs w:val="17"/>
                <w:color w:val="auto"/>
              </w:rPr>
            </w:pPr>
          </w:p>
        </w:tc>
      </w:tr>
      <w:tr>
        <w:trPr>
          <w:trHeight w:val="236"/>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5,808,659</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time-based RSUs vested during the year ended December 31, 2024 was $15.2 million.</w:t>
      </w:r>
    </w:p>
    <w:p>
      <w:pPr>
        <w:spacing w:after="0" w:line="235"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As of December 31, 2024, the total unrecognized compensation related to unvested time-based RSUs granted was $51.5 million, which the Company expects to recognize over a weighted-average period of approximately 0.84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Performance-Based RSUs</w:t>
      </w:r>
    </w:p>
    <w:p>
      <w:pPr>
        <w:spacing w:after="0" w:line="237" w:lineRule="exact"/>
        <w:rPr>
          <w:sz w:val="20"/>
          <w:szCs w:val="20"/>
          <w:color w:val="auto"/>
        </w:rPr>
      </w:pPr>
    </w:p>
    <w:p>
      <w:pPr>
        <w:jc w:val="both"/>
        <w:ind w:right="360"/>
        <w:spacing w:after="0" w:line="275" w:lineRule="auto"/>
        <w:rPr>
          <w:sz w:val="20"/>
          <w:szCs w:val="20"/>
          <w:color w:val="auto"/>
        </w:rPr>
      </w:pPr>
      <w:r>
        <w:rPr>
          <w:rFonts w:ascii="Times New Roman" w:cs="Times New Roman" w:eastAsia="Times New Roman" w:hAnsi="Times New Roman"/>
          <w:sz w:val="16"/>
          <w:szCs w:val="16"/>
          <w:color w:val="auto"/>
        </w:rPr>
        <w:t>Besides the 2023 Market Based Awards summarized below, the Company had only granted time-based RSUs to employees, directors, and consultants, as summarized above, prior to the year ended December 31, 2024. During the year ended December 31, 2024, the Company granted RSUs to certain employees with vesting subject to achievement of certain performance conditions, as well as continued service over time. Specifically, commencement of vesting is contingent on achievement of various goals over specified periods, subject to approval by either the Company's Board of Directors or Compensation Committee of the Board of Directors.</w:t>
      </w:r>
    </w:p>
    <w:p>
      <w:pPr>
        <w:spacing w:after="0" w:line="18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For the performance-based RSUs, the Company applies variable accounting until the performance criteria are determined to be achieved, at which time vesting commences over contractual service periods. Furthermore, because (a) the awards are authorized prior to the accounting grant date pursuant to ASC 718, (b) the recipients are providing service prior to the accounting grant date, and (c) there are performance conditions that, if not met by the accounting grant date, would result in the forfeiture of the award, the service inception dates precede the accounting grant dates. Ultimately, the stock compensation expense for the RSUs are determined based on the fair value of the awards on the accounting grant dates, which are then recognized using an accelerated attribution model over the vesting term commencing upon the actual or expected accounting grant dates.</w:t>
      </w:r>
    </w:p>
    <w:p>
      <w:pPr>
        <w:spacing w:after="0" w:line="184"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For the performance-based RSUs granted during the year ended December 31, 2024, the performance conditions are only expected to be resolved in future periods and, therefore, the accounting grant dates were not set as of December 31,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activity for performance-based RSUs for the year ended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r>
      <w:tr>
        <w:trPr>
          <w:trHeight w:val="135"/>
        </w:trPr>
        <w:tc>
          <w:tcPr>
            <w:tcW w:w="7420" w:type="dxa"/>
            <w:vAlign w:val="bottom"/>
          </w:tcPr>
          <w:p>
            <w:pPr>
              <w:spacing w:after="0"/>
              <w:rPr>
                <w:sz w:val="11"/>
                <w:szCs w:val="11"/>
                <w:color w:val="auto"/>
              </w:rPr>
            </w:pPr>
          </w:p>
        </w:tc>
        <w:tc>
          <w:tcPr>
            <w:tcW w:w="2200" w:type="dxa"/>
            <w:vAlign w:val="bottom"/>
            <w:gridSpan w:val="2"/>
          </w:tcPr>
          <w:p>
            <w:pPr>
              <w:jc w:val="right"/>
              <w:ind w:right="440"/>
              <w:spacing w:after="0" w:line="135" w:lineRule="exact"/>
              <w:rPr>
                <w:sz w:val="20"/>
                <w:szCs w:val="20"/>
                <w:color w:val="auto"/>
              </w:rPr>
            </w:pPr>
            <w:r>
              <w:rPr>
                <w:rFonts w:ascii="Times New Roman" w:cs="Times New Roman" w:eastAsia="Times New Roman" w:hAnsi="Times New Roman"/>
                <w:sz w:val="13"/>
                <w:szCs w:val="13"/>
                <w:b w:val="1"/>
                <w:bCs w:val="1"/>
                <w:color w:val="auto"/>
              </w:rPr>
              <w:t>Number of Shares Underlying</w:t>
            </w:r>
          </w:p>
        </w:tc>
        <w:tc>
          <w:tcPr>
            <w:tcW w:w="180" w:type="dxa"/>
            <w:vAlign w:val="bottom"/>
          </w:tcPr>
          <w:p>
            <w:pPr>
              <w:spacing w:after="0"/>
              <w:rPr>
                <w:sz w:val="11"/>
                <w:szCs w:val="11"/>
                <w:color w:val="auto"/>
              </w:rPr>
            </w:pPr>
          </w:p>
        </w:tc>
        <w:tc>
          <w:tcPr>
            <w:tcW w:w="14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 Date</w:t>
            </w:r>
          </w:p>
        </w:tc>
      </w:tr>
      <w:tr>
        <w:trPr>
          <w:trHeight w:val="155"/>
        </w:trPr>
        <w:tc>
          <w:tcPr>
            <w:tcW w:w="7420" w:type="dxa"/>
            <w:vAlign w:val="bottom"/>
          </w:tcPr>
          <w:p>
            <w:pPr>
              <w:spacing w:after="0"/>
              <w:rPr>
                <w:sz w:val="13"/>
                <w:szCs w:val="13"/>
                <w:color w:val="auto"/>
              </w:rPr>
            </w:pPr>
          </w:p>
        </w:tc>
        <w:tc>
          <w:tcPr>
            <w:tcW w:w="192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3"/>
                <w:szCs w:val="13"/>
                <w:b w:val="1"/>
                <w:bCs w:val="1"/>
                <w:color w:val="auto"/>
              </w:rPr>
              <w:t>RSUs</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00" w:type="dxa"/>
            <w:vAlign w:val="bottom"/>
          </w:tcPr>
          <w:p>
            <w:pPr>
              <w:spacing w:after="0"/>
              <w:rPr>
                <w:sz w:val="13"/>
                <w:szCs w:val="13"/>
                <w:color w:val="auto"/>
              </w:rPr>
            </w:pPr>
          </w:p>
        </w:tc>
      </w:tr>
      <w:tr>
        <w:trPr>
          <w:trHeight w:val="196"/>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Unvested at December 31, 2023</w:t>
            </w:r>
          </w:p>
        </w:tc>
        <w:tc>
          <w:tcPr>
            <w:tcW w:w="22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1,777,985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00" w:type="dxa"/>
            <w:vAlign w:val="bottom"/>
          </w:tcPr>
          <w:p>
            <w:pPr>
              <w:spacing w:after="0"/>
              <w:rPr>
                <w:sz w:val="17"/>
                <w:szCs w:val="17"/>
                <w:color w:val="auto"/>
              </w:rPr>
            </w:pPr>
          </w:p>
        </w:tc>
      </w:tr>
      <w:tr>
        <w:trPr>
          <w:trHeight w:val="203"/>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Cancelled</w:t>
            </w:r>
          </w:p>
        </w:tc>
        <w:tc>
          <w:tcPr>
            <w:tcW w:w="2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(131,980 )</w:t>
            </w: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FF0FC"/>
          </w:tcPr>
          <w:p>
            <w:pPr>
              <w:spacing w:after="0"/>
              <w:rPr>
                <w:sz w:val="17"/>
                <w:szCs w:val="17"/>
                <w:color w:val="auto"/>
              </w:rPr>
            </w:pPr>
          </w:p>
        </w:tc>
      </w:tr>
      <w:tr>
        <w:trPr>
          <w:trHeight w:val="196"/>
        </w:trPr>
        <w:tc>
          <w:tcPr>
            <w:tcW w:w="7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Unvested at December 31, 2024</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1,646,005</w:t>
            </w: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3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Borders>
              <w:top w:val="single" w:sz="8" w:color="CFF0FC"/>
            </w:tcBorders>
          </w:tcPr>
          <w:p>
            <w:pPr>
              <w:spacing w:after="0"/>
              <w:rPr>
                <w:sz w:val="17"/>
                <w:szCs w:val="17"/>
                <w:color w:val="auto"/>
              </w:rPr>
            </w:pPr>
          </w:p>
        </w:tc>
      </w:tr>
      <w:tr>
        <w:trPr>
          <w:trHeight w:val="20"/>
        </w:trPr>
        <w:tc>
          <w:tcPr>
            <w:tcW w:w="74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-161925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values for "Granted" in the table above were calculated using the Company's closing stock prices on the grant dates.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values for "Cancelled" in the table above were calculated using the Company's closing stock prices on the cancellation dates.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values for "Unvested" in the table above were calculated using the Company's closing stock price on December 31, 2024.</w:t>
      </w:r>
    </w:p>
    <w:p>
      <w:pPr>
        <w:spacing w:after="0" w:line="235"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As of December 31, 2024, the total unrecognized compensation related to unvested performance-based RSUs granted was $1.7 million, which the Company expects to recognize over a weighted-average period of approximately 0.46 years.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color w:val="auto"/>
        </w:rPr>
        <w:t>Market-Based Awards</w:t>
      </w:r>
    </w:p>
    <w:p>
      <w:pPr>
        <w:spacing w:after="0" w:line="2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During the year ended December 31, 2023, the Company granted 1,512,820 stock options and 405,770 RSUs to certain employees, with vesting over three years of continued service and contingent upon achievement of certain market conditions ("2023 Market-Based Awards"). The Company measured the fair value of the 2023 Market-Based Awards on the grant date using a Monte Carlo Simulation, incorporating various option pricing inputs. Ultimately, the fair value of the 2023 Market-Based Awards was estimated as $12.53 per share for the stock options and $16.11 per share for the RSUs, yielding a total of $25.5 million. The total compensation expense, or $25.5 million, is being recognized pursuant to the accelerated attribution method over the requisite service period of three years, regardless of whether the market conditions have been achieved. The impact of forfeitures, if any, will be recognized upon occurrence.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other grants of similar awards during the years ended December 31, 2024 and 2022.</w:t>
      </w:r>
    </w:p>
    <w:p>
      <w:pPr>
        <w:spacing w:after="0" w:line="23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As of December 31, 2024, the market conditions underlying the 2023 Market-Based Awards had not been achieved and, therefore, none had vested. In connection therewith, none of the options were exercised and none of the RSUs were released through December 31, 2024. During the year ended December 31, 2024, 97,630 options and 48,815 RSUs from the Market-Based Awards were cancelled.</w:t>
      </w:r>
    </w:p>
    <w:p>
      <w:pPr>
        <w:spacing w:after="0" w:line="17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As of December 31, 2024, the total unrecognized compensation related to unvested market-based awards granted was $2.1 million, which the Company expects to recognize over a period of 1.07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Stock Purchase Plan</w:t>
      </w:r>
    </w:p>
    <w:p>
      <w:pPr>
        <w:spacing w:after="0" w:line="237"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6"/>
          <w:szCs w:val="16"/>
          <w:color w:val="auto"/>
        </w:rPr>
        <w:t>The following table summarizes activity under the Company's ESPP during the years ended December 31, 2024, 2023, and 2022, including (a) after-tax contributions from employees, (b) shares purchased, and (c) weighted-average assumptions used in the Black-Scholes option pricing model to estimate the fair value of the option component of the shares purchased.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8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4180" w:type="dxa"/>
            <w:vAlign w:val="bottom"/>
          </w:tcPr>
          <w:p>
            <w:pPr>
              <w:spacing w:after="0"/>
              <w:rPr>
                <w:sz w:val="11"/>
                <w:szCs w:val="11"/>
                <w:color w:val="auto"/>
              </w:rPr>
            </w:pPr>
          </w:p>
        </w:tc>
        <w:tc>
          <w:tcPr>
            <w:tcW w:w="1360" w:type="dxa"/>
            <w:vAlign w:val="bottom"/>
            <w:tcBorders>
              <w:bottom w:val="single" w:sz="8" w:color="auto"/>
            </w:tcBorders>
          </w:tcPr>
          <w:p>
            <w:pPr>
              <w:jc w:val="right"/>
              <w:ind w:right="108"/>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jc w:val="right"/>
              <w:ind w:right="84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842"/>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r>
      <w:tr>
        <w:trPr>
          <w:trHeight w:val="19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After-tax contributions (in thousands)</w:t>
            </w:r>
          </w:p>
        </w:tc>
        <w:tc>
          <w:tcPr>
            <w:tcW w:w="1360" w:type="dxa"/>
            <w:vAlign w:val="bottom"/>
            <w:shd w:val="clear" w:color="auto" w:fill="CFF0FC"/>
          </w:tcPr>
          <w:p>
            <w:pPr>
              <w:jc w:val="right"/>
              <w:ind w:right="1188"/>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8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shd w:val="clear" w:color="auto" w:fill="CFF0FC"/>
          </w:tcPr>
          <w:p>
            <w:pPr>
              <w:spacing w:after="0"/>
              <w:rPr>
                <w:sz w:val="17"/>
                <w:szCs w:val="17"/>
                <w:color w:val="auto"/>
              </w:rPr>
            </w:pP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of common stock purchased</w:t>
            </w:r>
          </w:p>
        </w:tc>
        <w:tc>
          <w:tcPr>
            <w:tcW w:w="1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303,670</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244,125</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123,019</w:t>
            </w:r>
          </w:p>
        </w:tc>
        <w:tc>
          <w:tcPr>
            <w:tcW w:w="100" w:type="dxa"/>
            <w:vAlign w:val="bottom"/>
          </w:tcPr>
          <w:p>
            <w:pPr>
              <w:spacing w:after="0"/>
              <w:rPr>
                <w:sz w:val="17"/>
                <w:szCs w:val="17"/>
                <w:color w:val="auto"/>
              </w:rPr>
            </w:pPr>
          </w:p>
        </w:tc>
      </w:tr>
      <w:tr>
        <w:trPr>
          <w:trHeight w:val="20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3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shd w:val="clear" w:color="auto" w:fill="CFF0FC"/>
          </w:tcPr>
          <w:p>
            <w:pPr>
              <w:spacing w:after="0"/>
              <w:rPr>
                <w:sz w:val="17"/>
                <w:szCs w:val="17"/>
                <w:color w:val="auto"/>
              </w:rPr>
            </w:pPr>
          </w:p>
        </w:tc>
      </w:tr>
      <w:tr>
        <w:trPr>
          <w:trHeight w:val="20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r>
      <w:tr>
        <w:trPr>
          <w:trHeight w:val="20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3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shd w:val="clear" w:color="auto" w:fill="CFF0FC"/>
          </w:tcPr>
          <w:p>
            <w:pPr>
              <w:spacing w:after="0"/>
              <w:rPr>
                <w:sz w:val="17"/>
                <w:szCs w:val="17"/>
                <w:color w:val="auto"/>
              </w:rPr>
            </w:pPr>
          </w:p>
        </w:tc>
      </w:tr>
      <w:tr>
        <w:trPr>
          <w:trHeight w:val="21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8"/>
                <w:szCs w:val="18"/>
                <w:color w:val="auto"/>
              </w:rPr>
            </w:pPr>
          </w:p>
        </w:tc>
      </w:tr>
    </w:tbl>
    <w:p>
      <w:pPr>
        <w:spacing w:after="0" w:line="194"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As of December 31, 2024, there was no unrecognized stock compensation expense related to ESPP, since the purchase for the offering period between July 1, 2024 and December 31, 2024 was transacted on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Net Loss per Share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computation of basic and diluted net loss per share of the Company: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66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66"/>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64"/>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4"/>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r>
      <w:tr>
        <w:trPr>
          <w:trHeight w:val="128"/>
        </w:trPr>
        <w:tc>
          <w:tcPr>
            <w:tcW w:w="6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60" w:type="dxa"/>
            <w:vAlign w:val="bottom"/>
            <w:gridSpan w:val="7"/>
          </w:tcPr>
          <w:p>
            <w:pPr>
              <w:jc w:val="right"/>
              <w:ind w:right="39"/>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(337,708 )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(341,973 )</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(290,509 )</w:t>
            </w:r>
          </w:p>
        </w:tc>
      </w:tr>
      <w:tr>
        <w:trPr>
          <w:trHeight w:val="20"/>
        </w:trPr>
        <w:tc>
          <w:tcPr>
            <w:tcW w:w="6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(2.36 )</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(2.79 )</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shares of common stock, basic and diluted</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142,867,844</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122,576,527</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112,233,649</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-316865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-316865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6"/>
          <w:szCs w:val="16"/>
          <w:color w:val="auto"/>
        </w:rPr>
        <w:t>For the years ended December 31, 2024, 2023, and 2022, the weighted-average number of shares of common stock outstanding used to calculate both basic and diluted net loss per share is the same. In computing diluted net loss per share for the years ended December 31, 2024, 2023, and 2022, the Company excluded the following potentially dilutive securities, as the effect would be anti-dilutive and reduce the net loss per share calculated for each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6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6560" w:type="dxa"/>
            <w:vAlign w:val="bottom"/>
          </w:tcPr>
          <w:p>
            <w:pPr>
              <w:spacing w:after="0"/>
              <w:rPr>
                <w:sz w:val="11"/>
                <w:szCs w:val="11"/>
                <w:color w:val="auto"/>
              </w:rPr>
            </w:pPr>
          </w:p>
        </w:tc>
        <w:tc>
          <w:tcPr>
            <w:tcW w:w="1380" w:type="dxa"/>
            <w:vAlign w:val="bottom"/>
            <w:tcBorders>
              <w:bottom w:val="single" w:sz="8" w:color="auto"/>
            </w:tcBorders>
          </w:tcPr>
          <w:p>
            <w:pPr>
              <w:jc w:val="right"/>
              <w:ind w:right="483"/>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1"/>
                <w:szCs w:val="11"/>
                <w:color w:val="auto"/>
              </w:rPr>
            </w:pPr>
          </w:p>
        </w:tc>
        <w:tc>
          <w:tcPr>
            <w:tcW w:w="1360" w:type="dxa"/>
            <w:vAlign w:val="bottom"/>
            <w:tcBorders>
              <w:bottom w:val="single" w:sz="8" w:color="auto"/>
            </w:tcBorders>
          </w:tcPr>
          <w:p>
            <w:pPr>
              <w:jc w:val="right"/>
              <w:ind w:right="485"/>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1"/>
                <w:szCs w:val="11"/>
                <w:color w:val="auto"/>
              </w:rPr>
            </w:pPr>
          </w:p>
        </w:tc>
        <w:tc>
          <w:tcPr>
            <w:tcW w:w="1380" w:type="dxa"/>
            <w:vAlign w:val="bottom"/>
            <w:tcBorders>
              <w:bottom w:val="single" w:sz="8" w:color="auto"/>
            </w:tcBorders>
          </w:tcPr>
          <w:p>
            <w:pPr>
              <w:jc w:val="right"/>
              <w:ind w:right="503"/>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r>
      <w:tr>
        <w:trPr>
          <w:trHeight w:val="19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Options outstanding to purchase common stock</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14,570,218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15,610,586</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11,050,735</w:t>
            </w: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and outstanding restricted stock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7,811,619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3,398,017</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1,566,760</w:t>
            </w:r>
          </w:p>
        </w:tc>
        <w:tc>
          <w:tcPr>
            <w:tcW w:w="100" w:type="dxa"/>
            <w:vAlign w:val="bottom"/>
          </w:tcPr>
          <w:p>
            <w:pPr>
              <w:spacing w:after="0"/>
              <w:rPr>
                <w:sz w:val="17"/>
                <w:szCs w:val="17"/>
                <w:color w:val="auto"/>
              </w:rPr>
            </w:pPr>
          </w:p>
        </w:tc>
      </w:tr>
      <w:tr>
        <w:trPr>
          <w:trHeight w:val="203"/>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issued upon milestone achievement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1,535,404</w:t>
            </w:r>
          </w:p>
        </w:tc>
        <w:tc>
          <w:tcPr>
            <w:tcW w:w="2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201,569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6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22,381,837</w:t>
            </w:r>
          </w:p>
        </w:tc>
        <w:tc>
          <w:tcPr>
            <w:tcW w:w="24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20,544,007</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12,819,064</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-144780</wp:posOffset>
            </wp:positionV>
            <wp:extent cx="768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-144780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amounts included in the table above for options and RSUs are presented based on amounts outstanding at each period end.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119" w:name="page120"/>
    <w:bookmarkEnd w:id="119"/>
    <w:p>
      <w:pPr>
        <w:spacing w:after="0" w:line="298" w:lineRule="auto"/>
        <w:rPr>
          <w:sz w:val="20"/>
          <w:szCs w:val="20"/>
          <w:color w:val="auto"/>
        </w:rPr>
      </w:pPr>
      <w:r>
        <w:rPr>
          <w:rFonts w:ascii="Times New Roman" w:cs="Times New Roman" w:eastAsia="Times New Roman" w:hAnsi="Times New Roman"/>
          <w:sz w:val="16"/>
          <w:szCs w:val="16"/>
          <w:color w:val="auto"/>
        </w:rPr>
        <w:t>The amounts included in the table above for common stock issued upon milestone achievement are presented based on the weighted-average anti-dilutive effect from shares issued in connection with Contingent Milestone Payments in each of the periods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Collaboration and License Agreements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Genentech, Inc.</w:t>
      </w:r>
    </w:p>
    <w:p>
      <w:pPr>
        <w:spacing w:after="0" w:line="239"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 December 2020, the Company and Genentech, Inc. ("Genentech") entered into the Collaboration and License Agreement (as amended from time to time, the "Genentech Agreement"), which granted Genentech a license to develop and commercialize migoprotafib (GDC-1971, formerly known as RLY-1971).</w:t>
      </w:r>
    </w:p>
    <w:p>
      <w:pPr>
        <w:spacing w:after="0" w:line="16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Effective as of January 7, 2025 (the "Termination Date"), Genentech elected to terminate the Genetech Agreement without cause. As a result of the termination of the Genentech Agreement, the Company is not entitled to receive any further milestones or other payments due after the Termination Date. The parties ceased to have any development or commercialization obligations after the Termination Date and the licenses the Company granted to Genentech pursuant to the Genentech Agreement ceased to be in effect as of the Termination Date.</w:t>
      </w:r>
    </w:p>
    <w:p>
      <w:pPr>
        <w:spacing w:after="0" w:line="183"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As of December 31, 2024, consideration under the Genentech Agreement totaled $121.8 million, which included $10.0 million paid to the Company in connection with a milestone achieved during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Analysis</w:t>
      </w:r>
    </w:p>
    <w:p>
      <w:pPr>
        <w:spacing w:after="0" w:line="237" w:lineRule="exact"/>
        <w:rPr>
          <w:sz w:val="20"/>
          <w:szCs w:val="20"/>
          <w:color w:val="auto"/>
        </w:rPr>
      </w:pPr>
    </w:p>
    <w:p>
      <w:pPr>
        <w:ind w:left="380" w:hanging="372"/>
        <w:spacing w:after="0"/>
        <w:tabs>
          <w:tab w:leader="none" w:pos="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Contract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concluded Genentech was a customer and, as such, the Genentech Agreement was within the scope of ASC 606.</w:t>
      </w:r>
    </w:p>
    <w:p>
      <w:pPr>
        <w:spacing w:after="0" w:line="235"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Performance Obligations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commencement of the Genentech Agreement, the Company identified the following performance obligations:</w:t>
      </w:r>
    </w:p>
    <w:p>
      <w:pPr>
        <w:spacing w:after="0" w:line="235" w:lineRule="exact"/>
        <w:rPr>
          <w:sz w:val="20"/>
          <w:szCs w:val="20"/>
          <w:color w:val="auto"/>
        </w:rPr>
      </w:pPr>
    </w:p>
    <w:p>
      <w:pPr>
        <w:ind w:left="380" w:hanging="372"/>
        <w:spacing w:after="0"/>
        <w:tabs>
          <w:tab w:leader="none" w:pos="3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 to develop and commercialize migoprotafib and the related know-how;</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services to complete the Phase 1a Trial for migoprotafib; and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of active pharmaceutical ingredient and other materials related to migoprotafib.</w:t>
      </w:r>
    </w:p>
    <w:p>
      <w:pPr>
        <w:spacing w:after="0" w:line="235" w:lineRule="exact"/>
        <w:rPr>
          <w:sz w:val="20"/>
          <w:szCs w:val="20"/>
          <w:color w:val="auto"/>
        </w:rPr>
      </w:pPr>
    </w:p>
    <w:p>
      <w:pPr>
        <w:ind w:left="380" w:hanging="372"/>
        <w:spacing w:after="0"/>
        <w:tabs>
          <w:tab w:leader="none" w:pos="3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Transaction Price</w:t>
      </w:r>
    </w:p>
    <w:p>
      <w:pPr>
        <w:spacing w:after="0" w:line="23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As of December 31, 2024, the transaction price for the Genentech Agreement was $121.8 million, which included non-refundable payments and milestones paid. In connection therewith, certain milestone payments and royalties were excluded from the transaction price as of December 31, 2024, because such payments were variable consideration fully constrained. As part of management’s evaluation of the constraint, the Company considered numerous factors, including consideration of the fact that achievement of the milestones is outside of the Company’s control, contingent upon Genentech’s efforts, the receipt of regulatory approval, and subject to scientific risks of success.</w:t>
      </w:r>
    </w:p>
    <w:p>
      <w:pPr>
        <w:spacing w:after="0" w:line="186" w:lineRule="exact"/>
        <w:rPr>
          <w:sz w:val="20"/>
          <w:szCs w:val="20"/>
          <w:color w:val="auto"/>
        </w:rPr>
      </w:pPr>
    </w:p>
    <w:p>
      <w:pPr>
        <w:ind w:left="380" w:hanging="372"/>
        <w:spacing w:after="0"/>
        <w:tabs>
          <w:tab w:leader="none" w:pos="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of Transaction Price to Performance Obligations</w:t>
      </w:r>
    </w:p>
    <w:p>
      <w:pPr>
        <w:spacing w:after="0" w:line="235"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The Company allocated the transaction price of $121.8 million to each performance obligation based on estimates of their stand-alone selling prices ("SSP"). The SSP for the license was determined using an approach that considered discounted, probability-weighted cash flows related to the license transferred. The Company also reviewed comparable market transactions in determining the SSP of the license. The SSP for the research and development services and the transfer of active pharmaceutical ingredient were based on estimates of the associated effort and cost of such services, as well as the cost to manufacture the active pharmaceutical ingredient, adjusted for a reasonable profit margin expected to be realized under similar contracts.</w:t>
      </w:r>
    </w:p>
    <w:p>
      <w:pPr>
        <w:spacing w:after="0" w:line="186" w:lineRule="exact"/>
        <w:rPr>
          <w:sz w:val="20"/>
          <w:szCs w:val="20"/>
          <w:color w:val="auto"/>
        </w:rPr>
      </w:pPr>
    </w:p>
    <w:p>
      <w:pPr>
        <w:ind w:left="380" w:hanging="372"/>
        <w:spacing w:after="0"/>
        <w:tabs>
          <w:tab w:leader="none" w:pos="3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Revenue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recognized revenue for each of the performance obligations as follows.</w:t>
      </w:r>
    </w:p>
    <w:p>
      <w:pPr>
        <w:spacing w:after="0" w:line="235" w:lineRule="exact"/>
        <w:rPr>
          <w:sz w:val="20"/>
          <w:szCs w:val="20"/>
          <w:color w:val="auto"/>
        </w:rPr>
      </w:pPr>
    </w:p>
    <w:p>
      <w:pPr>
        <w:ind w:left="380" w:right="200" w:hanging="372"/>
        <w:spacing w:after="0" w:line="275" w:lineRule="auto"/>
        <w:tabs>
          <w:tab w:leader="none" w:pos="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execution of the Genentech Agreement in 2020, the license and related know-how were transferred. Therefore, the full amount allocated to the license and related know-how at such time was recognized immediately in 2020. As the transaction price has been updated through December 31, 2024, any changes to the amount allocated to the performance obligation have also been recognized immediately. Revenue recognized related to the performance obligation during the years ended December 31, 2024, 2023, and 2022 was $9.6 million, $24.0 million, and $0.3 million, respectively.</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14" w:right="399" w:bottom="1440" w:gutter="0" w:footer="0" w:header="0"/>
        </w:sectPr>
      </w:pPr>
    </w:p>
    <w:bookmarkStart w:id="120" w:name="page121"/>
    <w:bookmarkEnd w:id="120"/>
    <w:p>
      <w:pPr>
        <w:ind w:left="380" w:right="20" w:hanging="372"/>
        <w:spacing w:after="0" w:line="272" w:lineRule="auto"/>
        <w:tabs>
          <w:tab w:leader="none" w:pos="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obligation for research and development services consisted of the Company completing the Phase 1a clinical trial initiated in 2020. The Company fully satisfied the performance obligation during the year ended December 31, 2023, recognizing revenue over time using a cost-based input method by calculating actual costs incurred through each period end in comparison to the total estimated costs expected to be incurred. As the transaction price has been updated through December 31, 2024, any changes to the amount allocated to the performance obligation has also been recognized consistent with the model noted. Revenue recognized related to the performance obligation during the years ended December 31, 2024, 2023, and 2022 was $0.3 million, $1.4 million, and $0.7 million, respectively.</w:t>
      </w:r>
    </w:p>
    <w:p>
      <w:pPr>
        <w:spacing w:after="0" w:line="185" w:lineRule="exact"/>
        <w:rPr>
          <w:rFonts w:ascii="Times New Roman" w:cs="Times New Roman" w:eastAsia="Times New Roman" w:hAnsi="Times New Roman"/>
          <w:sz w:val="16"/>
          <w:szCs w:val="16"/>
          <w:color w:val="auto"/>
        </w:rPr>
      </w:pPr>
    </w:p>
    <w:p>
      <w:pPr>
        <w:ind w:left="380" w:hanging="372"/>
        <w:spacing w:after="0" w:line="275" w:lineRule="auto"/>
        <w:tabs>
          <w:tab w:leader="none" w:pos="3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the transaction price originally allocated to the performance obligation for active pharmaceutical ingredient was recognized in full upon transfer of such material to Genentech in 2021. As the transaction price has been updated through December 31, 2024, any changes to the amount allocated to the performance obligation have also been recognized immediately. Revenue recognized related to the performance obligation during the years ended December 31, 2024, 2023, and 2022 was $0.1 million, $0.1 million, and $0.1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Elevar Therapeutics, Inc.</w:t>
      </w:r>
    </w:p>
    <w:p>
      <w:pPr>
        <w:spacing w:after="0" w:line="239"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6"/>
          <w:szCs w:val="16"/>
          <w:color w:val="auto"/>
        </w:rPr>
        <w:t>In December 2024, the Company and Elevar Therapeutics, Inc. ("Elevar") entered into the Exclusive License Agreement ("Elevar Agreement"), pursuant to which Elevar was granted exclusive global development and commercialization rights for lirafugratinib (RLY-4008), the Company's selective oral small molecule inhibitor of fibroblast growth factor receptor 2 ("FGFR2"). Upon execution of the Elevar Agreement, Elevar is responsible for all further development activities and global commercialization for lirafugratinib in FGFR2-driven cholangiocarcinoma and FGFR2-altered other solid tumors.</w:t>
      </w:r>
    </w:p>
    <w:p>
      <w:pPr>
        <w:spacing w:after="0" w:line="18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As of December 31, 2024, consideration under the Elevar Agreement totaled $7.7 million, which included $5.0 million paid in upfront consideration and $2.7 million paid for the transfer of active pharmaceutical ingredient and other materials. The Company is also eligible to receive up to $495.0 million in regulatory and commercial milestone payments, as well as tiered royalties.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Analysis</w:t>
      </w:r>
    </w:p>
    <w:p>
      <w:pPr>
        <w:spacing w:after="0" w:line="237" w:lineRule="exact"/>
        <w:rPr>
          <w:sz w:val="20"/>
          <w:szCs w:val="20"/>
          <w:color w:val="auto"/>
        </w:rPr>
      </w:pPr>
    </w:p>
    <w:p>
      <w:pPr>
        <w:ind w:left="380" w:hanging="372"/>
        <w:spacing w:after="0"/>
        <w:tabs>
          <w:tab w:leader="none" w:pos="3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Contract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concluded Elevar was a customer and, as such, the Elevar Agreement was within the scope of ASC 606.</w:t>
      </w:r>
    </w:p>
    <w:p>
      <w:pPr>
        <w:spacing w:after="0" w:line="235" w:lineRule="exact"/>
        <w:rPr>
          <w:sz w:val="20"/>
          <w:szCs w:val="20"/>
          <w:color w:val="auto"/>
        </w:rPr>
      </w:pPr>
    </w:p>
    <w:p>
      <w:pPr>
        <w:ind w:left="380" w:hanging="372"/>
        <w:spacing w:after="0"/>
        <w:tabs>
          <w:tab w:leader="none" w:pos="38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Performance Obligations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commencement of the Elevar Agreement, the Company identified the following performance obligations:</w:t>
      </w:r>
    </w:p>
    <w:p>
      <w:pPr>
        <w:spacing w:after="0" w:line="235" w:lineRule="exact"/>
        <w:rPr>
          <w:sz w:val="20"/>
          <w:szCs w:val="20"/>
          <w:color w:val="auto"/>
        </w:rPr>
      </w:pPr>
    </w:p>
    <w:p>
      <w:pPr>
        <w:ind w:left="380" w:hanging="372"/>
        <w:spacing w:after="0"/>
        <w:tabs>
          <w:tab w:leader="none" w:pos="3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 to develop and commercialize lirafugratinib and the related know-how; and</w:t>
      </w:r>
    </w:p>
    <w:p>
      <w:pPr>
        <w:spacing w:after="0" w:line="23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of active pharmaceutical ingredient and other materials related to lirafugratinib.</w:t>
      </w:r>
    </w:p>
    <w:p>
      <w:pPr>
        <w:spacing w:after="0" w:line="235" w:lineRule="exact"/>
        <w:rPr>
          <w:sz w:val="20"/>
          <w:szCs w:val="20"/>
          <w:color w:val="auto"/>
        </w:rPr>
      </w:pPr>
    </w:p>
    <w:p>
      <w:pPr>
        <w:ind w:left="380" w:hanging="372"/>
        <w:spacing w:after="0"/>
        <w:tabs>
          <w:tab w:leader="none" w:pos="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Transaction Price</w:t>
      </w:r>
    </w:p>
    <w:p>
      <w:pPr>
        <w:spacing w:after="0" w:line="23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As of December 31, 2024, the transaction price for the Elevar Agreement was $7.7 million, which included the payments noted above. In connection therewith, certain milestone payments and royalties were excluded from the transaction price as of December 31, 2024, because such payments were variable consideration fully constrained. As part of management’s evaluation of the constraint, the Company considered numerous factors, including consideration of the fact that achievement of the milestones is outside of the Company’s control, contingent upon Elevar's efforts, the receipt of regulatory approval, and subject to scientific risks of success.</w:t>
      </w:r>
    </w:p>
    <w:p>
      <w:pPr>
        <w:spacing w:after="0" w:line="183" w:lineRule="exact"/>
        <w:rPr>
          <w:sz w:val="20"/>
          <w:szCs w:val="20"/>
          <w:color w:val="auto"/>
        </w:rPr>
      </w:pPr>
    </w:p>
    <w:p>
      <w:pPr>
        <w:ind w:left="380" w:hanging="372"/>
        <w:spacing w:after="0"/>
        <w:tabs>
          <w:tab w:leader="none" w:pos="3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of Transaction Price to Performance Obligations</w:t>
      </w:r>
    </w:p>
    <w:p>
      <w:pPr>
        <w:spacing w:after="0" w:line="235"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16"/>
          <w:szCs w:val="16"/>
          <w:color w:val="auto"/>
        </w:rPr>
        <w:t>The Company allocated the transaction price of $7.7 million to each performance obligation based on estimates of their stand-alone selling prices ("SSP"). However, the estimates had no impact on the Company's consolidated financial statements as of December 31, 2024, since no revenue was recognized through December 31, 2024, as noted below.</w:t>
      </w:r>
    </w:p>
    <w:p>
      <w:pPr>
        <w:spacing w:after="0" w:line="177" w:lineRule="exact"/>
        <w:rPr>
          <w:sz w:val="20"/>
          <w:szCs w:val="20"/>
          <w:color w:val="auto"/>
        </w:rPr>
      </w:pPr>
    </w:p>
    <w:p>
      <w:pPr>
        <w:ind w:left="380" w:hanging="372"/>
        <w:spacing w:after="0"/>
        <w:tabs>
          <w:tab w:leader="none" w:pos="3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Revenue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expects to recognize revenue for each of the performance obligations as follows.</w:t>
      </w:r>
    </w:p>
    <w:p>
      <w:pPr>
        <w:spacing w:after="0" w:line="235" w:lineRule="exact"/>
        <w:rPr>
          <w:sz w:val="20"/>
          <w:szCs w:val="20"/>
          <w:color w:val="auto"/>
        </w:rPr>
      </w:pPr>
    </w:p>
    <w:p>
      <w:pPr>
        <w:ind w:left="380" w:right="180" w:hanging="372"/>
        <w:spacing w:after="0" w:line="298" w:lineRule="auto"/>
        <w:tabs>
          <w:tab w:leader="none" w:pos="3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 Company had not completed transfer of the license to develop and commercialize lirafugratinib and the related know-how. Therefore, no amounts were recognized as revenue for the performance obligation through December 31, 2024.</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4" w:right="359" w:bottom="1440" w:gutter="0" w:footer="0" w:header="0"/>
        </w:sectPr>
      </w:pPr>
    </w:p>
    <w:bookmarkStart w:id="121" w:name="page122"/>
    <w:bookmarkEnd w:id="121"/>
    <w:p>
      <w:pPr>
        <w:ind w:left="380" w:right="100" w:hanging="372"/>
        <w:spacing w:after="0" w:line="298" w:lineRule="auto"/>
        <w:tabs>
          <w:tab w:leader="none" w:pos="3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the Company had not completed transfer of the active pharmaceutical ingredient and other materials related to lirafugratinib. Therefore, no amounts were recognized as revenue for the performance obligation through December 31, 2024.</w:t>
      </w:r>
    </w:p>
    <w:p>
      <w:pPr>
        <w:spacing w:after="0" w:line="164"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As of December 31, 2024, the total consideration paid under the Elevar Agreement of $7.7 million was recorded as deferred revenue within current liabilities on the Company's consolidated balance sheets. The Company expects to recognize the amount noted as license and other revenue upon completion of the performance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Commitments and Contingencies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Intellectual Property License</w:t>
      </w:r>
    </w:p>
    <w:p>
      <w:pPr>
        <w:spacing w:after="0" w:line="23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The Company has a Collaboration and License Agreement with D. E. Shaw Research, LLC ("D. E. Shaw Research"). The contract provides the parties will jointly conduct research efforts with the goal of identifying and developing product candidates. The original term of the contract was three years and required the Company to pay an annual fee of $1.0 million. On June 15, 2020, the Company and D. E. Shaw Research agreed to amend the Collaboration and License Agreement and increase the annual fee from $1.0 million to $9.9 million (the "DESRES Agreement"). The DESRES Agreement also extended the initial research term of the agreement to August 16, 2025, continuing thereafter on a target-by-target basis until all payment obligations have expired.</w:t>
      </w:r>
    </w:p>
    <w:p>
      <w:pPr>
        <w:spacing w:after="0" w:line="18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The Company is obligated to pay development milestone payments under the terms of the DESRES Agreement up to $7.3 million per target, plus sales milestones and royalties, upon the achievement of certain specified contingent events. Such payments for achievement of development and regulatory milestones total up to $7.3 million in the aggregate for each of the first three products the Company develops and up to $6.3 million, in the aggregate, for each product the Company develops thereafter. The Company assessed the milestone events and royalties under the DESRES Agreement as of December 31, 2024 and 2023, concluding no such payments were due.</w:t>
      </w:r>
    </w:p>
    <w:p>
      <w:pPr>
        <w:spacing w:after="0" w:line="183" w:lineRule="exact"/>
        <w:rPr>
          <w:sz w:val="20"/>
          <w:szCs w:val="20"/>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For the years ended December 31, 2024, 2023, and 2022, the Company recorded research and development expenses of $9.7 million, $9.5 million, and $9.4 million, respectively, under the DESRES Agreement on its consolidated statements of operations.</w:t>
      </w:r>
    </w:p>
    <w:p>
      <w:pPr>
        <w:spacing w:after="0" w:line="164"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As of December 31, 2024 and 2023, the Company had prepaid balances of $5.9 million and $5.4 million, respectively, under the DESRES Agreement on its consolidated balance sheets.</w:t>
      </w:r>
    </w:p>
    <w:p>
      <w:pPr>
        <w:spacing w:after="0" w:line="164"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As of December 31, 2024 and 2023, the Company had accrued expense and accounts payable balances of $0.1 million and $0, respectively, under the DESRES Agreement on its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Research Arrangements</w:t>
      </w:r>
    </w:p>
    <w:p>
      <w:pPr>
        <w:spacing w:after="0" w:line="239"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The Company has certain other research and license arrangements and other collaborations with third parties, which provide the Company with specified research and/or development services.</w:t>
      </w:r>
    </w:p>
    <w:p>
      <w:pPr>
        <w:spacing w:after="0" w:line="162" w:lineRule="exact"/>
        <w:rPr>
          <w:sz w:val="20"/>
          <w:szCs w:val="20"/>
          <w:color w:val="auto"/>
        </w:rPr>
      </w:pPr>
    </w:p>
    <w:p>
      <w:pPr>
        <w:ind w:left="260" w:hanging="252"/>
        <w:spacing w:after="0"/>
        <w:tabs>
          <w:tab w:leader="none" w:pos="260"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Operating Leases</w:t>
      </w:r>
    </w:p>
    <w:p>
      <w:pPr>
        <w:spacing w:after="0" w:line="234" w:lineRule="exact"/>
        <w:rPr>
          <w:rFonts w:ascii="Times New Roman" w:cs="Times New Roman" w:eastAsia="Times New Roman" w:hAnsi="Times New Roman"/>
          <w:sz w:val="16"/>
          <w:szCs w:val="16"/>
          <w:b w:val="1"/>
          <w:bCs w:val="1"/>
          <w:color w:val="auto"/>
        </w:rPr>
      </w:pPr>
    </w:p>
    <w:p>
      <w:pPr>
        <w:ind w:left="300" w:hanging="292"/>
        <w:spacing w:after="0"/>
        <w:tabs>
          <w:tab w:leader="none" w:pos="300"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Binney Street</w:t>
      </w:r>
    </w:p>
    <w:p>
      <w:pPr>
        <w:spacing w:after="0" w:line="23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 December 2017, the Company entered into an operating lease agreement for 44,336 square feet of office and laboratory space at 399 Binney Street, Cambridge, Massachusetts, which was increased to 44,807 square feet in January 2018. The Company gained control of the leased space in January 2019 and, accordingly, recorded an operating lease right-of-use asset and liability at such time. The operating lease expires in April 2029, subject to certain renewal options, which have not been included in the Company’s operating lease right-of-use asset and liability, as the Company is not reasonably certain to exercise such options as of December 31, 2024.</w:t>
      </w:r>
    </w:p>
    <w:p>
      <w:pPr>
        <w:spacing w:after="0" w:line="18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In September 2020, the Company entered into an amendment to its operating lease agreement to expand the leased space by 1,824 square feet of office space at 399 Binney Street, Cambridge, Massachusetts. The amendment to the operating lease agreement met the criteria to be accounted for as a separate operating lease. The Company gained control of the leased space in October 2020 and, accordingly, recorded an operating lease right-of-use asset and liability at such time. The operating lease right-of-use asset and lease liability recorded in connection with the amendment were not material. The amended operating lease expires in April 2029, subject to certain renewal options, which have not been included in the Company’s operating lease right-of-use asset and liability, as the Company is not reasonably certain to exercise such options as of December 31, 2024.</w:t>
      </w:r>
    </w:p>
    <w:p>
      <w:pPr>
        <w:spacing w:after="0" w:line="182" w:lineRule="exact"/>
        <w:rPr>
          <w:sz w:val="20"/>
          <w:szCs w:val="20"/>
          <w:color w:val="auto"/>
        </w:rPr>
      </w:pPr>
    </w:p>
    <w:p>
      <w:pPr>
        <w:ind w:right="320"/>
        <w:spacing w:after="0" w:line="301" w:lineRule="auto"/>
        <w:rPr>
          <w:sz w:val="20"/>
          <w:szCs w:val="20"/>
          <w:color w:val="auto"/>
        </w:rPr>
      </w:pPr>
      <w:r>
        <w:rPr>
          <w:rFonts w:ascii="Times New Roman" w:cs="Times New Roman" w:eastAsia="Times New Roman" w:hAnsi="Times New Roman"/>
          <w:sz w:val="16"/>
          <w:szCs w:val="16"/>
          <w:color w:val="auto"/>
        </w:rPr>
        <w:t xml:space="preserve">As discussed in Note 2, </w:t>
      </w:r>
      <w:r>
        <w:rPr>
          <w:rFonts w:ascii="Times New Roman" w:cs="Times New Roman" w:eastAsia="Times New Roman" w:hAnsi="Times New Roman"/>
          <w:sz w:val="16"/>
          <w:szCs w:val="16"/>
          <w:i w:val="1"/>
          <w:iCs w:val="1"/>
          <w:color w:val="auto"/>
        </w:rPr>
        <w:t>Significant Accounting Policies</w:t>
      </w:r>
      <w:r>
        <w:rPr>
          <w:rFonts w:ascii="Times New Roman" w:cs="Times New Roman" w:eastAsia="Times New Roman" w:hAnsi="Times New Roman"/>
          <w:sz w:val="16"/>
          <w:szCs w:val="16"/>
          <w:color w:val="auto"/>
        </w:rPr>
        <w:t>, the Company provided a letter of credit in the amount of $0.9 million with a financial institution, which expires commensurate with the lease in April 2029.</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color w:val="auto"/>
        </w:rPr>
        <w:t>The following table summarizes the presentation of amounts recorded on the Company’s consolidated balance sheets for the operating lease at 399 Binney Street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and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20" w:type="dxa"/>
            <w:vAlign w:val="bottom"/>
          </w:tcPr>
          <w:p>
            <w:pPr>
              <w:spacing w:after="0"/>
              <w:rPr>
                <w:sz w:val="13"/>
                <w:szCs w:val="13"/>
                <w:color w:val="auto"/>
              </w:rPr>
            </w:pPr>
          </w:p>
        </w:tc>
        <w:tc>
          <w:tcPr>
            <w:tcW w:w="18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56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0" w:type="dxa"/>
            <w:vAlign w:val="bottom"/>
          </w:tcPr>
          <w:p>
            <w:pPr>
              <w:spacing w:after="0"/>
              <w:rPr>
                <w:sz w:val="13"/>
                <w:szCs w:val="13"/>
                <w:color w:val="auto"/>
              </w:rPr>
            </w:pPr>
          </w:p>
        </w:tc>
      </w:tr>
      <w:tr>
        <w:trPr>
          <w:trHeight w:val="128"/>
        </w:trPr>
        <w:tc>
          <w:tcPr>
            <w:tcW w:w="60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82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thousands)</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assets</w:t>
            </w:r>
          </w:p>
        </w:tc>
        <w:tc>
          <w:tcPr>
            <w:tcW w:w="1800" w:type="dxa"/>
            <w:vAlign w:val="bottom"/>
          </w:tcPr>
          <w:p>
            <w:pPr>
              <w:jc w:val="right"/>
              <w:ind w:right="162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14,270</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16,670</w:t>
            </w:r>
          </w:p>
        </w:tc>
        <w:tc>
          <w:tcPr>
            <w:tcW w:w="100" w:type="dxa"/>
            <w:vAlign w:val="bottom"/>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8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0" w:type="dxa"/>
            <w:vAlign w:val="bottom"/>
          </w:tcPr>
          <w:p>
            <w:pPr>
              <w:jc w:val="right"/>
              <w:ind w:right="162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100" w:type="dxa"/>
            <w:vAlign w:val="bottom"/>
          </w:tcPr>
          <w:p>
            <w:pPr>
              <w:spacing w:after="0"/>
              <w:rPr>
                <w:sz w:val="17"/>
                <w:szCs w:val="17"/>
                <w:color w:val="auto"/>
              </w:rPr>
            </w:pPr>
          </w:p>
        </w:tc>
      </w:tr>
      <w:tr>
        <w:trPr>
          <w:trHeight w:val="203"/>
        </w:trPr>
        <w:tc>
          <w:tcPr>
            <w:tcW w:w="6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8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13,408</w:t>
            </w:r>
          </w:p>
        </w:tc>
        <w:tc>
          <w:tcPr>
            <w:tcW w:w="4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800" w:type="dxa"/>
            <w:vAlign w:val="bottom"/>
          </w:tcPr>
          <w:p>
            <w:pPr>
              <w:jc w:val="right"/>
              <w:ind w:right="162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16,351</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18,887</w:t>
            </w:r>
          </w:p>
        </w:tc>
        <w:tc>
          <w:tcPr>
            <w:tcW w:w="100" w:type="dxa"/>
            <w:vAlign w:val="bottom"/>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-162560</wp:posOffset>
            </wp:positionV>
            <wp:extent cx="768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The following table summarizes the effect of lease costs for the Company's operating lease at 399 Binney Street on the Company’s consolidated statements of operations for the years ended December 31, 2024,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0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4800" w:type="dxa"/>
            <w:vAlign w:val="bottom"/>
          </w:tcPr>
          <w:p>
            <w:pPr>
              <w:spacing w:after="0"/>
              <w:rPr>
                <w:sz w:val="11"/>
                <w:szCs w:val="11"/>
                <w:color w:val="auto"/>
              </w:rPr>
            </w:pPr>
          </w:p>
        </w:tc>
        <w:tc>
          <w:tcPr>
            <w:tcW w:w="1300" w:type="dxa"/>
            <w:vAlign w:val="bottom"/>
            <w:tcBorders>
              <w:bottom w:val="single" w:sz="8" w:color="auto"/>
            </w:tcBorders>
          </w:tcPr>
          <w:p>
            <w:pPr>
              <w:jc w:val="right"/>
              <w:ind w:right="145"/>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jc w:val="center"/>
              <w:ind w:right="88"/>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2023</w:t>
            </w:r>
          </w:p>
        </w:tc>
        <w:tc>
          <w:tcPr>
            <w:tcW w:w="3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764"/>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r>
      <w:tr>
        <w:trPr>
          <w:trHeight w:val="128"/>
        </w:trPr>
        <w:tc>
          <w:tcPr>
            <w:tcW w:w="4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jc w:val="center"/>
              <w:ind w:right="88"/>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00" w:type="dxa"/>
            <w:vAlign w:val="bottom"/>
            <w:shd w:val="clear" w:color="auto" w:fill="CFF0FC"/>
          </w:tcPr>
          <w:p>
            <w:pPr>
              <w:jc w:val="right"/>
              <w:ind w:right="112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3,631</w:t>
            </w:r>
          </w:p>
        </w:tc>
        <w:tc>
          <w:tcPr>
            <w:tcW w:w="78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00" w:type="dxa"/>
            <w:vAlign w:val="bottom"/>
            <w:shd w:val="clear" w:color="auto" w:fill="CFF0FC"/>
          </w:tcPr>
          <w:p>
            <w:pPr>
              <w:spacing w:after="0"/>
              <w:rPr>
                <w:sz w:val="17"/>
                <w:szCs w:val="17"/>
                <w:color w:val="auto"/>
              </w:rPr>
            </w:pPr>
          </w:p>
        </w:tc>
      </w:tr>
      <w:tr>
        <w:trPr>
          <w:trHeight w:val="20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Pr>
          <w:p>
            <w:pPr>
              <w:spacing w:after="0"/>
              <w:rPr>
                <w:sz w:val="17"/>
                <w:szCs w:val="17"/>
                <w:color w:val="auto"/>
              </w:rPr>
            </w:pPr>
          </w:p>
        </w:tc>
      </w:tr>
      <w:tr>
        <w:trPr>
          <w:trHeight w:val="236"/>
        </w:trPr>
        <w:tc>
          <w:tcPr>
            <w:tcW w:w="48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12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4,245</w:t>
            </w:r>
          </w:p>
        </w:tc>
        <w:tc>
          <w:tcPr>
            <w:tcW w:w="3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560"/>
        <w:spacing w:after="0" w:line="298" w:lineRule="auto"/>
        <w:rPr>
          <w:sz w:val="20"/>
          <w:szCs w:val="20"/>
          <w:color w:val="auto"/>
        </w:rPr>
      </w:pPr>
      <w:r>
        <w:rPr>
          <w:rFonts w:ascii="Times New Roman" w:cs="Times New Roman" w:eastAsia="Times New Roman" w:hAnsi="Times New Roman"/>
          <w:sz w:val="16"/>
          <w:szCs w:val="16"/>
          <w:color w:val="auto"/>
        </w:rPr>
        <w:t>The Company made cash payments of $4.4 million, $4.3 million, and $4.1 million under the operating lease agreement for 399 Binney Street during the years ended December 31, 2024, 2023, and 2022, respectively.</w:t>
      </w:r>
    </w:p>
    <w:p>
      <w:pPr>
        <w:spacing w:after="0" w:line="164"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As of December 31, 2024, the minimum lease payments for the Company’s operating lease at 399 Binney Street for the next five years and thereafter are expected to be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Amount (in thousands)</w:t>
            </w:r>
          </w:p>
        </w:tc>
      </w:tr>
      <w:tr>
        <w:trPr>
          <w:trHeight w:val="196"/>
        </w:trPr>
        <w:tc>
          <w:tcPr>
            <w:tcW w:w="9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10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10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4,768</w:t>
            </w:r>
          </w:p>
        </w:tc>
        <w:tc>
          <w:tcPr>
            <w:tcW w:w="10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10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10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20,462</w:t>
            </w:r>
          </w:p>
        </w:tc>
        <w:tc>
          <w:tcPr>
            <w:tcW w:w="10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(4,111 )</w:t>
            </w:r>
          </w:p>
        </w:tc>
      </w:tr>
      <w:tr>
        <w:trPr>
          <w:trHeight w:val="236"/>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16,351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660"/>
        <w:spacing w:after="0" w:line="298" w:lineRule="auto"/>
        <w:rPr>
          <w:sz w:val="20"/>
          <w:szCs w:val="20"/>
          <w:color w:val="auto"/>
        </w:rPr>
      </w:pPr>
      <w:r>
        <w:rPr>
          <w:rFonts w:ascii="Times New Roman" w:cs="Times New Roman" w:eastAsia="Times New Roman" w:hAnsi="Times New Roman"/>
          <w:sz w:val="16"/>
          <w:szCs w:val="16"/>
          <w:color w:val="auto"/>
        </w:rPr>
        <w:t>The weighted-average remaining lease term and weighted-average discount rate of the Company's operating lease at 399 Binney Street were 4.33 years and 10.4%, respectively, at December 31, 2024.</w:t>
      </w:r>
    </w:p>
    <w:p>
      <w:pPr>
        <w:spacing w:after="0" w:line="164" w:lineRule="exact"/>
        <w:rPr>
          <w:sz w:val="20"/>
          <w:szCs w:val="20"/>
          <w:color w:val="auto"/>
        </w:rPr>
      </w:pPr>
    </w:p>
    <w:p>
      <w:pPr>
        <w:ind w:right="660"/>
        <w:spacing w:after="0" w:line="298" w:lineRule="auto"/>
        <w:rPr>
          <w:sz w:val="20"/>
          <w:szCs w:val="20"/>
          <w:color w:val="auto"/>
        </w:rPr>
      </w:pPr>
      <w:r>
        <w:rPr>
          <w:rFonts w:ascii="Times New Roman" w:cs="Times New Roman" w:eastAsia="Times New Roman" w:hAnsi="Times New Roman"/>
          <w:sz w:val="16"/>
          <w:szCs w:val="16"/>
          <w:color w:val="auto"/>
        </w:rPr>
        <w:t>The weighted-average remaining lease term and weighted-average discount rate of the Company's operating lease at 399 Binney Street were 5.33 years and 10.4%, respectively, at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60 Hampshire Street</w:t>
      </w:r>
    </w:p>
    <w:p>
      <w:pPr>
        <w:spacing w:after="0" w:line="23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In May 2021, the Company entered into an operating lease agreement for 41,474 square feet of office and laboratory space at 60 Hampshire Street, Cambridge, Massachusetts. The Company gained control of the leased space in July 2022 and, accordingly, recorded an operating lease right-of-use asset and liability at such time. The operating lease expires in June 2032 and there are no renewal options.</w:t>
      </w:r>
    </w:p>
    <w:p>
      <w:pPr>
        <w:spacing w:after="0" w:line="175" w:lineRule="exact"/>
        <w:rPr>
          <w:sz w:val="20"/>
          <w:szCs w:val="20"/>
          <w:color w:val="auto"/>
        </w:rPr>
      </w:pPr>
    </w:p>
    <w:p>
      <w:pPr>
        <w:ind w:right="320"/>
        <w:spacing w:after="0" w:line="301" w:lineRule="auto"/>
        <w:rPr>
          <w:sz w:val="20"/>
          <w:szCs w:val="20"/>
          <w:color w:val="auto"/>
        </w:rPr>
      </w:pPr>
      <w:r>
        <w:rPr>
          <w:rFonts w:ascii="Times New Roman" w:cs="Times New Roman" w:eastAsia="Times New Roman" w:hAnsi="Times New Roman"/>
          <w:sz w:val="16"/>
          <w:szCs w:val="16"/>
          <w:color w:val="auto"/>
        </w:rPr>
        <w:t xml:space="preserve">As discussed in Note 2, </w:t>
      </w:r>
      <w:r>
        <w:rPr>
          <w:rFonts w:ascii="Times New Roman" w:cs="Times New Roman" w:eastAsia="Times New Roman" w:hAnsi="Times New Roman"/>
          <w:sz w:val="16"/>
          <w:szCs w:val="16"/>
          <w:i w:val="1"/>
          <w:iCs w:val="1"/>
          <w:color w:val="auto"/>
        </w:rPr>
        <w:t>Significant Accounting Policies</w:t>
      </w:r>
      <w:r>
        <w:rPr>
          <w:rFonts w:ascii="Times New Roman" w:cs="Times New Roman" w:eastAsia="Times New Roman" w:hAnsi="Times New Roman"/>
          <w:sz w:val="16"/>
          <w:szCs w:val="16"/>
          <w:color w:val="auto"/>
        </w:rPr>
        <w:t>, the Company provided a letter of credit in the amount of $1.2 million with a financial institution, which expires commensurate with the lease in June 2032.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color w:val="auto"/>
        </w:rPr>
        <w:t>The following table summarizes the presentation of amounts recorded on the Company’s consolidated balance sheets for the operating lease at 60 Hampshire Street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and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20" w:type="dxa"/>
            <w:vAlign w:val="bottom"/>
          </w:tcPr>
          <w:p>
            <w:pPr>
              <w:spacing w:after="0"/>
              <w:rPr>
                <w:sz w:val="13"/>
                <w:szCs w:val="13"/>
                <w:color w:val="auto"/>
              </w:rPr>
            </w:pPr>
          </w:p>
        </w:tc>
        <w:tc>
          <w:tcPr>
            <w:tcW w:w="18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56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0" w:type="dxa"/>
            <w:vAlign w:val="bottom"/>
          </w:tcPr>
          <w:p>
            <w:pPr>
              <w:spacing w:after="0"/>
              <w:rPr>
                <w:sz w:val="13"/>
                <w:szCs w:val="13"/>
                <w:color w:val="auto"/>
              </w:rPr>
            </w:pPr>
          </w:p>
        </w:tc>
      </w:tr>
      <w:tr>
        <w:trPr>
          <w:trHeight w:val="128"/>
        </w:trPr>
        <w:tc>
          <w:tcPr>
            <w:tcW w:w="60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82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thousands)</w:t>
            </w: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assets</w:t>
            </w:r>
          </w:p>
        </w:tc>
        <w:tc>
          <w:tcPr>
            <w:tcW w:w="1800" w:type="dxa"/>
            <w:vAlign w:val="bottom"/>
          </w:tcPr>
          <w:p>
            <w:pPr>
              <w:jc w:val="right"/>
              <w:ind w:right="162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37,492</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41,299</w:t>
            </w:r>
          </w:p>
        </w:tc>
        <w:tc>
          <w:tcPr>
            <w:tcW w:w="100" w:type="dxa"/>
            <w:vAlign w:val="bottom"/>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8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0" w:type="dxa"/>
            <w:vAlign w:val="bottom"/>
          </w:tcPr>
          <w:p>
            <w:pPr>
              <w:jc w:val="right"/>
              <w:ind w:right="162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tcPr>
          <w:p>
            <w:pPr>
              <w:spacing w:after="0"/>
              <w:rPr>
                <w:sz w:val="17"/>
                <w:szCs w:val="17"/>
                <w:color w:val="auto"/>
              </w:rPr>
            </w:pPr>
          </w:p>
        </w:tc>
      </w:tr>
      <w:tr>
        <w:trPr>
          <w:trHeight w:val="203"/>
        </w:trPr>
        <w:tc>
          <w:tcPr>
            <w:tcW w:w="6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8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29,367</w:t>
            </w:r>
          </w:p>
        </w:tc>
        <w:tc>
          <w:tcPr>
            <w:tcW w:w="4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800" w:type="dxa"/>
            <w:vAlign w:val="bottom"/>
          </w:tcPr>
          <w:p>
            <w:pPr>
              <w:jc w:val="right"/>
              <w:ind w:right="162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32,151</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34,579</w:t>
            </w:r>
          </w:p>
        </w:tc>
        <w:tc>
          <w:tcPr>
            <w:tcW w:w="100" w:type="dxa"/>
            <w:vAlign w:val="bottom"/>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-162560</wp:posOffset>
            </wp:positionV>
            <wp:extent cx="768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ind w:right="100"/>
        <w:spacing w:after="0" w:line="298" w:lineRule="auto"/>
        <w:rPr>
          <w:sz w:val="20"/>
          <w:szCs w:val="20"/>
          <w:color w:val="auto"/>
        </w:rPr>
      </w:pPr>
      <w:r>
        <w:rPr>
          <w:rFonts w:ascii="Times New Roman" w:cs="Times New Roman" w:eastAsia="Times New Roman" w:hAnsi="Times New Roman"/>
          <w:sz w:val="16"/>
          <w:szCs w:val="16"/>
          <w:color w:val="auto"/>
        </w:rPr>
        <w:t>The following table summarizes the effect of lease costs for the Company's operating lease at 60 Hampshire Street on the Company’s consolidated statements of operations for the years ended December 31, 2024,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0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4800" w:type="dxa"/>
            <w:vAlign w:val="bottom"/>
          </w:tcPr>
          <w:p>
            <w:pPr>
              <w:spacing w:after="0"/>
              <w:rPr>
                <w:sz w:val="11"/>
                <w:szCs w:val="11"/>
                <w:color w:val="auto"/>
              </w:rPr>
            </w:pPr>
          </w:p>
        </w:tc>
        <w:tc>
          <w:tcPr>
            <w:tcW w:w="1300" w:type="dxa"/>
            <w:vAlign w:val="bottom"/>
            <w:tcBorders>
              <w:bottom w:val="single" w:sz="8" w:color="auto"/>
            </w:tcBorders>
          </w:tcPr>
          <w:p>
            <w:pPr>
              <w:jc w:val="right"/>
              <w:ind w:right="145"/>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jc w:val="center"/>
              <w:ind w:right="88"/>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2023</w:t>
            </w:r>
          </w:p>
        </w:tc>
        <w:tc>
          <w:tcPr>
            <w:tcW w:w="3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764"/>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1"/>
                <w:szCs w:val="11"/>
                <w:color w:val="auto"/>
              </w:rPr>
            </w:pPr>
          </w:p>
        </w:tc>
      </w:tr>
      <w:tr>
        <w:trPr>
          <w:trHeight w:val="128"/>
        </w:trPr>
        <w:tc>
          <w:tcPr>
            <w:tcW w:w="4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jc w:val="center"/>
              <w:ind w:right="88"/>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 thousands)</w:t>
            </w: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00" w:type="dxa"/>
            <w:vAlign w:val="bottom"/>
            <w:shd w:val="clear" w:color="auto" w:fill="CFF0FC"/>
          </w:tcPr>
          <w:p>
            <w:pPr>
              <w:jc w:val="right"/>
              <w:ind w:right="112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5,851</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5,549</w:t>
            </w:r>
          </w:p>
        </w:tc>
        <w:tc>
          <w:tcPr>
            <w:tcW w:w="78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100" w:type="dxa"/>
            <w:vAlign w:val="bottom"/>
            <w:shd w:val="clear" w:color="auto" w:fill="CFF0FC"/>
          </w:tcPr>
          <w:p>
            <w:pPr>
              <w:spacing w:after="0"/>
              <w:rPr>
                <w:sz w:val="17"/>
                <w:szCs w:val="17"/>
                <w:color w:val="auto"/>
              </w:rPr>
            </w:pPr>
          </w:p>
        </w:tc>
      </w:tr>
      <w:tr>
        <w:trPr>
          <w:trHeight w:val="20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tcPr>
          <w:p>
            <w:pPr>
              <w:spacing w:after="0"/>
              <w:rPr>
                <w:sz w:val="17"/>
                <w:szCs w:val="17"/>
                <w:color w:val="auto"/>
              </w:rPr>
            </w:pPr>
          </w:p>
        </w:tc>
      </w:tr>
      <w:tr>
        <w:trPr>
          <w:trHeight w:val="236"/>
        </w:trPr>
        <w:tc>
          <w:tcPr>
            <w:tcW w:w="48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12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6,806</w:t>
            </w:r>
          </w:p>
        </w:tc>
        <w:tc>
          <w:tcPr>
            <w:tcW w:w="3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6,487</w:t>
            </w:r>
          </w:p>
        </w:tc>
        <w:tc>
          <w:tcPr>
            <w:tcW w:w="3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-25400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The Company made cash payments of $5.1 million, $5.0 million, and $11.5 million under the operating lease agreement for 60 Hampshire Street during the years ended December 31, 2024, 2023, and 2022, respectively.</w:t>
      </w:r>
    </w:p>
    <w:p>
      <w:pPr>
        <w:spacing w:after="0" w:line="164"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As of December 31, 2024, the minimum lease payments for the Company’s operating lease at 60 Hampshire Street for the next five years and thereafter are expected to be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Amount (in thousands)</w:t>
            </w:r>
          </w:p>
        </w:tc>
      </w:tr>
      <w:tr>
        <w:trPr>
          <w:trHeight w:val="196"/>
        </w:trPr>
        <w:tc>
          <w:tcPr>
            <w:tcW w:w="9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10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w:t>
            </w:r>
          </w:p>
        </w:tc>
        <w:tc>
          <w:tcPr>
            <w:tcW w:w="10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10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100" w:type="dxa"/>
            <w:vAlign w:val="bottom"/>
          </w:tcPr>
          <w:p>
            <w:pPr>
              <w:spacing w:after="0"/>
              <w:rPr>
                <w:sz w:val="17"/>
                <w:szCs w:val="17"/>
                <w:color w:val="auto"/>
              </w:rPr>
            </w:pPr>
          </w:p>
        </w:tc>
      </w:tr>
      <w:tr>
        <w:trPr>
          <w:trHeight w:val="203"/>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10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15,466</w:t>
            </w:r>
          </w:p>
        </w:tc>
        <w:tc>
          <w:tcPr>
            <w:tcW w:w="100" w:type="dxa"/>
            <w:vAlign w:val="bottom"/>
          </w:tcPr>
          <w:p>
            <w:pPr>
              <w:spacing w:after="0"/>
              <w:rPr>
                <w:sz w:val="17"/>
                <w:szCs w:val="17"/>
                <w:color w:val="auto"/>
              </w:rPr>
            </w:pPr>
          </w:p>
        </w:tc>
      </w:tr>
      <w:tr>
        <w:trPr>
          <w:trHeight w:val="19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43,315</w:t>
            </w:r>
          </w:p>
        </w:tc>
        <w:tc>
          <w:tcPr>
            <w:tcW w:w="100" w:type="dxa"/>
            <w:vAlign w:val="bottom"/>
            <w:shd w:val="clear" w:color="auto" w:fill="CFF0FC"/>
          </w:tcPr>
          <w:p>
            <w:pPr>
              <w:spacing w:after="0"/>
              <w:rPr>
                <w:sz w:val="17"/>
                <w:szCs w:val="17"/>
                <w:color w:val="auto"/>
              </w:rPr>
            </w:pPr>
          </w:p>
        </w:tc>
      </w:tr>
      <w:tr>
        <w:trPr>
          <w:trHeight w:val="203"/>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(11,164 )</w:t>
            </w:r>
          </w:p>
        </w:tc>
      </w:tr>
      <w:tr>
        <w:trPr>
          <w:trHeight w:val="236"/>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32,151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The weighted-average remaining lease term and weighted-average discount rate of the Company's operating lease at 60 Hampshire Street were 7.50 years and 8.0%, respectively, at December 31, 2024.</w:t>
      </w:r>
    </w:p>
    <w:p>
      <w:pPr>
        <w:spacing w:after="0" w:line="164" w:lineRule="exact"/>
        <w:rPr>
          <w:sz w:val="20"/>
          <w:szCs w:val="20"/>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The weighted-average remaining lease term and weighted-average discount rate of the Company's operating lease at 60 Hampshire Street were 8.50 years and 8.0%, respectively, at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Income Taxes</w:t>
      </w:r>
    </w:p>
    <w:p>
      <w:pPr>
        <w:spacing w:after="0" w:line="237" w:lineRule="exact"/>
        <w:rPr>
          <w:sz w:val="20"/>
          <w:szCs w:val="20"/>
          <w:color w:val="auto"/>
        </w:rPr>
      </w:pPr>
    </w:p>
    <w:p>
      <w:pPr>
        <w:ind w:right="420"/>
        <w:spacing w:after="0" w:line="298" w:lineRule="auto"/>
        <w:rPr>
          <w:sz w:val="20"/>
          <w:szCs w:val="20"/>
          <w:color w:val="auto"/>
        </w:rPr>
      </w:pPr>
      <w:r>
        <w:rPr>
          <w:rFonts w:ascii="Times New Roman" w:cs="Times New Roman" w:eastAsia="Times New Roman" w:hAnsi="Times New Roman"/>
          <w:sz w:val="16"/>
          <w:szCs w:val="16"/>
          <w:color w:val="auto"/>
        </w:rPr>
        <w:t>During the years ended December 31, 2024, 2023, and 2022, the Company recorded no income tax benefits due to losses incurred and the uncertainty of future taxable income.</w:t>
      </w:r>
    </w:p>
    <w:p>
      <w:pPr>
        <w:spacing w:after="0" w:line="164"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A reconciliation of the expected income tax (benefit) computed using the U.S. Federal statutory income tax rate to the Company’s effective income tax rate is as follows for the years ended December 31, 2024, 2023, and 2022:</w:t>
      </w:r>
    </w:p>
    <w:p>
      <w:pPr>
        <w:spacing w:after="0" w:line="212"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3810</wp:posOffset>
            </wp:positionV>
            <wp:extent cx="294894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3"/>
                <w:szCs w:val="13"/>
                <w:color w:val="auto"/>
              </w:rPr>
            </w:pPr>
          </w:p>
        </w:tc>
        <w:tc>
          <w:tcPr>
            <w:tcW w:w="146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96"/>
        </w:trPr>
        <w:tc>
          <w:tcPr>
            <w:tcW w:w="7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computed at federal statutory rate</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03"/>
        </w:trPr>
        <w:tc>
          <w:tcPr>
            <w:tcW w:w="7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03"/>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R&amp;D credit carryovers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7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Permanent differences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3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6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6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-24765</wp:posOffset>
            </wp:positionV>
            <wp:extent cx="10287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10287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1028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10287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color w:val="auto"/>
        </w:rPr>
        <w:t>The Company’s deferred tax assets and liabilities at December 31, 2024 and 2023, consist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83"/>
        </w:trPr>
        <w:tc>
          <w:tcPr>
            <w:tcW w:w="77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5"/>
                <w:szCs w:val="15"/>
                <w:color w:val="auto"/>
              </w:rPr>
            </w:pPr>
          </w:p>
        </w:tc>
      </w:tr>
      <w:tr>
        <w:trPr>
          <w:trHeight w:val="196"/>
        </w:trPr>
        <w:tc>
          <w:tcPr>
            <w:tcW w:w="7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gridSpan w:val="3"/>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operating losses</w:t>
            </w:r>
          </w:p>
        </w:tc>
        <w:tc>
          <w:tcPr>
            <w:tcW w:w="940" w:type="dxa"/>
            <w:vAlign w:val="bottom"/>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166,311</w:t>
            </w:r>
          </w:p>
        </w:tc>
        <w:tc>
          <w:tcPr>
            <w:tcW w:w="300" w:type="dxa"/>
            <w:vAlign w:val="bottom"/>
          </w:tcPr>
          <w:p>
            <w:pPr>
              <w:spacing w:after="0"/>
              <w:rPr>
                <w:sz w:val="17"/>
                <w:szCs w:val="17"/>
                <w:color w:val="auto"/>
              </w:rPr>
            </w:pPr>
          </w:p>
        </w:tc>
        <w:tc>
          <w:tcPr>
            <w:tcW w:w="4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141,453</w:t>
            </w: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Tax credit carryforwards</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88,707</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45,969</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Capitalized R&amp;D</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154,424</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90,273</w:t>
            </w: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Lease liability</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14,820</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12,914</w:t>
            </w: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compensation</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16,892</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19,448</w:t>
            </w: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Intangibles</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20" w:type="dxa"/>
            <w:vAlign w:val="bottom"/>
            <w:shd w:val="clear" w:color="auto" w:fill="CFF0FC"/>
          </w:tcPr>
          <w:p>
            <w:pPr>
              <w:spacing w:after="0"/>
              <w:rPr>
                <w:sz w:val="17"/>
                <w:szCs w:val="17"/>
                <w:color w:val="auto"/>
              </w:rPr>
            </w:pPr>
          </w:p>
        </w:tc>
      </w:tr>
      <w:tr>
        <w:trPr>
          <w:trHeight w:val="202"/>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3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445,808</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312,086</w:t>
            </w:r>
          </w:p>
        </w:tc>
        <w:tc>
          <w:tcPr>
            <w:tcW w:w="12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Valuation allowance</w:t>
            </w:r>
          </w:p>
        </w:tc>
        <w:tc>
          <w:tcPr>
            <w:tcW w:w="9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98"/>
              </w:rPr>
              <w:t>(431,929 )</w:t>
            </w:r>
          </w:p>
        </w:tc>
        <w:tc>
          <w:tcPr>
            <w:tcW w:w="4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(299,829 )</w:t>
            </w:r>
          </w:p>
        </w:tc>
      </w:tr>
      <w:tr>
        <w:trPr>
          <w:trHeight w:val="19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13,879</w:t>
            </w:r>
          </w:p>
        </w:tc>
        <w:tc>
          <w:tcPr>
            <w:tcW w:w="30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12,257</w:t>
            </w:r>
          </w:p>
        </w:tc>
        <w:tc>
          <w:tcPr>
            <w:tcW w:w="120" w:type="dxa"/>
            <w:vAlign w:val="bottom"/>
            <w:tcBorders>
              <w:top w:val="single" w:sz="8" w:color="CFF0FC"/>
            </w:tcBorders>
          </w:tcPr>
          <w:p>
            <w:pPr>
              <w:spacing w:after="0"/>
              <w:rPr>
                <w:sz w:val="17"/>
                <w:szCs w:val="17"/>
                <w:color w:val="auto"/>
              </w:rPr>
            </w:pPr>
          </w:p>
        </w:tc>
      </w:tr>
      <w:tr>
        <w:trPr>
          <w:trHeight w:val="20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assets</w:t>
            </w:r>
          </w:p>
        </w:tc>
        <w:tc>
          <w:tcPr>
            <w:tcW w:w="94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(13,879 )</w:t>
            </w:r>
          </w:p>
        </w:tc>
        <w:tc>
          <w:tcPr>
            <w:tcW w:w="44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(12,257 )</w:t>
            </w:r>
          </w:p>
        </w:tc>
      </w:tr>
      <w:tr>
        <w:trPr>
          <w:trHeight w:val="20"/>
        </w:trPr>
        <w:tc>
          <w:tcPr>
            <w:tcW w:w="77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94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(13,879 )</w:t>
            </w:r>
          </w:p>
        </w:tc>
        <w:tc>
          <w:tcPr>
            <w:tcW w:w="4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(12,257 )</w:t>
            </w:r>
          </w:p>
        </w:tc>
      </w:tr>
      <w:tr>
        <w:trPr>
          <w:trHeight w:val="196"/>
        </w:trPr>
        <w:tc>
          <w:tcPr>
            <w:tcW w:w="7700" w:type="dxa"/>
            <w:vAlign w:val="bottom"/>
            <w:tcBorders>
              <w:top w:val="single" w:sz="8" w:color="CFF0FC"/>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-959485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-959485</wp:posOffset>
            </wp:positionV>
            <wp:extent cx="7747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-693420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-693420</wp:posOffset>
            </wp:positionV>
            <wp:extent cx="774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-162560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The Company has incurred net operating losses ("NOLs") since inception. As of December 31, 2024 and 2023, the Company had federal NOL carryforwards of $596.3 million and $498.0 million, respectively, available to reduce federal taxable income, of which $43.1 million begin to expire in 2035 and $553.2 million do not expire. The Company also has state NOL carryforwards of $625.2 million and $559.7 million as of December 31, 2024 and 2023, respectively, available to reduce state taxable income, which begin to expire in 2035.</w:t>
      </w:r>
    </w:p>
    <w:p>
      <w:pPr>
        <w:spacing w:after="0" w:line="183" w:lineRule="exact"/>
        <w:rPr>
          <w:sz w:val="20"/>
          <w:szCs w:val="20"/>
          <w:color w:val="auto"/>
        </w:rPr>
      </w:pPr>
    </w:p>
    <w:p>
      <w:pPr>
        <w:ind w:right="640"/>
        <w:spacing w:after="0" w:line="298" w:lineRule="auto"/>
        <w:rPr>
          <w:sz w:val="20"/>
          <w:szCs w:val="20"/>
          <w:color w:val="auto"/>
        </w:rPr>
      </w:pPr>
      <w:r>
        <w:rPr>
          <w:rFonts w:ascii="Times New Roman" w:cs="Times New Roman" w:eastAsia="Times New Roman" w:hAnsi="Times New Roman"/>
          <w:sz w:val="16"/>
          <w:szCs w:val="16"/>
          <w:color w:val="auto"/>
        </w:rPr>
        <w:t>As of December 31, 2024 and 2023, the Company also had available federal research and development tax credit carryforwards of $47.5 million and $38.9 million, respectively, available to reduce federal tax liabilities, which begin to expire in 2035.</w:t>
      </w:r>
    </w:p>
    <w:p>
      <w:pPr>
        <w:spacing w:after="0" w:line="16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As of December 31, 2024 and 2023, the Company also had available state research and development tax credit carryforwards of $27.0 million and $8.5 million, respectively, available to reduce state tax liabilities, which being to expire in 2030.</w:t>
      </w:r>
    </w:p>
    <w:p>
      <w:pPr>
        <w:spacing w:after="0" w:line="164"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As of December 31, 2024 and 2023, the Company also had available federal orphan drug tax credit carryforwards of $19.5 million and $0, respectively, available to reduce federal tax liabilities, which begin to expire in 2042.</w:t>
      </w:r>
    </w:p>
    <w:p>
      <w:pPr>
        <w:spacing w:after="0" w:line="16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Utilization of NOL and research and development credit carryforwards may generally be subject to limitation under Sections 382 and 383 of the Internal Revenue Code of 1986 ("Sections 382 and 383") due to ownership changes that have occurred previously or could occur in the future. Such ownership changes may limit the amount of NOL and research and development credit carryforwards that can be utilized annually to offset any post-ownership change in taxable income and tax, respectively. The most recent Section 382 study was performed by the Company up to December 31, 2024, through which it was noted that a historic ownership change has likely occurred. Nonetheless, the Company has concluded that, as of December 31, 2024, the prospective utilization of NOL and research and development credit carryforwards from inception through December 31, 2024 (and, therefore, the corresponding federal and state deferred tax assets) should not be restricted by Sections 382 and 383, although ownership changes after December 31, 2024 could impact the Company’s ability to utilize such tax attributes in the future.</w:t>
      </w:r>
    </w:p>
    <w:p>
      <w:pPr>
        <w:spacing w:after="0" w:line="19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The Company recorded a valuation allowance against its deferred tax assets for the years ended December 31, 2024 and 2023, because the Company’s management believes it is more likely than not that such assets will not be realized. The valuation allowance increased by approximately $132.1 million and $69.3 million for the years ended December 31, 2024 and 2023, respectively, primarily as a result of operating losses generated with no corresponding financial statement benefit.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had no unrecognized tax benefits as of December 31, 2024 and 2023.</w:t>
      </w:r>
    </w:p>
    <w:p>
      <w:pPr>
        <w:spacing w:after="0" w:line="23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years are still open under statute from inception to the present.</w:t>
      </w:r>
    </w:p>
    <w:p>
      <w:pPr>
        <w:spacing w:after="0" w:line="17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In 2017, the Tax Cuts and Jobs Act of 2017 ("2017 Tax Act") was signed into law. Amongst other provisions, the 2017 Tax Act requires taxpayers to capitalize and amortize research and experimental (R&amp;D) expenditures under Section 174 for tax years beginning after December 31, 2021. As such, the rule noted became effective for the Company during the year ended December 31, 2022, ultimately resulting in the capitalization of certain R&amp;D costs within its tax provision. The Company will amortize such costs for tax purposes over 5 years if the R&amp;D was performed in the United States and over 15 years if the R&amp;D was performed outside the United States.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125" w:name="page126"/>
    <w:bookmarkEnd w:id="125"/>
    <w:p>
      <w:pPr>
        <w:spacing w:after="0" w:line="267" w:lineRule="auto"/>
        <w:rPr>
          <w:sz w:val="20"/>
          <w:szCs w:val="20"/>
          <w:color w:val="auto"/>
        </w:rPr>
      </w:pPr>
      <w:r>
        <w:rPr>
          <w:rFonts w:ascii="Times New Roman" w:cs="Times New Roman" w:eastAsia="Times New Roman" w:hAnsi="Times New Roman"/>
          <w:sz w:val="16"/>
          <w:szCs w:val="16"/>
          <w:color w:val="auto"/>
        </w:rPr>
        <w:t>In 2020, the Coronavirus Aid, Relief and Economic Security Act ("CARES Act") was signed into law. The CARES Act lifts certain deduction limitations originally imposed by the 2017 Tax Act. Corporate taxpayers may carryback NOLs originating during 2018 through 2020 for up to five years, which was not previously allowed under the 2017 Tax Act. The CARES Act also eliminates the 80% of taxable income limitations by allowing corporate entities to fully utilize NOL carryforwards to offset taxable income in 2018, 2019, or 2020. Taxpayers may generally deduct interest up to the sum of 50% of adjusted taxable income plus business interest income (30% limit under the 2017 Tax Act) for tax years beginning January 1, 2019 and 2020. The CARES Act allows taxpayers with alternative minimum tax credits to claim a refund in 2020 for the entire amount of the credits instead of recovering the credits through refunds over a period of years, as originally enacted by the 2017 Tax Act. In addition, the CARES Act raises the corporate charitable deduction limit to 25% of taxable income and makes qualified improvement property generally eligible for 15-year cost-recovery and 100% bonus depreciation. The enactment of the CARES Act did not result in any adjustments to the Company’s income tax provision for the years ended December 31, 2024, 2023, and 2022, or to the Company’s net deferred tax assets as of December 31, 2024 and 2023, since the Company has not recorded any U.S. federal or state income tax benefits for the net losses incurred in any year due to the uncertainty of realizing a benefit therefrom.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Employee Benefits</w:t>
      </w:r>
    </w:p>
    <w:p>
      <w:pPr>
        <w:spacing w:after="0" w:line="23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 2016, the Company established a defined-contribution plan under Section 401(k) of the Internal Revenue Code (the "401(k) Plan"). The 401(k) Plan covers all employees who meet defined minimum age and service requirements and allows participants to defer a portion of their annual compensation on a pre-tax basis. The Company made matching contributions to the 401(k) Plan of $2.4 million, $2.6 million, and $2.3 million for the years ended December 31, 2024, 2023, and 2022,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Subsequent Events</w:t>
      </w:r>
    </w:p>
    <w:p>
      <w:pPr>
        <w:spacing w:after="0" w:line="23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In preparing the consolidated financial statements as of December 31, 2024, the Company evaluated subsequent events for recognition and measurement through the filing date of this Annual Report on Form 10-K. The Company concluded no events or transactions have occurred that require disclosure in the accompanying consolidated financial statements, except as otherwise included in the notes above.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12"/>
        </w:trPr>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520" w:type="dxa"/>
            <w:vAlign w:val="bottom"/>
            <w:gridSpan w:val="30"/>
          </w:tcPr>
          <w:p>
            <w:pPr>
              <w:jc w:val="center"/>
              <w:ind w:right="470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503"/>
        </w:trPr>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11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20" w:type="dxa"/>
            <w:vAlign w:val="bottom"/>
            <w:tcBorders>
              <w:bottom w:val="single" w:sz="8" w:color="auto"/>
            </w:tcBorders>
            <w:gridSpan w:val="26"/>
          </w:tcPr>
          <w:p>
            <w:pPr>
              <w:ind w:left="5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361"/>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340" w:type="dxa"/>
            <w:vAlign w:val="bottom"/>
          </w:tcPr>
          <w:p>
            <w:pPr>
              <w:spacing w:after="0"/>
              <w:rPr>
                <w:sz w:val="24"/>
                <w:szCs w:val="24"/>
                <w:color w:val="auto"/>
              </w:rPr>
            </w:pPr>
          </w:p>
        </w:tc>
        <w:tc>
          <w:tcPr>
            <w:tcW w:w="936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rPr>
            </w:pPr>
            <w:hyperlink r:id="rId422">
              <w:r>
                <w:rPr>
                  <w:rFonts w:ascii="Times New Roman" w:cs="Times New Roman" w:eastAsia="Times New Roman" w:hAnsi="Times New Roman"/>
                  <w:sz w:val="16"/>
                  <w:szCs w:val="16"/>
                  <w:color w:val="0000FF"/>
                </w:rPr>
                <w:t>Agreement and Plan of Merger dated April 15, 2021 by and among the Registrant, Elixir Merger Sub I, Inc., Elixir Merger Sub II, LLC, ZebiAI</w:t>
              </w:r>
            </w:hyperlink>
          </w:p>
        </w:tc>
        <w:tc>
          <w:tcPr>
            <w:tcW w:w="420" w:type="dxa"/>
            <w:vAlign w:val="bottom"/>
            <w:gridSpan w:val="14"/>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00" w:type="dxa"/>
            <w:vAlign w:val="bottom"/>
            <w:tcBorders>
              <w:bottom w:val="single" w:sz="8" w:color="0000FF"/>
            </w:tcBorders>
            <w:gridSpan w:val="27"/>
          </w:tcPr>
          <w:p>
            <w:pPr>
              <w:spacing w:after="0" w:line="183" w:lineRule="exact"/>
              <w:rPr>
                <w:rFonts w:ascii="Times New Roman" w:cs="Times New Roman" w:eastAsia="Times New Roman" w:hAnsi="Times New Roman"/>
                <w:sz w:val="16"/>
                <w:szCs w:val="16"/>
                <w:color w:val="0000FF"/>
              </w:rPr>
            </w:pPr>
            <w:hyperlink r:id="rId422">
              <w:r>
                <w:rPr>
                  <w:rFonts w:ascii="Times New Roman" w:cs="Times New Roman" w:eastAsia="Times New Roman" w:hAnsi="Times New Roman"/>
                  <w:sz w:val="16"/>
                  <w:szCs w:val="16"/>
                  <w:color w:val="0000FF"/>
                </w:rPr>
                <w:t>Therapeutics, Inc., and Shareholder Representative Services LLC (incorporated by reference to Exhibit 2.1 to the Registrant’s Form 8-K (File No.</w:t>
              </w:r>
            </w:hyperlink>
          </w:p>
        </w:tc>
        <w:tc>
          <w:tcPr>
            <w:tcW w:w="280" w:type="dxa"/>
            <w:vAlign w:val="bottom"/>
            <w:gridSpan w:val="11"/>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80" w:type="dxa"/>
            <w:vAlign w:val="bottom"/>
            <w:tcBorders>
              <w:bottom w:val="single" w:sz="8" w:color="0000FF"/>
            </w:tcBorders>
            <w:gridSpan w:val="5"/>
          </w:tcPr>
          <w:p>
            <w:pPr>
              <w:spacing w:after="0" w:line="183" w:lineRule="exact"/>
              <w:rPr>
                <w:rFonts w:ascii="Times New Roman" w:cs="Times New Roman" w:eastAsia="Times New Roman" w:hAnsi="Times New Roman"/>
                <w:sz w:val="16"/>
                <w:szCs w:val="16"/>
                <w:color w:val="0000FF"/>
              </w:rPr>
            </w:pPr>
            <w:hyperlink r:id="rId422">
              <w:r>
                <w:rPr>
                  <w:rFonts w:ascii="Times New Roman" w:cs="Times New Roman" w:eastAsia="Times New Roman" w:hAnsi="Times New Roman"/>
                  <w:sz w:val="16"/>
                  <w:szCs w:val="16"/>
                  <w:color w:val="0000FF"/>
                </w:rPr>
                <w:t>001-39385) filed on April 16, 2021).</w:t>
              </w:r>
            </w:hyperlink>
          </w:p>
        </w:tc>
        <w:tc>
          <w:tcPr>
            <w:tcW w:w="20" w:type="dxa"/>
            <w:vAlign w:val="bottom"/>
            <w:tcBorders>
              <w:bottom w:val="single" w:sz="8" w:color="0000EE"/>
            </w:tcBorders>
          </w:tcPr>
          <w:p>
            <w:pPr>
              <w:spacing w:after="0"/>
              <w:rPr>
                <w:sz w:val="15"/>
                <w:szCs w:val="15"/>
                <w:color w:val="auto"/>
              </w:rPr>
            </w:pPr>
          </w:p>
        </w:tc>
        <w:tc>
          <w:tcPr>
            <w:tcW w:w="7380" w:type="dxa"/>
            <w:vAlign w:val="bottom"/>
            <w:gridSpan w:val="32"/>
          </w:tcPr>
          <w:p>
            <w:pPr>
              <w:spacing w:after="0"/>
              <w:rPr>
                <w:sz w:val="15"/>
                <w:szCs w:val="15"/>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340" w:type="dxa"/>
            <w:vAlign w:val="bottom"/>
          </w:tcPr>
          <w:p>
            <w:pPr>
              <w:spacing w:after="0"/>
              <w:rPr>
                <w:sz w:val="24"/>
                <w:szCs w:val="24"/>
                <w:color w:val="auto"/>
              </w:rPr>
            </w:pPr>
          </w:p>
        </w:tc>
        <w:tc>
          <w:tcPr>
            <w:tcW w:w="9640" w:type="dxa"/>
            <w:vAlign w:val="bottom"/>
            <w:tcBorders>
              <w:bottom w:val="single" w:sz="8" w:color="0000FF"/>
            </w:tcBorders>
            <w:gridSpan w:val="33"/>
          </w:tcPr>
          <w:p>
            <w:pPr>
              <w:spacing w:after="0"/>
              <w:rPr>
                <w:rFonts w:ascii="Times New Roman" w:cs="Times New Roman" w:eastAsia="Times New Roman" w:hAnsi="Times New Roman"/>
                <w:sz w:val="16"/>
                <w:szCs w:val="16"/>
                <w:color w:val="0000FF"/>
              </w:rPr>
            </w:pPr>
            <w:hyperlink r:id="rId423">
              <w:r>
                <w:rPr>
                  <w:rFonts w:ascii="Times New Roman" w:cs="Times New Roman" w:eastAsia="Times New Roman" w:hAnsi="Times New Roman"/>
                  <w:sz w:val="16"/>
                  <w:szCs w:val="16"/>
                  <w:color w:val="0000FF"/>
                </w:rPr>
                <w:t>Fourth Amended and Restated Certificate of Incorporation of the Registrant (incorporated by reference to Exhibit 3.1 to the Registrant’s Form 10-K</w:t>
              </w:r>
            </w:hyperlink>
          </w:p>
        </w:tc>
        <w:tc>
          <w:tcPr>
            <w:tcW w:w="140" w:type="dxa"/>
            <w:vAlign w:val="bottom"/>
            <w:gridSpan w:val="5"/>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780" w:type="dxa"/>
            <w:vAlign w:val="bottom"/>
            <w:gridSpan w:val="38"/>
          </w:tcPr>
          <w:p>
            <w:pPr>
              <w:spacing w:after="0" w:line="183" w:lineRule="exact"/>
              <w:rPr>
                <w:rFonts w:ascii="Times New Roman" w:cs="Times New Roman" w:eastAsia="Times New Roman" w:hAnsi="Times New Roman"/>
                <w:sz w:val="16"/>
                <w:szCs w:val="16"/>
                <w:color w:val="0000FF"/>
              </w:rPr>
            </w:pPr>
            <w:hyperlink r:id="rId423">
              <w:r>
                <w:rPr>
                  <w:rFonts w:ascii="Times New Roman" w:cs="Times New Roman" w:eastAsia="Times New Roman" w:hAnsi="Times New Roman"/>
                  <w:sz w:val="16"/>
                  <w:szCs w:val="16"/>
                  <w:color w:val="0000FF"/>
                </w:rPr>
                <w:t>(File No. 001-39385) filed on February 23, 2023).</w:t>
              </w:r>
            </w:hyperlink>
          </w:p>
        </w:tc>
      </w:tr>
      <w:tr>
        <w:trPr>
          <w:trHeight w:val="20"/>
        </w:trPr>
        <w:tc>
          <w:tcPr>
            <w:tcW w:w="11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340" w:type="dxa"/>
            <w:vAlign w:val="bottom"/>
          </w:tcPr>
          <w:p>
            <w:pPr>
              <w:spacing w:after="0"/>
              <w:rPr>
                <w:sz w:val="24"/>
                <w:szCs w:val="24"/>
                <w:color w:val="auto"/>
              </w:rPr>
            </w:pPr>
          </w:p>
        </w:tc>
        <w:tc>
          <w:tcPr>
            <w:tcW w:w="9740" w:type="dxa"/>
            <w:vAlign w:val="bottom"/>
            <w:tcBorders>
              <w:bottom w:val="single" w:sz="8" w:color="0000FF"/>
            </w:tcBorders>
            <w:gridSpan w:val="36"/>
          </w:tcPr>
          <w:p>
            <w:pPr>
              <w:spacing w:after="0"/>
              <w:rPr>
                <w:rFonts w:ascii="Times New Roman" w:cs="Times New Roman" w:eastAsia="Times New Roman" w:hAnsi="Times New Roman"/>
                <w:sz w:val="16"/>
                <w:szCs w:val="16"/>
                <w:color w:val="0000FF"/>
              </w:rPr>
            </w:pPr>
            <w:hyperlink r:id="rId424">
              <w:r>
                <w:rPr>
                  <w:rFonts w:ascii="Times New Roman" w:cs="Times New Roman" w:eastAsia="Times New Roman" w:hAnsi="Times New Roman"/>
                  <w:sz w:val="16"/>
                  <w:szCs w:val="16"/>
                  <w:color w:val="0000FF"/>
                </w:rPr>
                <w:t>Amended and Restated Bylaws of the Registrant (incorporated by reference to Exhibit 3.2 to the Registrant’s Form 8-K (File No. 001-39385) filed on</w:t>
              </w:r>
            </w:hyperlink>
          </w:p>
        </w:tc>
        <w:tc>
          <w:tcPr>
            <w:tcW w:w="40" w:type="dxa"/>
            <w:vAlign w:val="bottom"/>
            <w:gridSpan w:val="2"/>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780" w:type="dxa"/>
            <w:vAlign w:val="bottom"/>
            <w:gridSpan w:val="38"/>
          </w:tcPr>
          <w:p>
            <w:pPr>
              <w:spacing w:after="0" w:line="183" w:lineRule="exact"/>
              <w:rPr>
                <w:rFonts w:ascii="Times New Roman" w:cs="Times New Roman" w:eastAsia="Times New Roman" w:hAnsi="Times New Roman"/>
                <w:sz w:val="16"/>
                <w:szCs w:val="16"/>
                <w:color w:val="0000FF"/>
              </w:rPr>
            </w:pPr>
            <w:hyperlink r:id="rId424">
              <w:r>
                <w:rPr>
                  <w:rFonts w:ascii="Times New Roman" w:cs="Times New Roman" w:eastAsia="Times New Roman" w:hAnsi="Times New Roman"/>
                  <w:sz w:val="16"/>
                  <w:szCs w:val="16"/>
                  <w:color w:val="0000FF"/>
                </w:rPr>
                <w:t>July 21, 2020).</w:t>
              </w:r>
            </w:hyperlink>
          </w:p>
        </w:tc>
      </w:tr>
      <w:tr>
        <w:trPr>
          <w:trHeight w:val="20"/>
        </w:trPr>
        <w:tc>
          <w:tcPr>
            <w:tcW w:w="11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231F20"/>
              </w:rPr>
              <w:t>4.1</w:t>
            </w:r>
          </w:p>
        </w:tc>
        <w:tc>
          <w:tcPr>
            <w:tcW w:w="340" w:type="dxa"/>
            <w:vAlign w:val="bottom"/>
          </w:tcPr>
          <w:p>
            <w:pPr>
              <w:spacing w:after="0"/>
              <w:rPr>
                <w:sz w:val="24"/>
                <w:szCs w:val="24"/>
                <w:color w:val="auto"/>
              </w:rPr>
            </w:pPr>
          </w:p>
        </w:tc>
        <w:tc>
          <w:tcPr>
            <w:tcW w:w="9760" w:type="dxa"/>
            <w:vAlign w:val="bottom"/>
            <w:tcBorders>
              <w:bottom w:val="single" w:sz="8" w:color="0000FF"/>
            </w:tcBorders>
            <w:gridSpan w:val="37"/>
          </w:tcPr>
          <w:p>
            <w:pPr>
              <w:spacing w:after="0"/>
              <w:rPr>
                <w:rFonts w:ascii="Times New Roman" w:cs="Times New Roman" w:eastAsia="Times New Roman" w:hAnsi="Times New Roman"/>
                <w:sz w:val="16"/>
                <w:szCs w:val="16"/>
                <w:color w:val="0000FF"/>
              </w:rPr>
            </w:pPr>
            <w:hyperlink r:id="rId425">
              <w:r>
                <w:rPr>
                  <w:rFonts w:ascii="Times New Roman" w:cs="Times New Roman" w:eastAsia="Times New Roman" w:hAnsi="Times New Roman"/>
                  <w:sz w:val="16"/>
                  <w:szCs w:val="16"/>
                  <w:color w:val="0000FF"/>
                </w:rPr>
                <w:t>Specimen stock certificate evidencing the shares of common stock (incorporated by reference to Exhibit 4.1 to the Registrant's Registration Statement</w:t>
              </w:r>
            </w:hyperlink>
          </w:p>
        </w:tc>
        <w:tc>
          <w:tcPr>
            <w:tcW w:w="2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780" w:type="dxa"/>
            <w:vAlign w:val="bottom"/>
            <w:gridSpan w:val="38"/>
          </w:tcPr>
          <w:p>
            <w:pPr>
              <w:spacing w:after="0" w:line="183" w:lineRule="exact"/>
              <w:rPr>
                <w:rFonts w:ascii="Times New Roman" w:cs="Times New Roman" w:eastAsia="Times New Roman" w:hAnsi="Times New Roman"/>
                <w:sz w:val="16"/>
                <w:szCs w:val="16"/>
                <w:color w:val="0000FF"/>
              </w:rPr>
            </w:pPr>
            <w:hyperlink r:id="rId425">
              <w:r>
                <w:rPr>
                  <w:rFonts w:ascii="Times New Roman" w:cs="Times New Roman" w:eastAsia="Times New Roman" w:hAnsi="Times New Roman"/>
                  <w:sz w:val="16"/>
                  <w:szCs w:val="16"/>
                  <w:color w:val="0000FF"/>
                </w:rPr>
                <w:t>on Form S-1/A (File No. 333-239412) filed on July 9, 2020).</w:t>
              </w:r>
            </w:hyperlink>
          </w:p>
        </w:tc>
      </w:tr>
      <w:tr>
        <w:trPr>
          <w:trHeight w:val="20"/>
        </w:trPr>
        <w:tc>
          <w:tcPr>
            <w:tcW w:w="11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231F20"/>
              </w:rPr>
              <w:t>4.2</w:t>
            </w:r>
          </w:p>
        </w:tc>
        <w:tc>
          <w:tcPr>
            <w:tcW w:w="340" w:type="dxa"/>
            <w:vAlign w:val="bottom"/>
          </w:tcPr>
          <w:p>
            <w:pPr>
              <w:spacing w:after="0"/>
              <w:rPr>
                <w:sz w:val="24"/>
                <w:szCs w:val="24"/>
                <w:color w:val="auto"/>
              </w:rPr>
            </w:pPr>
          </w:p>
        </w:tc>
        <w:tc>
          <w:tcPr>
            <w:tcW w:w="9560" w:type="dxa"/>
            <w:vAlign w:val="bottom"/>
            <w:tcBorders>
              <w:bottom w:val="single" w:sz="8" w:color="0000FF"/>
            </w:tcBorders>
            <w:gridSpan w:val="29"/>
          </w:tcPr>
          <w:p>
            <w:pPr>
              <w:spacing w:after="0"/>
              <w:rPr>
                <w:rFonts w:ascii="Times New Roman" w:cs="Times New Roman" w:eastAsia="Times New Roman" w:hAnsi="Times New Roman"/>
                <w:sz w:val="16"/>
                <w:szCs w:val="16"/>
                <w:color w:val="0000FF"/>
              </w:rPr>
            </w:pPr>
            <w:hyperlink r:id="rId426">
              <w:r>
                <w:rPr>
                  <w:rFonts w:ascii="Times New Roman" w:cs="Times New Roman" w:eastAsia="Times New Roman" w:hAnsi="Times New Roman"/>
                  <w:sz w:val="16"/>
                  <w:szCs w:val="16"/>
                  <w:color w:val="0000FF"/>
                </w:rPr>
                <w:t>Description of Securities (incorporated by reference to Exhibit 4.2 to the Registrant's Form 10-K (File No. 001-39385) filed on February 22, 2024).</w:t>
              </w:r>
            </w:hyperlink>
          </w:p>
        </w:tc>
        <w:tc>
          <w:tcPr>
            <w:tcW w:w="220" w:type="dxa"/>
            <w:vAlign w:val="bottom"/>
            <w:gridSpan w:val="9"/>
          </w:tcPr>
          <w:p>
            <w:pPr>
              <w:spacing w:after="0"/>
              <w:rPr>
                <w:sz w:val="24"/>
                <w:szCs w:val="24"/>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231F20"/>
              </w:rPr>
              <w:t>10.1#</w:t>
            </w:r>
          </w:p>
        </w:tc>
        <w:tc>
          <w:tcPr>
            <w:tcW w:w="340" w:type="dxa"/>
            <w:vAlign w:val="bottom"/>
          </w:tcPr>
          <w:p>
            <w:pPr>
              <w:spacing w:after="0"/>
              <w:rPr>
                <w:sz w:val="24"/>
                <w:szCs w:val="24"/>
                <w:color w:val="auto"/>
              </w:rPr>
            </w:pPr>
          </w:p>
        </w:tc>
        <w:tc>
          <w:tcPr>
            <w:tcW w:w="906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427">
              <w:r>
                <w:rPr>
                  <w:rFonts w:ascii="Times New Roman" w:cs="Times New Roman" w:eastAsia="Times New Roman" w:hAnsi="Times New Roman"/>
                  <w:sz w:val="16"/>
                  <w:szCs w:val="16"/>
                  <w:color w:val="0000FF"/>
                </w:rPr>
                <w:t>2016 Stock Option and Grant Plan, and form of award agreements thereunder (incorporated by reference to Exhibit 10.1 of the Registrant’s</w:t>
              </w:r>
            </w:hyperlink>
          </w:p>
        </w:tc>
        <w:tc>
          <w:tcPr>
            <w:tcW w:w="720" w:type="dxa"/>
            <w:vAlign w:val="bottom"/>
            <w:gridSpan w:val="17"/>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20" w:type="dxa"/>
            <w:vAlign w:val="bottom"/>
            <w:tcBorders>
              <w:bottom w:val="single" w:sz="8" w:color="0000FF"/>
            </w:tcBorders>
            <w:gridSpan w:val="17"/>
          </w:tcPr>
          <w:p>
            <w:pPr>
              <w:spacing w:after="0" w:line="183" w:lineRule="exact"/>
              <w:rPr>
                <w:rFonts w:ascii="Times New Roman" w:cs="Times New Roman" w:eastAsia="Times New Roman" w:hAnsi="Times New Roman"/>
                <w:sz w:val="16"/>
                <w:szCs w:val="16"/>
                <w:color w:val="0000FF"/>
              </w:rPr>
            </w:pPr>
            <w:hyperlink r:id="rId427">
              <w:r>
                <w:rPr>
                  <w:rFonts w:ascii="Times New Roman" w:cs="Times New Roman" w:eastAsia="Times New Roman" w:hAnsi="Times New Roman"/>
                  <w:sz w:val="16"/>
                  <w:szCs w:val="16"/>
                  <w:color w:val="0000FF"/>
                </w:rPr>
                <w:t>Registration Statement on Form S-1 (File No. 333-239412) filed on June 24, 2020).</w:t>
              </w:r>
            </w:hyperlink>
          </w:p>
        </w:tc>
        <w:tc>
          <w:tcPr>
            <w:tcW w:w="20" w:type="dxa"/>
            <w:vAlign w:val="bottom"/>
            <w:tcBorders>
              <w:bottom w:val="single" w:sz="8" w:color="0000EE"/>
            </w:tcBorders>
          </w:tcPr>
          <w:p>
            <w:pPr>
              <w:spacing w:after="0"/>
              <w:rPr>
                <w:sz w:val="15"/>
                <w:szCs w:val="15"/>
                <w:color w:val="auto"/>
              </w:rPr>
            </w:pPr>
          </w:p>
        </w:tc>
        <w:tc>
          <w:tcPr>
            <w:tcW w:w="4340" w:type="dxa"/>
            <w:vAlign w:val="bottom"/>
            <w:gridSpan w:val="20"/>
          </w:tcPr>
          <w:p>
            <w:pPr>
              <w:spacing w:after="0"/>
              <w:rPr>
                <w:sz w:val="15"/>
                <w:szCs w:val="15"/>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231F20"/>
              </w:rPr>
              <w:t>10.2#</w:t>
            </w:r>
          </w:p>
        </w:tc>
        <w:tc>
          <w:tcPr>
            <w:tcW w:w="340" w:type="dxa"/>
            <w:vAlign w:val="bottom"/>
          </w:tcPr>
          <w:p>
            <w:pPr>
              <w:spacing w:after="0"/>
              <w:rPr>
                <w:sz w:val="24"/>
                <w:szCs w:val="24"/>
                <w:color w:val="auto"/>
              </w:rPr>
            </w:pPr>
          </w:p>
        </w:tc>
        <w:tc>
          <w:tcPr>
            <w:tcW w:w="966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428">
              <w:r>
                <w:rPr>
                  <w:rFonts w:ascii="Times New Roman" w:cs="Times New Roman" w:eastAsia="Times New Roman" w:hAnsi="Times New Roman"/>
                  <w:sz w:val="16"/>
                  <w:szCs w:val="16"/>
                  <w:color w:val="0000FF"/>
                </w:rPr>
                <w:t>2020 Stock Option and Incentive Plan, and form of award agreements thereunder (incorporated by reference to Exhibit 10.2 to the Registrant's Form</w:t>
              </w:r>
            </w:hyperlink>
          </w:p>
        </w:tc>
        <w:tc>
          <w:tcPr>
            <w:tcW w:w="120" w:type="dxa"/>
            <w:vAlign w:val="bottom"/>
            <w:gridSpan w:val="4"/>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20" w:type="dxa"/>
            <w:vAlign w:val="bottom"/>
            <w:tcBorders>
              <w:bottom w:val="single" w:sz="8" w:color="0000FF"/>
            </w:tcBorders>
            <w:gridSpan w:val="9"/>
          </w:tcPr>
          <w:p>
            <w:pPr>
              <w:spacing w:after="0" w:line="183" w:lineRule="exact"/>
              <w:rPr>
                <w:rFonts w:ascii="Times New Roman" w:cs="Times New Roman" w:eastAsia="Times New Roman" w:hAnsi="Times New Roman"/>
                <w:sz w:val="16"/>
                <w:szCs w:val="16"/>
                <w:color w:val="0000FF"/>
              </w:rPr>
            </w:pPr>
            <w:hyperlink r:id="rId428">
              <w:r>
                <w:rPr>
                  <w:rFonts w:ascii="Times New Roman" w:cs="Times New Roman" w:eastAsia="Times New Roman" w:hAnsi="Times New Roman"/>
                  <w:sz w:val="16"/>
                  <w:szCs w:val="16"/>
                  <w:color w:val="0000FF"/>
                </w:rPr>
                <w:t>10-K (File No. 001-39385) filed on February 24, 2022).</w:t>
              </w:r>
            </w:hyperlink>
          </w:p>
        </w:tc>
        <w:tc>
          <w:tcPr>
            <w:tcW w:w="20" w:type="dxa"/>
            <w:vAlign w:val="bottom"/>
            <w:tcBorders>
              <w:bottom w:val="single" w:sz="8" w:color="0000EE"/>
            </w:tcBorders>
          </w:tcPr>
          <w:p>
            <w:pPr>
              <w:spacing w:after="0"/>
              <w:rPr>
                <w:sz w:val="15"/>
                <w:szCs w:val="15"/>
                <w:color w:val="auto"/>
              </w:rPr>
            </w:pPr>
          </w:p>
        </w:tc>
        <w:tc>
          <w:tcPr>
            <w:tcW w:w="6140" w:type="dxa"/>
            <w:vAlign w:val="bottom"/>
            <w:gridSpan w:val="28"/>
          </w:tcPr>
          <w:p>
            <w:pPr>
              <w:spacing w:after="0"/>
              <w:rPr>
                <w:sz w:val="15"/>
                <w:szCs w:val="15"/>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231F20"/>
              </w:rPr>
              <w:t>10.3#</w:t>
            </w:r>
          </w:p>
        </w:tc>
        <w:tc>
          <w:tcPr>
            <w:tcW w:w="340" w:type="dxa"/>
            <w:vAlign w:val="bottom"/>
          </w:tcPr>
          <w:p>
            <w:pPr>
              <w:spacing w:after="0"/>
              <w:rPr>
                <w:sz w:val="24"/>
                <w:szCs w:val="24"/>
                <w:color w:val="auto"/>
              </w:rPr>
            </w:pPr>
          </w:p>
        </w:tc>
        <w:tc>
          <w:tcPr>
            <w:tcW w:w="958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429">
              <w:r>
                <w:rPr>
                  <w:rFonts w:ascii="Times New Roman" w:cs="Times New Roman" w:eastAsia="Times New Roman" w:hAnsi="Times New Roman"/>
                  <w:sz w:val="16"/>
                  <w:szCs w:val="16"/>
                  <w:color w:val="0000FF"/>
                </w:rPr>
                <w:t>2020 Employee Stock Purchase Plan (incorporated by reference to Exhibit 10.3 of the Registrant’s Registration Statement on Form S-1/A (File No.</w:t>
              </w:r>
            </w:hyperlink>
          </w:p>
        </w:tc>
        <w:tc>
          <w:tcPr>
            <w:tcW w:w="200" w:type="dxa"/>
            <w:vAlign w:val="bottom"/>
            <w:gridSpan w:val="8"/>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780" w:type="dxa"/>
            <w:vAlign w:val="bottom"/>
            <w:gridSpan w:val="38"/>
          </w:tcPr>
          <w:p>
            <w:pPr>
              <w:spacing w:after="0" w:line="183" w:lineRule="exact"/>
              <w:rPr>
                <w:rFonts w:ascii="Times New Roman" w:cs="Times New Roman" w:eastAsia="Times New Roman" w:hAnsi="Times New Roman"/>
                <w:sz w:val="16"/>
                <w:szCs w:val="16"/>
                <w:color w:val="0000FF"/>
              </w:rPr>
            </w:pPr>
            <w:hyperlink r:id="rId429">
              <w:r>
                <w:rPr>
                  <w:rFonts w:ascii="Times New Roman" w:cs="Times New Roman" w:eastAsia="Times New Roman" w:hAnsi="Times New Roman"/>
                  <w:sz w:val="16"/>
                  <w:szCs w:val="16"/>
                  <w:color w:val="0000FF"/>
                </w:rPr>
                <w:t>333-239412) filed on July 9, 2020).</w:t>
              </w:r>
            </w:hyperlink>
          </w:p>
        </w:tc>
      </w:tr>
      <w:tr>
        <w:trPr>
          <w:trHeight w:val="20"/>
        </w:trPr>
        <w:tc>
          <w:tcPr>
            <w:tcW w:w="11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231F20"/>
              </w:rPr>
              <w:t>10.4#</w:t>
            </w:r>
          </w:p>
        </w:tc>
        <w:tc>
          <w:tcPr>
            <w:tcW w:w="340" w:type="dxa"/>
            <w:vAlign w:val="bottom"/>
          </w:tcPr>
          <w:p>
            <w:pPr>
              <w:spacing w:after="0"/>
              <w:rPr>
                <w:sz w:val="24"/>
                <w:szCs w:val="24"/>
                <w:color w:val="auto"/>
              </w:rPr>
            </w:pPr>
          </w:p>
        </w:tc>
        <w:tc>
          <w:tcPr>
            <w:tcW w:w="9600" w:type="dxa"/>
            <w:vAlign w:val="bottom"/>
            <w:tcBorders>
              <w:bottom w:val="single" w:sz="8" w:color="0000FF"/>
            </w:tcBorders>
            <w:gridSpan w:val="31"/>
          </w:tcPr>
          <w:p>
            <w:pPr>
              <w:spacing w:after="0"/>
              <w:rPr>
                <w:rFonts w:ascii="Times New Roman" w:cs="Times New Roman" w:eastAsia="Times New Roman" w:hAnsi="Times New Roman"/>
                <w:sz w:val="16"/>
                <w:szCs w:val="16"/>
                <w:color w:val="0000FF"/>
              </w:rPr>
            </w:pPr>
            <w:hyperlink r:id="rId430">
              <w:r>
                <w:rPr>
                  <w:rFonts w:ascii="Times New Roman" w:cs="Times New Roman" w:eastAsia="Times New Roman" w:hAnsi="Times New Roman"/>
                  <w:sz w:val="16"/>
                  <w:szCs w:val="16"/>
                  <w:color w:val="0000FF"/>
                </w:rPr>
                <w:t>Senior Executive Cash Bonus Plan (incorporated by reference to Exhibit 10.4 of the Registrant’s Registration Statement on Form S-1 (File No. 333-</w:t>
              </w:r>
            </w:hyperlink>
          </w:p>
        </w:tc>
        <w:tc>
          <w:tcPr>
            <w:tcW w:w="180" w:type="dxa"/>
            <w:vAlign w:val="bottom"/>
            <w:gridSpan w:val="7"/>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rPr>
            </w:pPr>
            <w:hyperlink r:id="rId430">
              <w:r>
                <w:rPr>
                  <w:rFonts w:ascii="Times New Roman" w:cs="Times New Roman" w:eastAsia="Times New Roman" w:hAnsi="Times New Roman"/>
                  <w:sz w:val="16"/>
                  <w:szCs w:val="16"/>
                  <w:color w:val="0000FF"/>
                </w:rPr>
                <w:t>239412) filed on June 24, 2020).</w:t>
              </w:r>
            </w:hyperlink>
          </w:p>
        </w:tc>
        <w:tc>
          <w:tcPr>
            <w:tcW w:w="20" w:type="dxa"/>
            <w:vAlign w:val="bottom"/>
            <w:tcBorders>
              <w:bottom w:val="single" w:sz="8" w:color="0000EE"/>
            </w:tcBorders>
          </w:tcPr>
          <w:p>
            <w:pPr>
              <w:spacing w:after="0"/>
              <w:rPr>
                <w:sz w:val="15"/>
                <w:szCs w:val="15"/>
                <w:color w:val="auto"/>
              </w:rPr>
            </w:pPr>
          </w:p>
        </w:tc>
        <w:tc>
          <w:tcPr>
            <w:tcW w:w="7640" w:type="dxa"/>
            <w:vAlign w:val="bottom"/>
            <w:gridSpan w:val="35"/>
          </w:tcPr>
          <w:p>
            <w:pPr>
              <w:spacing w:after="0"/>
              <w:rPr>
                <w:sz w:val="15"/>
                <w:szCs w:val="15"/>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231F20"/>
              </w:rPr>
              <w:t>10.5#</w:t>
            </w:r>
          </w:p>
        </w:tc>
        <w:tc>
          <w:tcPr>
            <w:tcW w:w="340" w:type="dxa"/>
            <w:vAlign w:val="bottom"/>
          </w:tcPr>
          <w:p>
            <w:pPr>
              <w:spacing w:after="0"/>
              <w:rPr>
                <w:sz w:val="24"/>
                <w:szCs w:val="24"/>
                <w:color w:val="auto"/>
              </w:rPr>
            </w:pPr>
          </w:p>
        </w:tc>
        <w:tc>
          <w:tcPr>
            <w:tcW w:w="9620" w:type="dxa"/>
            <w:vAlign w:val="bottom"/>
            <w:tcBorders>
              <w:bottom w:val="single" w:sz="8" w:color="0000FF"/>
            </w:tcBorders>
            <w:gridSpan w:val="32"/>
          </w:tcPr>
          <w:p>
            <w:pPr>
              <w:spacing w:after="0"/>
              <w:rPr>
                <w:rFonts w:ascii="Times New Roman" w:cs="Times New Roman" w:eastAsia="Times New Roman" w:hAnsi="Times New Roman"/>
                <w:sz w:val="16"/>
                <w:szCs w:val="16"/>
                <w:color w:val="0000FF"/>
              </w:rPr>
            </w:pPr>
            <w:hyperlink r:id="rId431">
              <w:r>
                <w:rPr>
                  <w:rFonts w:ascii="Times New Roman" w:cs="Times New Roman" w:eastAsia="Times New Roman" w:hAnsi="Times New Roman"/>
                  <w:sz w:val="16"/>
                  <w:szCs w:val="16"/>
                  <w:color w:val="0000FF"/>
                </w:rPr>
                <w:t>Amended and Restated Non-Employee Director Compensation Policy, effective as of June 1, 2023 (incorporated by reference to Exhibit 10.2 to the</w:t>
              </w:r>
            </w:hyperlink>
          </w:p>
        </w:tc>
        <w:tc>
          <w:tcPr>
            <w:tcW w:w="160" w:type="dxa"/>
            <w:vAlign w:val="bottom"/>
            <w:gridSpan w:val="6"/>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40" w:type="dxa"/>
            <w:vAlign w:val="bottom"/>
            <w:tcBorders>
              <w:bottom w:val="single" w:sz="8" w:color="0000EE"/>
            </w:tcBorders>
            <w:gridSpan w:val="14"/>
          </w:tcPr>
          <w:p>
            <w:pPr>
              <w:spacing w:after="0" w:line="183" w:lineRule="exact"/>
              <w:rPr>
                <w:rFonts w:ascii="Times New Roman" w:cs="Times New Roman" w:eastAsia="Times New Roman" w:hAnsi="Times New Roman"/>
                <w:sz w:val="16"/>
                <w:szCs w:val="16"/>
                <w:color w:val="0000FF"/>
              </w:rPr>
            </w:pPr>
            <w:hyperlink r:id="rId431">
              <w:r>
                <w:rPr>
                  <w:rFonts w:ascii="Times New Roman" w:cs="Times New Roman" w:eastAsia="Times New Roman" w:hAnsi="Times New Roman"/>
                  <w:sz w:val="16"/>
                  <w:szCs w:val="16"/>
                  <w:color w:val="0000FF"/>
                </w:rPr>
                <w:t>Registrant's Form 10-Q (File No. 001-39385) filed on August 8, 2023).</w:t>
              </w:r>
            </w:hyperlink>
          </w:p>
        </w:tc>
        <w:tc>
          <w:tcPr>
            <w:tcW w:w="5140" w:type="dxa"/>
            <w:vAlign w:val="bottom"/>
            <w:gridSpan w:val="24"/>
          </w:tcPr>
          <w:p>
            <w:pPr>
              <w:spacing w:after="0"/>
              <w:rPr>
                <w:sz w:val="15"/>
                <w:szCs w:val="15"/>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231F20"/>
              </w:rPr>
              <w:t>10.6#</w:t>
            </w:r>
          </w:p>
        </w:tc>
        <w:tc>
          <w:tcPr>
            <w:tcW w:w="340" w:type="dxa"/>
            <w:vAlign w:val="bottom"/>
          </w:tcPr>
          <w:p>
            <w:pPr>
              <w:spacing w:after="0"/>
              <w:rPr>
                <w:sz w:val="24"/>
                <w:szCs w:val="24"/>
                <w:color w:val="auto"/>
              </w:rPr>
            </w:pPr>
          </w:p>
        </w:tc>
        <w:tc>
          <w:tcPr>
            <w:tcW w:w="9740" w:type="dxa"/>
            <w:vAlign w:val="bottom"/>
            <w:tcBorders>
              <w:bottom w:val="single" w:sz="8" w:color="0000FF"/>
            </w:tcBorders>
            <w:gridSpan w:val="36"/>
          </w:tcPr>
          <w:p>
            <w:pPr>
              <w:spacing w:after="0"/>
              <w:rPr>
                <w:rFonts w:ascii="Times New Roman" w:cs="Times New Roman" w:eastAsia="Times New Roman" w:hAnsi="Times New Roman"/>
                <w:sz w:val="16"/>
                <w:szCs w:val="16"/>
                <w:color w:val="0000FF"/>
              </w:rPr>
            </w:pPr>
            <w:hyperlink r:id="rId432">
              <w:r>
                <w:rPr>
                  <w:rFonts w:ascii="Times New Roman" w:cs="Times New Roman" w:eastAsia="Times New Roman" w:hAnsi="Times New Roman"/>
                  <w:sz w:val="16"/>
                  <w:szCs w:val="16"/>
                  <w:color w:val="0000FF"/>
                </w:rPr>
                <w:t>Form of Indemnification Agreement between the Registrant and each of its directors and executive officers (incorporated by reference to Exhibit 10.6</w:t>
              </w:r>
            </w:hyperlink>
          </w:p>
        </w:tc>
        <w:tc>
          <w:tcPr>
            <w:tcW w:w="40" w:type="dxa"/>
            <w:vAlign w:val="bottom"/>
            <w:gridSpan w:val="2"/>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60" w:type="dxa"/>
            <w:vAlign w:val="bottom"/>
            <w:tcBorders>
              <w:bottom w:val="single" w:sz="8" w:color="0000FF"/>
            </w:tcBorders>
            <w:gridSpan w:val="19"/>
          </w:tcPr>
          <w:p>
            <w:pPr>
              <w:spacing w:after="0" w:line="183" w:lineRule="exact"/>
              <w:rPr>
                <w:rFonts w:ascii="Times New Roman" w:cs="Times New Roman" w:eastAsia="Times New Roman" w:hAnsi="Times New Roman"/>
                <w:sz w:val="16"/>
                <w:szCs w:val="16"/>
                <w:color w:val="0000FF"/>
              </w:rPr>
            </w:pPr>
            <w:hyperlink r:id="rId432">
              <w:r>
                <w:rPr>
                  <w:rFonts w:ascii="Times New Roman" w:cs="Times New Roman" w:eastAsia="Times New Roman" w:hAnsi="Times New Roman"/>
                  <w:sz w:val="16"/>
                  <w:szCs w:val="16"/>
                  <w:color w:val="0000FF"/>
                </w:rPr>
                <w:t>of the Registrant’s Registration Statement on Form S-1 (File No. 333-239412) filed on June 24, 2020).</w:t>
              </w:r>
            </w:hyperlink>
          </w:p>
        </w:tc>
        <w:tc>
          <w:tcPr>
            <w:tcW w:w="3120" w:type="dxa"/>
            <w:vAlign w:val="bottom"/>
            <w:gridSpan w:val="19"/>
          </w:tcPr>
          <w:p>
            <w:pPr>
              <w:spacing w:after="0"/>
              <w:rPr>
                <w:sz w:val="15"/>
                <w:szCs w:val="15"/>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231F20"/>
              </w:rPr>
              <w:t>10.7#</w:t>
            </w:r>
          </w:p>
        </w:tc>
        <w:tc>
          <w:tcPr>
            <w:tcW w:w="340" w:type="dxa"/>
            <w:vAlign w:val="bottom"/>
          </w:tcPr>
          <w:p>
            <w:pPr>
              <w:spacing w:after="0"/>
              <w:rPr>
                <w:sz w:val="24"/>
                <w:szCs w:val="24"/>
                <w:color w:val="auto"/>
              </w:rPr>
            </w:pPr>
          </w:p>
        </w:tc>
        <w:tc>
          <w:tcPr>
            <w:tcW w:w="9460" w:type="dxa"/>
            <w:vAlign w:val="bottom"/>
            <w:tcBorders>
              <w:bottom w:val="single" w:sz="8" w:color="0000FF"/>
            </w:tcBorders>
            <w:gridSpan w:val="26"/>
          </w:tcPr>
          <w:p>
            <w:pPr>
              <w:spacing w:after="0"/>
              <w:rPr>
                <w:rFonts w:ascii="Times New Roman" w:cs="Times New Roman" w:eastAsia="Times New Roman" w:hAnsi="Times New Roman"/>
                <w:sz w:val="16"/>
                <w:szCs w:val="16"/>
                <w:color w:val="0000FF"/>
              </w:rPr>
            </w:pPr>
            <w:hyperlink r:id="rId433">
              <w:r>
                <w:rPr>
                  <w:rFonts w:ascii="Times New Roman" w:cs="Times New Roman" w:eastAsia="Times New Roman" w:hAnsi="Times New Roman"/>
                  <w:sz w:val="16"/>
                  <w:szCs w:val="16"/>
                  <w:color w:val="0000FF"/>
                </w:rPr>
                <w:t>Form of Amended and Restated Employment Agreement (incorporated by reference to Exhibit 10.8 of the Registrant’s Registration Statement on</w:t>
              </w:r>
            </w:hyperlink>
          </w:p>
        </w:tc>
        <w:tc>
          <w:tcPr>
            <w:tcW w:w="320" w:type="dxa"/>
            <w:vAlign w:val="bottom"/>
            <w:gridSpan w:val="12"/>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780" w:type="dxa"/>
            <w:vAlign w:val="bottom"/>
            <w:gridSpan w:val="38"/>
          </w:tcPr>
          <w:p>
            <w:pPr>
              <w:spacing w:after="0" w:line="183" w:lineRule="exact"/>
              <w:rPr>
                <w:rFonts w:ascii="Times New Roman" w:cs="Times New Roman" w:eastAsia="Times New Roman" w:hAnsi="Times New Roman"/>
                <w:sz w:val="16"/>
                <w:szCs w:val="16"/>
                <w:color w:val="0000FF"/>
              </w:rPr>
            </w:pPr>
            <w:hyperlink r:id="rId433">
              <w:r>
                <w:rPr>
                  <w:rFonts w:ascii="Times New Roman" w:cs="Times New Roman" w:eastAsia="Times New Roman" w:hAnsi="Times New Roman"/>
                  <w:sz w:val="16"/>
                  <w:szCs w:val="16"/>
                  <w:color w:val="0000FF"/>
                </w:rPr>
                <w:t>Form S-1/A (File No. 333-239412) filed on July 9, 2020).</w:t>
              </w:r>
            </w:hyperlink>
          </w:p>
        </w:tc>
      </w:tr>
      <w:tr>
        <w:trPr>
          <w:trHeight w:val="20"/>
        </w:trPr>
        <w:tc>
          <w:tcPr>
            <w:tcW w:w="11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3060" w:type="dxa"/>
            <w:vAlign w:val="bottom"/>
            <w:gridSpan w:val="7"/>
            <w:shd w:val="clear" w:color="auto" w:fill="0000FF"/>
          </w:tcPr>
          <w:p>
            <w:pPr>
              <w:spacing w:after="0" w:line="20" w:lineRule="exact"/>
              <w:rPr>
                <w:sz w:val="1"/>
                <w:szCs w:val="1"/>
                <w:color w:val="auto"/>
              </w:rPr>
            </w:pPr>
          </w:p>
        </w:tc>
        <w:tc>
          <w:tcPr>
            <w:tcW w:w="700" w:type="dxa"/>
            <w:vAlign w:val="bottom"/>
            <w:tcBorders>
              <w:right w:val="single" w:sz="8" w:color="0000EE"/>
            </w:tcBorders>
            <w:gridSpan w:val="4"/>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340" w:type="dxa"/>
            <w:vAlign w:val="bottom"/>
          </w:tcPr>
          <w:p>
            <w:pPr>
              <w:spacing w:after="0"/>
              <w:rPr>
                <w:sz w:val="24"/>
                <w:szCs w:val="24"/>
                <w:color w:val="auto"/>
              </w:rPr>
            </w:pPr>
          </w:p>
        </w:tc>
        <w:tc>
          <w:tcPr>
            <w:tcW w:w="972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434">
              <w:r>
                <w:rPr>
                  <w:rFonts w:ascii="Times New Roman" w:cs="Times New Roman" w:eastAsia="Times New Roman" w:hAnsi="Times New Roman"/>
                  <w:sz w:val="16"/>
                  <w:szCs w:val="16"/>
                  <w:color w:val="0000FF"/>
                </w:rPr>
                <w:t>Amended and Restated Employment Agreement, by and between the Registrant and Sanjiv K. Patel dated March 25, 2020 (incorporated by reference</w:t>
              </w:r>
            </w:hyperlink>
          </w:p>
        </w:tc>
        <w:tc>
          <w:tcPr>
            <w:tcW w:w="60" w:type="dxa"/>
            <w:vAlign w:val="bottom"/>
            <w:gridSpan w:val="3"/>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780" w:type="dxa"/>
            <w:vAlign w:val="bottom"/>
            <w:gridSpan w:val="38"/>
          </w:tcPr>
          <w:p>
            <w:pPr>
              <w:spacing w:after="0" w:line="183" w:lineRule="exact"/>
              <w:rPr>
                <w:rFonts w:ascii="Times New Roman" w:cs="Times New Roman" w:eastAsia="Times New Roman" w:hAnsi="Times New Roman"/>
                <w:sz w:val="16"/>
                <w:szCs w:val="16"/>
                <w:color w:val="0000FF"/>
              </w:rPr>
            </w:pPr>
            <w:hyperlink r:id="rId434">
              <w:r>
                <w:rPr>
                  <w:rFonts w:ascii="Times New Roman" w:cs="Times New Roman" w:eastAsia="Times New Roman" w:hAnsi="Times New Roman"/>
                  <w:sz w:val="16"/>
                  <w:szCs w:val="16"/>
                  <w:color w:val="0000FF"/>
                </w:rPr>
                <w:t>to Exhibit 10.9 of the Registrant’s Registration Statement on Form S-1 (File No. 333-239412) filed on June 24, 2020).</w:t>
              </w:r>
            </w:hyperlink>
          </w:p>
        </w:tc>
      </w:tr>
      <w:tr>
        <w:trPr>
          <w:trHeight w:val="20"/>
        </w:trPr>
        <w:tc>
          <w:tcPr>
            <w:tcW w:w="11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3060" w:type="dxa"/>
            <w:vAlign w:val="bottom"/>
            <w:gridSpan w:val="7"/>
            <w:shd w:val="clear" w:color="auto" w:fill="0000FF"/>
          </w:tcPr>
          <w:p>
            <w:pPr>
              <w:spacing w:after="0" w:line="20" w:lineRule="exact"/>
              <w:rPr>
                <w:sz w:val="1"/>
                <w:szCs w:val="1"/>
                <w:color w:val="auto"/>
              </w:rPr>
            </w:pPr>
          </w:p>
        </w:tc>
        <w:tc>
          <w:tcPr>
            <w:tcW w:w="156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40" w:type="dxa"/>
            <w:vAlign w:val="bottom"/>
            <w:tcBorders>
              <w:right w:val="single" w:sz="8" w:color="0000EE"/>
            </w:tcBorders>
            <w:gridSpan w:val="4"/>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340" w:type="dxa"/>
            <w:vAlign w:val="bottom"/>
          </w:tcPr>
          <w:p>
            <w:pPr>
              <w:spacing w:after="0"/>
              <w:rPr>
                <w:sz w:val="24"/>
                <w:szCs w:val="24"/>
                <w:color w:val="auto"/>
              </w:rPr>
            </w:pPr>
          </w:p>
        </w:tc>
        <w:tc>
          <w:tcPr>
            <w:tcW w:w="950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rPr>
            </w:pPr>
            <w:hyperlink r:id="rId435">
              <w:r>
                <w:rPr>
                  <w:rFonts w:ascii="Times New Roman" w:cs="Times New Roman" w:eastAsia="Times New Roman" w:hAnsi="Times New Roman"/>
                  <w:sz w:val="16"/>
                  <w:szCs w:val="16"/>
                  <w:color w:val="0000FF"/>
                </w:rPr>
                <w:t>Retention Agreement by and between the Registrant and Donald Bergstrom, dated May 10, 2021 (incorporated by reference to Exhibit 10.2 of the</w:t>
              </w:r>
            </w:hyperlink>
          </w:p>
        </w:tc>
        <w:tc>
          <w:tcPr>
            <w:tcW w:w="280" w:type="dxa"/>
            <w:vAlign w:val="bottom"/>
            <w:gridSpan w:val="11"/>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720" w:type="dxa"/>
            <w:vAlign w:val="bottom"/>
            <w:tcBorders>
              <w:bottom w:val="single" w:sz="8" w:color="0000FF"/>
            </w:tcBorders>
            <w:gridSpan w:val="15"/>
          </w:tcPr>
          <w:p>
            <w:pPr>
              <w:spacing w:after="0" w:line="183" w:lineRule="exact"/>
              <w:rPr>
                <w:rFonts w:ascii="Times New Roman" w:cs="Times New Roman" w:eastAsia="Times New Roman" w:hAnsi="Times New Roman"/>
                <w:sz w:val="16"/>
                <w:szCs w:val="16"/>
                <w:color w:val="0000FF"/>
              </w:rPr>
            </w:pPr>
            <w:hyperlink r:id="rId435">
              <w:r>
                <w:rPr>
                  <w:rFonts w:ascii="Times New Roman" w:cs="Times New Roman" w:eastAsia="Times New Roman" w:hAnsi="Times New Roman"/>
                  <w:sz w:val="16"/>
                  <w:szCs w:val="16"/>
                  <w:color w:val="0000FF"/>
                </w:rPr>
                <w:t>Registrant’s Form 10-Q (File No. 001-39385) filed on August 12, 2021).</w:t>
              </w:r>
            </w:hyperlink>
          </w:p>
        </w:tc>
        <w:tc>
          <w:tcPr>
            <w:tcW w:w="20" w:type="dxa"/>
            <w:vAlign w:val="bottom"/>
            <w:tcBorders>
              <w:bottom w:val="single" w:sz="8" w:color="0000EE"/>
            </w:tcBorders>
          </w:tcPr>
          <w:p>
            <w:pPr>
              <w:spacing w:after="0"/>
              <w:rPr>
                <w:sz w:val="15"/>
                <w:szCs w:val="15"/>
                <w:color w:val="auto"/>
              </w:rPr>
            </w:pPr>
          </w:p>
        </w:tc>
        <w:tc>
          <w:tcPr>
            <w:tcW w:w="5040" w:type="dxa"/>
            <w:vAlign w:val="bottom"/>
            <w:gridSpan w:val="22"/>
          </w:tcPr>
          <w:p>
            <w:pPr>
              <w:spacing w:after="0"/>
              <w:rPr>
                <w:sz w:val="15"/>
                <w:szCs w:val="15"/>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340" w:type="dxa"/>
            <w:vAlign w:val="bottom"/>
          </w:tcPr>
          <w:p>
            <w:pPr>
              <w:spacing w:after="0"/>
              <w:rPr>
                <w:sz w:val="24"/>
                <w:szCs w:val="24"/>
                <w:color w:val="auto"/>
              </w:rPr>
            </w:pPr>
          </w:p>
        </w:tc>
        <w:tc>
          <w:tcPr>
            <w:tcW w:w="926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436">
              <w:r>
                <w:rPr>
                  <w:rFonts w:ascii="Times New Roman" w:cs="Times New Roman" w:eastAsia="Times New Roman" w:hAnsi="Times New Roman"/>
                  <w:sz w:val="16"/>
                  <w:szCs w:val="16"/>
                  <w:color w:val="0000FF"/>
                </w:rPr>
                <w:t>Retention Agreement by and between the Registrant and Peter Rahmer, dated August 3, 2023 (incorporated by reference to Exhibit 10.3 to the</w:t>
              </w:r>
            </w:hyperlink>
          </w:p>
        </w:tc>
        <w:tc>
          <w:tcPr>
            <w:tcW w:w="520" w:type="dxa"/>
            <w:vAlign w:val="bottom"/>
            <w:gridSpan w:val="16"/>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780" w:type="dxa"/>
            <w:vAlign w:val="bottom"/>
            <w:gridSpan w:val="38"/>
          </w:tcPr>
          <w:p>
            <w:pPr>
              <w:spacing w:after="0" w:line="183" w:lineRule="exact"/>
              <w:rPr>
                <w:rFonts w:ascii="Times New Roman" w:cs="Times New Roman" w:eastAsia="Times New Roman" w:hAnsi="Times New Roman"/>
                <w:sz w:val="16"/>
                <w:szCs w:val="16"/>
                <w:color w:val="0000FF"/>
              </w:rPr>
            </w:pPr>
            <w:hyperlink r:id="rId436">
              <w:r>
                <w:rPr>
                  <w:rFonts w:ascii="Times New Roman" w:cs="Times New Roman" w:eastAsia="Times New Roman" w:hAnsi="Times New Roman"/>
                  <w:sz w:val="16"/>
                  <w:szCs w:val="16"/>
                  <w:color w:val="0000FF"/>
                </w:rPr>
                <w:t>Registrant's Form 10-Q (File No. 001-39385) filed on August 8, 2023).</w:t>
              </w:r>
            </w:hyperlink>
          </w:p>
        </w:tc>
      </w:tr>
      <w:tr>
        <w:trPr>
          <w:trHeight w:val="20"/>
        </w:trPr>
        <w:tc>
          <w:tcPr>
            <w:tcW w:w="11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3060" w:type="dxa"/>
            <w:vAlign w:val="bottom"/>
            <w:gridSpan w:val="7"/>
            <w:shd w:val="clear" w:color="auto" w:fill="0000FF"/>
          </w:tcPr>
          <w:p>
            <w:pPr>
              <w:spacing w:after="0" w:line="20" w:lineRule="exact"/>
              <w:rPr>
                <w:sz w:val="1"/>
                <w:szCs w:val="1"/>
                <w:color w:val="auto"/>
              </w:rPr>
            </w:pPr>
          </w:p>
        </w:tc>
        <w:tc>
          <w:tcPr>
            <w:tcW w:w="1560" w:type="dxa"/>
            <w:vAlign w:val="bottom"/>
            <w:tcBorders>
              <w:right w:val="single" w:sz="8" w:color="0000EE"/>
            </w:tcBorders>
            <w:gridSpan w:val="6"/>
            <w:shd w:val="clear" w:color="auto" w:fill="0000FF"/>
          </w:tcPr>
          <w:p>
            <w:pPr>
              <w:spacing w:after="0" w:line="20" w:lineRule="exact"/>
              <w:rPr>
                <w:sz w:val="1"/>
                <w:szCs w:val="1"/>
                <w:color w:val="auto"/>
              </w:rPr>
            </w:pPr>
          </w:p>
        </w:tc>
        <w:tc>
          <w:tcPr>
            <w:tcW w:w="4680" w:type="dxa"/>
            <w:vAlign w:val="bottom"/>
            <w:gridSpan w:val="1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340" w:type="dxa"/>
            <w:vAlign w:val="bottom"/>
          </w:tcPr>
          <w:p>
            <w:pPr>
              <w:spacing w:after="0"/>
              <w:rPr>
                <w:sz w:val="24"/>
                <w:szCs w:val="24"/>
                <w:color w:val="auto"/>
              </w:rPr>
            </w:pPr>
          </w:p>
        </w:tc>
        <w:tc>
          <w:tcPr>
            <w:tcW w:w="9540" w:type="dxa"/>
            <w:vAlign w:val="bottom"/>
            <w:tcBorders>
              <w:bottom w:val="single" w:sz="8" w:color="0000FF"/>
            </w:tcBorders>
            <w:gridSpan w:val="28"/>
          </w:tcPr>
          <w:p>
            <w:pPr>
              <w:spacing w:after="0"/>
              <w:rPr>
                <w:rFonts w:ascii="Times New Roman" w:cs="Times New Roman" w:eastAsia="Times New Roman" w:hAnsi="Times New Roman"/>
                <w:sz w:val="16"/>
                <w:szCs w:val="16"/>
                <w:color w:val="0000FF"/>
              </w:rPr>
            </w:pPr>
            <w:hyperlink r:id="rId437">
              <w:r>
                <w:rPr>
                  <w:rFonts w:ascii="Times New Roman" w:cs="Times New Roman" w:eastAsia="Times New Roman" w:hAnsi="Times New Roman"/>
                  <w:sz w:val="16"/>
                  <w:szCs w:val="16"/>
                  <w:color w:val="0000FF"/>
                </w:rPr>
                <w:t>Amended and Restated Collaboration and License Agreement, by and between the Registrant and D. E. Shaw Research, LLC, dated June 15, 2020</w:t>
              </w:r>
            </w:hyperlink>
          </w:p>
        </w:tc>
        <w:tc>
          <w:tcPr>
            <w:tcW w:w="240" w:type="dxa"/>
            <w:vAlign w:val="bottom"/>
            <w:gridSpan w:val="10"/>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500" w:type="dxa"/>
            <w:vAlign w:val="bottom"/>
            <w:tcBorders>
              <w:bottom w:val="single" w:sz="8" w:color="0000FF"/>
            </w:tcBorders>
            <w:gridSpan w:val="27"/>
          </w:tcPr>
          <w:p>
            <w:pPr>
              <w:spacing w:after="0" w:line="183" w:lineRule="exact"/>
              <w:rPr>
                <w:rFonts w:ascii="Times New Roman" w:cs="Times New Roman" w:eastAsia="Times New Roman" w:hAnsi="Times New Roman"/>
                <w:sz w:val="16"/>
                <w:szCs w:val="16"/>
                <w:color w:val="0000FF"/>
              </w:rPr>
            </w:pPr>
            <w:hyperlink r:id="rId437">
              <w:r>
                <w:rPr>
                  <w:rFonts w:ascii="Times New Roman" w:cs="Times New Roman" w:eastAsia="Times New Roman" w:hAnsi="Times New Roman"/>
                  <w:sz w:val="16"/>
                  <w:szCs w:val="16"/>
                  <w:color w:val="0000FF"/>
                </w:rPr>
                <w:t>(incorporated by reference to Exhibit 10.10 of the Registrant’s Registration Statement on Form S-1 (File No. 333-239412) filed on June 24, 2020).</w:t>
              </w:r>
            </w:hyperlink>
          </w:p>
        </w:tc>
        <w:tc>
          <w:tcPr>
            <w:tcW w:w="280" w:type="dxa"/>
            <w:vAlign w:val="bottom"/>
            <w:gridSpan w:val="11"/>
          </w:tcPr>
          <w:p>
            <w:pPr>
              <w:spacing w:after="0"/>
              <w:rPr>
                <w:sz w:val="15"/>
                <w:szCs w:val="15"/>
                <w:color w:val="auto"/>
              </w:rPr>
            </w:pPr>
          </w:p>
        </w:tc>
      </w:tr>
      <w:tr>
        <w:trPr>
          <w:trHeight w:val="385"/>
        </w:trPr>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340" w:type="dxa"/>
            <w:vAlign w:val="bottom"/>
          </w:tcPr>
          <w:p>
            <w:pPr>
              <w:spacing w:after="0"/>
              <w:rPr>
                <w:sz w:val="24"/>
                <w:szCs w:val="24"/>
                <w:color w:val="auto"/>
              </w:rPr>
            </w:pPr>
          </w:p>
        </w:tc>
        <w:tc>
          <w:tcPr>
            <w:tcW w:w="944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rPr>
            </w:pPr>
            <w:hyperlink r:id="rId438">
              <w:r>
                <w:rPr>
                  <w:rFonts w:ascii="Times New Roman" w:cs="Times New Roman" w:eastAsia="Times New Roman" w:hAnsi="Times New Roman"/>
                  <w:sz w:val="16"/>
                  <w:szCs w:val="16"/>
                  <w:color w:val="0000FF"/>
                </w:rPr>
                <w:t>Amendment No. AR1 to Amended and Restated Collaboration and License Agreement, by and between the Registrant and D. E. Shaw Research,</w:t>
              </w:r>
            </w:hyperlink>
          </w:p>
        </w:tc>
        <w:tc>
          <w:tcPr>
            <w:tcW w:w="340" w:type="dxa"/>
            <w:vAlign w:val="bottom"/>
            <w:gridSpan w:val="13"/>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780" w:type="dxa"/>
            <w:vAlign w:val="bottom"/>
            <w:gridSpan w:val="38"/>
          </w:tcPr>
          <w:p>
            <w:pPr>
              <w:spacing w:after="0" w:line="183" w:lineRule="exact"/>
              <w:rPr>
                <w:rFonts w:ascii="Times New Roman" w:cs="Times New Roman" w:eastAsia="Times New Roman" w:hAnsi="Times New Roman"/>
                <w:sz w:val="16"/>
                <w:szCs w:val="16"/>
                <w:color w:val="0000FF"/>
              </w:rPr>
            </w:pPr>
            <w:hyperlink r:id="rId438">
              <w:r>
                <w:rPr>
                  <w:rFonts w:ascii="Times New Roman" w:cs="Times New Roman" w:eastAsia="Times New Roman" w:hAnsi="Times New Roman"/>
                  <w:sz w:val="16"/>
                  <w:szCs w:val="16"/>
                  <w:color w:val="0000FF"/>
                </w:rPr>
                <w:t>LLC, dated February 4, 2021 (incorporated by reference to Exhibit 10.10 to the Registrant’s Registration Statement on Form S-1 (File No. 333-</w:t>
              </w:r>
            </w:hyperlink>
          </w:p>
        </w:tc>
      </w:tr>
      <w:tr>
        <w:trPr>
          <w:trHeight w:val="183"/>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00" w:type="dxa"/>
            <w:vAlign w:val="bottom"/>
            <w:tcBorders>
              <w:top w:val="single" w:sz="8" w:color="0000FF"/>
            </w:tcBorders>
            <w:gridSpan w:val="23"/>
          </w:tcPr>
          <w:p>
            <w:pPr>
              <w:spacing w:after="0" w:line="183" w:lineRule="exact"/>
              <w:rPr>
                <w:rFonts w:ascii="Times New Roman" w:cs="Times New Roman" w:eastAsia="Times New Roman" w:hAnsi="Times New Roman"/>
                <w:sz w:val="16"/>
                <w:szCs w:val="16"/>
                <w:color w:val="0000FF"/>
              </w:rPr>
            </w:pPr>
            <w:hyperlink r:id="rId438">
              <w:r>
                <w:rPr>
                  <w:rFonts w:ascii="Times New Roman" w:cs="Times New Roman" w:eastAsia="Times New Roman" w:hAnsi="Times New Roman"/>
                  <w:sz w:val="16"/>
                  <w:szCs w:val="16"/>
                  <w:color w:val="0000FF"/>
                </w:rPr>
                <w:t>255583) filed with the SEC on April 28, 2021).</w:t>
              </w:r>
            </w:hyperlink>
          </w:p>
        </w:tc>
        <w:tc>
          <w:tcPr>
            <w:tcW w:w="480" w:type="dxa"/>
            <w:vAlign w:val="bottom"/>
            <w:gridSpan w:val="15"/>
          </w:tcPr>
          <w:p>
            <w:pPr>
              <w:spacing w:after="0"/>
              <w:rPr>
                <w:sz w:val="15"/>
                <w:szCs w:val="15"/>
                <w:color w:val="auto"/>
              </w:rPr>
            </w:pPr>
          </w:p>
        </w:tc>
      </w:tr>
      <w:tr>
        <w:trPr>
          <w:trHeight w:val="655"/>
        </w:trPr>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tcBorders>
              <w:top w:val="single" w:sz="8" w:color="0000FF"/>
            </w:tcBorders>
            <w:gridSpan w:val="7"/>
          </w:tcPr>
          <w:p>
            <w:pPr>
              <w:spacing w:after="0"/>
              <w:rPr>
                <w:sz w:val="24"/>
                <w:szCs w:val="24"/>
                <w:color w:val="auto"/>
              </w:rPr>
            </w:pPr>
          </w:p>
        </w:tc>
        <w:tc>
          <w:tcPr>
            <w:tcW w:w="1560" w:type="dxa"/>
            <w:vAlign w:val="bottom"/>
            <w:gridSpan w:val="6"/>
          </w:tcPr>
          <w:p>
            <w:pPr>
              <w:jc w:val="right"/>
              <w:ind w:right="239"/>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127" w:name="page128"/>
    <w:bookmarkEnd w:id="127"/>
    <w:tbl>
      <w:tblPr>
        <w:tblLayout w:type="fixed"/>
        <w:tblInd w:w="20" w:type="dxa"/>
        <w:tblCellMar>
          <w:top w:w="0" w:type="dxa"/>
          <w:left w:w="0" w:type="dxa"/>
          <w:bottom w:w="0" w:type="dxa"/>
          <w:right w:w="0" w:type="dxa"/>
        </w:tblCellMar>
      </w:tblPr>
      <w:tr>
        <w:trPr>
          <w:trHeight w:val="184"/>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9760" w:type="dxa"/>
            <w:vAlign w:val="bottom"/>
            <w:gridSpan w:val="17"/>
          </w:tcPr>
          <w:p>
            <w:pPr>
              <w:spacing w:after="0"/>
              <w:rPr>
                <w:rFonts w:ascii="Times New Roman" w:cs="Times New Roman" w:eastAsia="Times New Roman" w:hAnsi="Times New Roman"/>
                <w:sz w:val="16"/>
                <w:szCs w:val="16"/>
                <w:color w:val="0000FF"/>
              </w:rPr>
            </w:pPr>
            <w:hyperlink r:id="rId441">
              <w:r>
                <w:rPr>
                  <w:rFonts w:ascii="Times New Roman" w:cs="Times New Roman" w:eastAsia="Times New Roman" w:hAnsi="Times New Roman"/>
                  <w:sz w:val="16"/>
                  <w:szCs w:val="16"/>
                  <w:color w:val="0000FF"/>
                </w:rPr>
                <w:t>Amendment No. AR2 to Amended and Restated Collaboration and License Agreement, by and between the Registrant and D. E. Shaw Research,</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9760" w:type="dxa"/>
            <w:vAlign w:val="bottom"/>
            <w:gridSpan w:val="17"/>
          </w:tcPr>
          <w:p>
            <w:pPr>
              <w:spacing w:after="0" w:line="183" w:lineRule="exact"/>
              <w:rPr>
                <w:rFonts w:ascii="Times New Roman" w:cs="Times New Roman" w:eastAsia="Times New Roman" w:hAnsi="Times New Roman"/>
                <w:sz w:val="16"/>
                <w:szCs w:val="16"/>
                <w:color w:val="0000FF"/>
              </w:rPr>
            </w:pPr>
            <w:hyperlink r:id="rId441">
              <w:r>
                <w:rPr>
                  <w:rFonts w:ascii="Times New Roman" w:cs="Times New Roman" w:eastAsia="Times New Roman" w:hAnsi="Times New Roman"/>
                  <w:sz w:val="16"/>
                  <w:szCs w:val="16"/>
                  <w:color w:val="0000FF"/>
                </w:rPr>
                <w:t>LLC, dated May 12, 2021 (incorporated by reference to Exhibit 10.4 to the Registrant’s Form 10-Q (File No. 001-39385) filed on May 13, 2021).</w:t>
              </w:r>
            </w:hyperlink>
          </w:p>
        </w:tc>
        <w:tc>
          <w:tcPr>
            <w:tcW w:w="0" w:type="dxa"/>
            <w:vAlign w:val="bottom"/>
          </w:tcPr>
          <w:p>
            <w:pPr>
              <w:spacing w:after="0"/>
              <w:rPr>
                <w:sz w:val="1"/>
                <w:szCs w:val="1"/>
                <w:color w:val="auto"/>
              </w:rPr>
            </w:pPr>
          </w:p>
        </w:tc>
      </w:tr>
      <w:tr>
        <w:trPr>
          <w:trHeight w:val="20"/>
        </w:trPr>
        <w:tc>
          <w:tcPr>
            <w:tcW w:w="1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10.14†</w:t>
            </w: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40" w:type="dxa"/>
            <w:vAlign w:val="bottom"/>
            <w:vMerge w:val="continue"/>
          </w:tcPr>
          <w:p>
            <w:pPr>
              <w:spacing w:after="0"/>
              <w:rPr>
                <w:sz w:val="24"/>
                <w:szCs w:val="24"/>
                <w:color w:val="auto"/>
              </w:rPr>
            </w:pPr>
          </w:p>
        </w:tc>
        <w:tc>
          <w:tcPr>
            <w:tcW w:w="9760" w:type="dxa"/>
            <w:vAlign w:val="bottom"/>
            <w:gridSpan w:val="17"/>
          </w:tcPr>
          <w:p>
            <w:pPr>
              <w:spacing w:after="0"/>
              <w:rPr>
                <w:rFonts w:ascii="Times New Roman" w:cs="Times New Roman" w:eastAsia="Times New Roman" w:hAnsi="Times New Roman"/>
                <w:sz w:val="16"/>
                <w:szCs w:val="16"/>
                <w:color w:val="0000FF"/>
              </w:rPr>
            </w:pPr>
            <w:hyperlink r:id="rId442">
              <w:r>
                <w:rPr>
                  <w:rFonts w:ascii="Times New Roman" w:cs="Times New Roman" w:eastAsia="Times New Roman" w:hAnsi="Times New Roman"/>
                  <w:sz w:val="16"/>
                  <w:szCs w:val="16"/>
                  <w:color w:val="0000FF"/>
                </w:rPr>
                <w:t>Amendment No. AR3 to Amended and Restated Collaboration and License Agreement, by and between the Registrant and D.E. Shaw Research, LLC,</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9760" w:type="dxa"/>
            <w:vAlign w:val="bottom"/>
            <w:gridSpan w:val="17"/>
          </w:tcPr>
          <w:p>
            <w:pPr>
              <w:spacing w:after="0" w:line="183" w:lineRule="exact"/>
              <w:rPr>
                <w:rFonts w:ascii="Times New Roman" w:cs="Times New Roman" w:eastAsia="Times New Roman" w:hAnsi="Times New Roman"/>
                <w:sz w:val="16"/>
                <w:szCs w:val="16"/>
                <w:color w:val="0000FF"/>
              </w:rPr>
            </w:pPr>
            <w:hyperlink r:id="rId442">
              <w:r>
                <w:rPr>
                  <w:rFonts w:ascii="Times New Roman" w:cs="Times New Roman" w:eastAsia="Times New Roman" w:hAnsi="Times New Roman"/>
                  <w:sz w:val="16"/>
                  <w:szCs w:val="16"/>
                  <w:color w:val="0000FF"/>
                </w:rPr>
                <w:t>dated January 27, 2022 (incorporated by reference to Exhibit 10.1 to the Registrant’s Form 10-Q (File No. 001-39385) filed on May 5, 2022).</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9760" w:type="dxa"/>
            <w:vAlign w:val="bottom"/>
            <w:gridSpan w:val="17"/>
          </w:tcPr>
          <w:p>
            <w:pPr>
              <w:spacing w:after="0"/>
              <w:rPr>
                <w:rFonts w:ascii="Times New Roman" w:cs="Times New Roman" w:eastAsia="Times New Roman" w:hAnsi="Times New Roman"/>
                <w:sz w:val="16"/>
                <w:szCs w:val="16"/>
                <w:color w:val="0000FF"/>
              </w:rPr>
            </w:pPr>
            <w:hyperlink r:id="rId443">
              <w:r>
                <w:rPr>
                  <w:rFonts w:ascii="Times New Roman" w:cs="Times New Roman" w:eastAsia="Times New Roman" w:hAnsi="Times New Roman"/>
                  <w:sz w:val="16"/>
                  <w:szCs w:val="16"/>
                  <w:color w:val="0000FF"/>
                </w:rPr>
                <w:t>Amendment No. AR4 to Amended and Restated Collaboration and License Agreement, by and between the Registrant and D.E. Shaw Research, LLC,</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9760" w:type="dxa"/>
            <w:vAlign w:val="bottom"/>
            <w:gridSpan w:val="17"/>
          </w:tcPr>
          <w:p>
            <w:pPr>
              <w:spacing w:after="0" w:line="183" w:lineRule="exact"/>
              <w:rPr>
                <w:rFonts w:ascii="Times New Roman" w:cs="Times New Roman" w:eastAsia="Times New Roman" w:hAnsi="Times New Roman"/>
                <w:sz w:val="16"/>
                <w:szCs w:val="16"/>
                <w:color w:val="0000FF"/>
              </w:rPr>
            </w:pPr>
            <w:hyperlink r:id="rId443">
              <w:r>
                <w:rPr>
                  <w:rFonts w:ascii="Times New Roman" w:cs="Times New Roman" w:eastAsia="Times New Roman" w:hAnsi="Times New Roman"/>
                  <w:sz w:val="16"/>
                  <w:szCs w:val="16"/>
                  <w:color w:val="0000FF"/>
                </w:rPr>
                <w:t>dated March 22, 2023 (incorporated by reference to Exhibit 10.1 to the Registrant's Form 10-Q (File No. 001-39385) filed on August 8, 2023).</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9760" w:type="dxa"/>
            <w:vAlign w:val="bottom"/>
            <w:gridSpan w:val="17"/>
          </w:tcPr>
          <w:p>
            <w:pPr>
              <w:spacing w:after="0"/>
              <w:rPr>
                <w:rFonts w:ascii="Times New Roman" w:cs="Times New Roman" w:eastAsia="Times New Roman" w:hAnsi="Times New Roman"/>
                <w:sz w:val="16"/>
                <w:szCs w:val="16"/>
                <w:color w:val="0000FF"/>
              </w:rPr>
            </w:pPr>
            <w:hyperlink r:id="rId444">
              <w:r>
                <w:rPr>
                  <w:rFonts w:ascii="Times New Roman" w:cs="Times New Roman" w:eastAsia="Times New Roman" w:hAnsi="Times New Roman"/>
                  <w:sz w:val="16"/>
                  <w:szCs w:val="16"/>
                  <w:color w:val="0000FF"/>
                </w:rPr>
                <w:t>Amendment No. AR5 to Amended and Restated Collaboration and License Agreement, by and between the Registrant and D.E. Shaw Research, LLC,</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9760" w:type="dxa"/>
            <w:vAlign w:val="bottom"/>
            <w:gridSpan w:val="17"/>
          </w:tcPr>
          <w:p>
            <w:pPr>
              <w:spacing w:after="0" w:line="183" w:lineRule="exact"/>
              <w:rPr>
                <w:rFonts w:ascii="Times New Roman" w:cs="Times New Roman" w:eastAsia="Times New Roman" w:hAnsi="Times New Roman"/>
                <w:sz w:val="16"/>
                <w:szCs w:val="16"/>
                <w:color w:val="0000FF"/>
              </w:rPr>
            </w:pPr>
            <w:hyperlink r:id="rId444">
              <w:r>
                <w:rPr>
                  <w:rFonts w:ascii="Times New Roman" w:cs="Times New Roman" w:eastAsia="Times New Roman" w:hAnsi="Times New Roman"/>
                  <w:sz w:val="16"/>
                  <w:szCs w:val="16"/>
                  <w:color w:val="0000FF"/>
                </w:rPr>
                <w:t>dated August 4, 2023 (incorporated by reference to Exhibit 10.1 to the Registrant's Form 10-Q (File No. 001-39385) filed on November 2, 2023).</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9760" w:type="dxa"/>
            <w:vAlign w:val="bottom"/>
            <w:gridSpan w:val="17"/>
          </w:tcPr>
          <w:p>
            <w:pPr>
              <w:spacing w:after="0"/>
              <w:rPr>
                <w:rFonts w:ascii="Times New Roman" w:cs="Times New Roman" w:eastAsia="Times New Roman" w:hAnsi="Times New Roman"/>
                <w:sz w:val="16"/>
                <w:szCs w:val="16"/>
                <w:color w:val="0000FF"/>
              </w:rPr>
            </w:pPr>
            <w:hyperlink r:id="rId445">
              <w:r>
                <w:rPr>
                  <w:rFonts w:ascii="Times New Roman" w:cs="Times New Roman" w:eastAsia="Times New Roman" w:hAnsi="Times New Roman"/>
                  <w:sz w:val="16"/>
                  <w:szCs w:val="16"/>
                  <w:color w:val="0000FF"/>
                </w:rPr>
                <w:t>Registration Rights Agreement by and between the Registrant and the stockholders of ZebiAI Therapeutics, Inc. dated April 22, 2021 (incorporated</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9760" w:type="dxa"/>
            <w:vAlign w:val="bottom"/>
            <w:gridSpan w:val="17"/>
          </w:tcPr>
          <w:p>
            <w:pPr>
              <w:spacing w:after="0" w:line="183" w:lineRule="exact"/>
              <w:rPr>
                <w:rFonts w:ascii="Times New Roman" w:cs="Times New Roman" w:eastAsia="Times New Roman" w:hAnsi="Times New Roman"/>
                <w:sz w:val="16"/>
                <w:szCs w:val="16"/>
                <w:color w:val="0000FF"/>
              </w:rPr>
            </w:pPr>
            <w:hyperlink r:id="rId445">
              <w:r>
                <w:rPr>
                  <w:rFonts w:ascii="Times New Roman" w:cs="Times New Roman" w:eastAsia="Times New Roman" w:hAnsi="Times New Roman"/>
                  <w:sz w:val="16"/>
                  <w:szCs w:val="16"/>
                  <w:color w:val="0000FF"/>
                </w:rPr>
                <w:t>by reference to Exhibit 10.14 to the Registrant’s Registration Statement on Form S-1 (File No. 333-255583) filed on April 28, 2021).</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9760" w:type="dxa"/>
            <w:vAlign w:val="bottom"/>
            <w:gridSpan w:val="17"/>
          </w:tcPr>
          <w:p>
            <w:pPr>
              <w:spacing w:after="0"/>
              <w:rPr>
                <w:rFonts w:ascii="Times New Roman" w:cs="Times New Roman" w:eastAsia="Times New Roman" w:hAnsi="Times New Roman"/>
                <w:sz w:val="16"/>
                <w:szCs w:val="16"/>
                <w:color w:val="0000FF"/>
              </w:rPr>
            </w:pPr>
            <w:hyperlink r:id="rId446">
              <w:r>
                <w:rPr>
                  <w:rFonts w:ascii="Times New Roman" w:cs="Times New Roman" w:eastAsia="Times New Roman" w:hAnsi="Times New Roman"/>
                  <w:sz w:val="16"/>
                  <w:szCs w:val="16"/>
                  <w:color w:val="0000FF"/>
                </w:rPr>
                <w:t>Lease Agreement between the Registrant and ARE-MA REGION NO. 58, LLC, dated as of January 10, 2018 (incorporated by reference to Exhibit</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9760" w:type="dxa"/>
            <w:vAlign w:val="bottom"/>
            <w:gridSpan w:val="17"/>
          </w:tcPr>
          <w:p>
            <w:pPr>
              <w:spacing w:after="0" w:line="183" w:lineRule="exact"/>
              <w:rPr>
                <w:rFonts w:ascii="Times New Roman" w:cs="Times New Roman" w:eastAsia="Times New Roman" w:hAnsi="Times New Roman"/>
                <w:sz w:val="16"/>
                <w:szCs w:val="16"/>
                <w:color w:val="0000FF"/>
              </w:rPr>
            </w:pPr>
            <w:hyperlink r:id="rId446">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7</w:t>
              </w:r>
              <w:r>
                <w:rPr>
                  <w:rFonts w:ascii="Times New Roman" w:cs="Times New Roman" w:eastAsia="Times New Roman" w:hAnsi="Times New Roman"/>
                  <w:sz w:val="16"/>
                  <w:szCs w:val="16"/>
                  <w:color w:val="0000FF"/>
                </w:rPr>
                <w:t xml:space="preserve"> of the Registrant’s Registration Statement on Form S-1 (File No. 333-239412) filed on June 24, 2020).</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9760" w:type="dxa"/>
            <w:vAlign w:val="bottom"/>
            <w:gridSpan w:val="17"/>
          </w:tcPr>
          <w:p>
            <w:pPr>
              <w:spacing w:after="0"/>
              <w:rPr>
                <w:rFonts w:ascii="Times New Roman" w:cs="Times New Roman" w:eastAsia="Times New Roman" w:hAnsi="Times New Roman"/>
                <w:sz w:val="16"/>
                <w:szCs w:val="16"/>
                <w:color w:val="0000FF"/>
              </w:rPr>
            </w:pPr>
            <w:hyperlink r:id="rId447">
              <w:r>
                <w:rPr>
                  <w:rFonts w:ascii="Times New Roman" w:cs="Times New Roman" w:eastAsia="Times New Roman" w:hAnsi="Times New Roman"/>
                  <w:sz w:val="16"/>
                  <w:szCs w:val="16"/>
                  <w:color w:val="0000FF"/>
                </w:rPr>
                <w:t>Second Amendment to Lease, dated as of September 23, 2020, between the Registrant and ARE-MA REGION NO. 58, LLC (incorporated by</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9760" w:type="dxa"/>
            <w:vAlign w:val="bottom"/>
            <w:gridSpan w:val="17"/>
          </w:tcPr>
          <w:p>
            <w:pPr>
              <w:spacing w:after="0" w:line="183" w:lineRule="exact"/>
              <w:rPr>
                <w:rFonts w:ascii="Times New Roman" w:cs="Times New Roman" w:eastAsia="Times New Roman" w:hAnsi="Times New Roman"/>
                <w:sz w:val="16"/>
                <w:szCs w:val="16"/>
                <w:color w:val="0000FF"/>
              </w:rPr>
            </w:pPr>
            <w:hyperlink r:id="rId447">
              <w:r>
                <w:rPr>
                  <w:rFonts w:ascii="Times New Roman" w:cs="Times New Roman" w:eastAsia="Times New Roman" w:hAnsi="Times New Roman"/>
                  <w:sz w:val="16"/>
                  <w:szCs w:val="16"/>
                  <w:color w:val="0000FF"/>
                </w:rPr>
                <w:t>reference to Exhibit 10.7 of the Registrant’s Form 10-Q (File No. 001-39385) filed on November 12, 2020).</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9760" w:type="dxa"/>
            <w:vAlign w:val="bottom"/>
            <w:gridSpan w:val="17"/>
          </w:tcPr>
          <w:p>
            <w:pPr>
              <w:spacing w:after="0"/>
              <w:rPr>
                <w:rFonts w:ascii="Times New Roman" w:cs="Times New Roman" w:eastAsia="Times New Roman" w:hAnsi="Times New Roman"/>
                <w:sz w:val="16"/>
                <w:szCs w:val="16"/>
                <w:color w:val="0000FF"/>
              </w:rPr>
            </w:pPr>
            <w:hyperlink r:id="rId448">
              <w:r>
                <w:rPr>
                  <w:rFonts w:ascii="Times New Roman" w:cs="Times New Roman" w:eastAsia="Times New Roman" w:hAnsi="Times New Roman"/>
                  <w:sz w:val="16"/>
                  <w:szCs w:val="16"/>
                  <w:color w:val="0000FF"/>
                </w:rPr>
                <w:t>Lease by and between the Registrant and BMR-Hampshire, LLC, dated May 26, 2021 (incorporated by reference to Exhibit 10.5 of the Registrant’s</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40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9760" w:type="dxa"/>
            <w:vAlign w:val="bottom"/>
            <w:gridSpan w:val="17"/>
          </w:tcPr>
          <w:p>
            <w:pPr>
              <w:spacing w:after="0" w:line="183" w:lineRule="exact"/>
              <w:rPr>
                <w:rFonts w:ascii="Times New Roman" w:cs="Times New Roman" w:eastAsia="Times New Roman" w:hAnsi="Times New Roman"/>
                <w:sz w:val="16"/>
                <w:szCs w:val="16"/>
                <w:color w:val="0000FF"/>
              </w:rPr>
            </w:pPr>
            <w:hyperlink r:id="rId448">
              <w:r>
                <w:rPr>
                  <w:rFonts w:ascii="Times New Roman" w:cs="Times New Roman" w:eastAsia="Times New Roman" w:hAnsi="Times New Roman"/>
                  <w:sz w:val="16"/>
                  <w:szCs w:val="16"/>
                  <w:color w:val="0000FF"/>
                </w:rPr>
                <w:t>Form 10-Q (File No. 001-39385) filed on August 12, 2021).</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97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Registrant's Insider Trading Policy.</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9760" w:type="dxa"/>
            <w:vAlign w:val="bottom"/>
            <w:gridSpan w:val="17"/>
          </w:tcPr>
          <w:p>
            <w:pPr>
              <w:spacing w:after="0"/>
              <w:rPr>
                <w:rFonts w:ascii="Times New Roman" w:cs="Times New Roman" w:eastAsia="Times New Roman" w:hAnsi="Times New Roman"/>
                <w:sz w:val="16"/>
                <w:szCs w:val="16"/>
                <w:color w:val="0000FF"/>
              </w:rPr>
            </w:pPr>
            <w:hyperlink r:id="rId449">
              <w:r>
                <w:rPr>
                  <w:rFonts w:ascii="Times New Roman" w:cs="Times New Roman" w:eastAsia="Times New Roman" w:hAnsi="Times New Roman"/>
                  <w:sz w:val="16"/>
                  <w:szCs w:val="16"/>
                  <w:color w:val="0000FF"/>
                </w:rPr>
                <w:t>List of Subsidiaries of Registrant (incorporated by reference to Exhibit 21.1 of the Registrant’s Form 10-K (File No. 001-39385) filed on February 24,</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40" w:type="dxa"/>
            <w:vAlign w:val="bottom"/>
          </w:tcPr>
          <w:p>
            <w:pPr>
              <w:spacing w:after="0"/>
              <w:rPr>
                <w:sz w:val="15"/>
                <w:szCs w:val="15"/>
                <w:color w:val="auto"/>
              </w:rPr>
            </w:pPr>
          </w:p>
        </w:tc>
        <w:tc>
          <w:tcPr>
            <w:tcW w:w="440" w:type="dxa"/>
            <w:vAlign w:val="bottom"/>
            <w:gridSpan w:val="2"/>
          </w:tcPr>
          <w:p>
            <w:pPr>
              <w:spacing w:after="0" w:line="183" w:lineRule="exact"/>
              <w:rPr>
                <w:rFonts w:ascii="Times New Roman" w:cs="Times New Roman" w:eastAsia="Times New Roman" w:hAnsi="Times New Roman"/>
                <w:sz w:val="16"/>
                <w:szCs w:val="16"/>
                <w:color w:val="0000FF"/>
                <w:w w:val="96"/>
              </w:rPr>
            </w:pPr>
            <w:hyperlink r:id="rId449">
              <w:r>
                <w:rPr>
                  <w:rFonts w:ascii="Times New Roman" w:cs="Times New Roman" w:eastAsia="Times New Roman" w:hAnsi="Times New Roman"/>
                  <w:sz w:val="16"/>
                  <w:szCs w:val="16"/>
                  <w:color w:val="0000FF"/>
                  <w:w w:val="96"/>
                </w:rPr>
                <w:t>2022).</w:t>
              </w:r>
            </w:hyperlink>
          </w:p>
        </w:tc>
        <w:tc>
          <w:tcPr>
            <w:tcW w:w="1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97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97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Power of Attorney (included on signature page).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7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or 15d-14(a) under the Securities Exchange Act of 1934, as Adopted Pursuant</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940" w:type="dxa"/>
            <w:vAlign w:val="bottom"/>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9760" w:type="dxa"/>
            <w:vAlign w:val="bottom"/>
            <w:gridSpan w:val="17"/>
          </w:tcPr>
          <w:p>
            <w:pPr>
              <w:spacing w:after="0" w:line="183" w:lineRule="exact"/>
              <w:rPr>
                <w:sz w:val="20"/>
                <w:szCs w:val="20"/>
                <w:color w:val="auto"/>
              </w:rPr>
            </w:pPr>
            <w:r>
              <w:rPr>
                <w:rFonts w:ascii="Times New Roman" w:cs="Times New Roman" w:eastAsia="Times New Roman" w:hAnsi="Times New Roman"/>
                <w:sz w:val="16"/>
                <w:szCs w:val="16"/>
                <w:color w:val="0000FF"/>
              </w:rPr>
              <w:t>to Section 302 of the Sarbanes-Oxley Act of 2002.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7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or 15d-14(a) under the Securities Exchange Act of 1934, as Adopted Pursuant</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tcBorders>
              <w:left w:val="single" w:sz="8" w:color="0000FF"/>
            </w:tcBorders>
            <w:gridSpan w:val="3"/>
            <w:shd w:val="clear" w:color="auto" w:fill="0000FF"/>
          </w:tcPr>
          <w:p>
            <w:pPr>
              <w:spacing w:after="0" w:line="20" w:lineRule="exact"/>
              <w:rPr>
                <w:sz w:val="1"/>
                <w:szCs w:val="1"/>
                <w:color w:val="auto"/>
              </w:rPr>
            </w:pPr>
          </w:p>
        </w:tc>
        <w:tc>
          <w:tcPr>
            <w:tcW w:w="5940" w:type="dxa"/>
            <w:vAlign w:val="bottom"/>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9760" w:type="dxa"/>
            <w:vAlign w:val="bottom"/>
            <w:gridSpan w:val="17"/>
          </w:tcPr>
          <w:p>
            <w:pPr>
              <w:spacing w:after="0" w:line="183" w:lineRule="exact"/>
              <w:rPr>
                <w:sz w:val="20"/>
                <w:szCs w:val="20"/>
                <w:color w:val="auto"/>
              </w:rPr>
            </w:pPr>
            <w:r>
              <w:rPr>
                <w:rFonts w:ascii="Times New Roman" w:cs="Times New Roman" w:eastAsia="Times New Roman" w:hAnsi="Times New Roman"/>
                <w:sz w:val="16"/>
                <w:szCs w:val="16"/>
                <w:color w:val="0000FF"/>
              </w:rPr>
              <w:t>to Section 302 of the Sarbanes-Oxley Act of 2002.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97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18 U.S.C. Section 1350, as Adopted Pursuant to Section 906</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tcBorders>
              <w:left w:val="single" w:sz="8" w:color="0000FF"/>
            </w:tcBorders>
            <w:gridSpan w:val="3"/>
            <w:shd w:val="clear" w:color="auto" w:fill="0000FF"/>
          </w:tcPr>
          <w:p>
            <w:pPr>
              <w:spacing w:after="0" w:line="20" w:lineRule="exact"/>
              <w:rPr>
                <w:sz w:val="1"/>
                <w:szCs w:val="1"/>
                <w:color w:val="auto"/>
              </w:rPr>
            </w:pPr>
          </w:p>
        </w:tc>
        <w:tc>
          <w:tcPr>
            <w:tcW w:w="5940" w:type="dxa"/>
            <w:vAlign w:val="bottom"/>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9760" w:type="dxa"/>
            <w:vAlign w:val="bottom"/>
            <w:gridSpan w:val="17"/>
          </w:tcPr>
          <w:p>
            <w:pPr>
              <w:spacing w:after="0" w:line="183"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8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tcBorders>
              <w:left w:val="single" w:sz="8" w:color="0000EE"/>
            </w:tcBorders>
            <w:gridSpan w:val="3"/>
          </w:tcPr>
          <w:p>
            <w:pPr>
              <w:spacing w:after="0" w:line="20" w:lineRule="exact"/>
              <w:rPr>
                <w:sz w:val="1"/>
                <w:szCs w:val="1"/>
                <w:color w:val="auto"/>
              </w:rPr>
            </w:pPr>
          </w:p>
        </w:tc>
        <w:tc>
          <w:tcPr>
            <w:tcW w:w="594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9760" w:type="dxa"/>
            <w:vAlign w:val="bottom"/>
            <w:gridSpan w:val="17"/>
          </w:tcPr>
          <w:p>
            <w:pPr>
              <w:spacing w:after="0"/>
              <w:rPr>
                <w:rFonts w:ascii="Times New Roman" w:cs="Times New Roman" w:eastAsia="Times New Roman" w:hAnsi="Times New Roman"/>
                <w:sz w:val="16"/>
                <w:szCs w:val="16"/>
                <w:color w:val="0000FF"/>
              </w:rPr>
            </w:pPr>
            <w:hyperlink r:id="rId450">
              <w:r>
                <w:rPr>
                  <w:rFonts w:ascii="Times New Roman" w:cs="Times New Roman" w:eastAsia="Times New Roman" w:hAnsi="Times New Roman"/>
                  <w:sz w:val="16"/>
                  <w:szCs w:val="16"/>
                  <w:color w:val="0000FF"/>
                </w:rPr>
                <w:t>Registrant's Compensation Recovery Policy, adopted as of September 29, 2023 (incorporated by reference to Exhibit 97.1 of the Registrant’s Form</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5940" w:type="dxa"/>
            <w:vAlign w:val="bottom"/>
            <w:gridSpan w:val="9"/>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40" w:type="dxa"/>
            <w:vAlign w:val="bottom"/>
          </w:tcPr>
          <w:p>
            <w:pPr>
              <w:spacing w:after="0"/>
              <w:rPr>
                <w:sz w:val="15"/>
                <w:szCs w:val="15"/>
                <w:color w:val="auto"/>
              </w:rPr>
            </w:pPr>
          </w:p>
        </w:tc>
        <w:tc>
          <w:tcPr>
            <w:tcW w:w="9760" w:type="dxa"/>
            <w:vAlign w:val="bottom"/>
            <w:gridSpan w:val="17"/>
          </w:tcPr>
          <w:p>
            <w:pPr>
              <w:spacing w:after="0" w:line="183" w:lineRule="exact"/>
              <w:rPr>
                <w:rFonts w:ascii="Times New Roman" w:cs="Times New Roman" w:eastAsia="Times New Roman" w:hAnsi="Times New Roman"/>
                <w:sz w:val="16"/>
                <w:szCs w:val="16"/>
                <w:color w:val="0000FF"/>
              </w:rPr>
            </w:pPr>
            <w:hyperlink r:id="rId450">
              <w:r>
                <w:rPr>
                  <w:rFonts w:ascii="Times New Roman" w:cs="Times New Roman" w:eastAsia="Times New Roman" w:hAnsi="Times New Roman"/>
                  <w:sz w:val="16"/>
                  <w:szCs w:val="16"/>
                  <w:color w:val="0000FF"/>
                </w:rPr>
                <w:t>10-K (File No. 001-39385) filed on February 22, 2024).</w:t>
              </w:r>
            </w:hyperlink>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61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7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76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460" w:hanging="1439"/>
        <w:spacing w:after="0"/>
        <w:tabs>
          <w:tab w:leader="none" w:pos="146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8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36271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28" w:name="page129"/>
    <w:bookmarkEnd w:id="128"/>
    <w:p>
      <w:pPr>
        <w:jc w:val="both"/>
        <w:ind w:firstLine="8"/>
        <w:spacing w:after="0" w:line="275" w:lineRule="auto"/>
        <w:tabs>
          <w:tab w:leader="none" w:pos="202"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Portions of this exhibit (indicated by asterisks) were omitted in accordance with the rules of Item 601(b)(10) of Regulation S-K.</w:t>
      </w:r>
    </w:p>
    <w:p>
      <w:pPr>
        <w:spacing w:after="0" w:line="5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Indicates a management contract or any compensatory plan, contract or arrangement.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6"/>
          <w:szCs w:val="16"/>
          <w:b w:val="1"/>
          <w:bCs w:val="1"/>
          <w:color w:val="auto"/>
        </w:rPr>
        <w:t>.</w:t>
      </w:r>
    </w:p>
    <w:p>
      <w:pPr>
        <w:spacing w:after="0" w:line="1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Relay Therapeutics, Inc.</w:t>
      </w:r>
    </w:p>
    <w:p>
      <w:pPr>
        <w:sectPr>
          <w:pgSz w:w="11900" w:h="16838" w:orient="portrait"/>
          <w:cols w:equalWidth="0" w:num="1">
            <w:col w:w="11240"/>
          </w:cols>
          <w:pgMar w:left="320" w:top="1096" w:right="3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26, 2025</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2200"/>
        <w:spacing w:after="0"/>
        <w:rPr>
          <w:sz w:val="20"/>
          <w:szCs w:val="20"/>
          <w:color w:val="auto"/>
        </w:rPr>
      </w:pPr>
      <w:r>
        <w:rPr>
          <w:rFonts w:ascii="Times New Roman" w:cs="Times New Roman" w:eastAsia="Times New Roman" w:hAnsi="Times New Roman"/>
          <w:sz w:val="16"/>
          <w:szCs w:val="16"/>
          <w:color w:val="auto"/>
        </w:rPr>
        <w:t>/s/ Sanjiv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20320</wp:posOffset>
            </wp:positionV>
            <wp:extent cx="35318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3">
            <w:col w:w="4520" w:space="720"/>
            <w:col w:w="1920" w:space="720"/>
            <w:col w:w="3360"/>
          </w:cols>
          <w:pgMar w:left="320" w:top="1096" w:right="339" w:bottom="1440" w:gutter="0" w:footer="0" w:header="0"/>
          <w:type w:val="continuous"/>
        </w:sectPr>
      </w:pPr>
    </w:p>
    <w:p>
      <w:pPr>
        <w:ind w:left="7760"/>
        <w:spacing w:after="0"/>
        <w:rPr>
          <w:sz w:val="20"/>
          <w:szCs w:val="20"/>
          <w:color w:val="auto"/>
        </w:rPr>
      </w:pPr>
      <w:r>
        <w:rPr>
          <w:rFonts w:ascii="Times New Roman" w:cs="Times New Roman" w:eastAsia="Times New Roman" w:hAnsi="Times New Roman"/>
          <w:sz w:val="16"/>
          <w:szCs w:val="16"/>
          <w:color w:val="auto"/>
        </w:rPr>
        <w:t>Sanjiv K. Patel, M.D.</w:t>
      </w:r>
    </w:p>
    <w:p>
      <w:pPr>
        <w:spacing w:after="0" w:line="1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 AND SIGNATURES</w:t>
      </w:r>
    </w:p>
    <w:p>
      <w:pPr>
        <w:spacing w:after="0" w:line="23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color w:val="auto"/>
        </w:rPr>
        <w:t>Each person whose individual signature appears below hereby authorizes and appoints Sanjiv K. Patel, M.D. and Brian Adams,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84"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20" w:type="dxa"/>
            <w:vAlign w:val="bottom"/>
          </w:tcPr>
          <w:p>
            <w:pPr>
              <w:spacing w:after="0"/>
              <w:rPr>
                <w:sz w:val="18"/>
                <w:szCs w:val="18"/>
                <w:color w:val="auto"/>
              </w:rPr>
            </w:pP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00" w:type="dxa"/>
            <w:vAlign w:val="bottom"/>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0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Sanjiv K. Patel</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26, 2025</w:t>
            </w:r>
          </w:p>
        </w:tc>
      </w:tr>
      <w:tr>
        <w:trPr>
          <w:trHeight w:val="204"/>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Sanjiv K. Patel, M.D.</w:t>
            </w:r>
          </w:p>
        </w:tc>
        <w:tc>
          <w:tcPr>
            <w:tcW w:w="120" w:type="dxa"/>
            <w:vAlign w:val="bottom"/>
          </w:tcPr>
          <w:p>
            <w:pPr>
              <w:spacing w:after="0"/>
              <w:rPr>
                <w:sz w:val="17"/>
                <w:szCs w:val="17"/>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Thomas Catinazzo</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26, 2025</w:t>
            </w:r>
          </w:p>
        </w:tc>
      </w:tr>
      <w:tr>
        <w:trPr>
          <w:trHeight w:val="182"/>
        </w:trPr>
        <w:tc>
          <w:tcPr>
            <w:tcW w:w="37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Thomas Catinazzo</w:t>
            </w:r>
          </w:p>
        </w:tc>
        <w:tc>
          <w:tcPr>
            <w:tcW w:w="120" w:type="dxa"/>
            <w:vAlign w:val="bottom"/>
          </w:tcPr>
          <w:p>
            <w:pPr>
              <w:spacing w:after="0"/>
              <w:rPr>
                <w:sz w:val="15"/>
                <w:szCs w:val="15"/>
                <w:color w:val="auto"/>
              </w:rPr>
            </w:pPr>
          </w:p>
        </w:tc>
        <w:tc>
          <w:tcPr>
            <w:tcW w:w="48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(Principal Accounting Officer and</w:t>
            </w: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10"/>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411"/>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Alexis Borisy</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26, 2025</w:t>
            </w:r>
          </w:p>
        </w:tc>
      </w:tr>
      <w:tr>
        <w:trPr>
          <w:trHeight w:val="204"/>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Alexis Borisy</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Linda A. Hill</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26, 2025</w:t>
            </w:r>
          </w:p>
        </w:tc>
      </w:tr>
      <w:tr>
        <w:trPr>
          <w:trHeight w:val="204"/>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Linda A. Hill, Ph.D.</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Douglas S. Ingram</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26, 2025</w:t>
            </w:r>
          </w:p>
        </w:tc>
      </w:tr>
      <w:tr>
        <w:trPr>
          <w:trHeight w:val="204"/>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Douglas S. Ingram</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Sekar Kathiresan</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26, 2025</w:t>
            </w:r>
          </w:p>
        </w:tc>
      </w:tr>
      <w:tr>
        <w:trPr>
          <w:trHeight w:val="204"/>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Sekar Kathiresan, M.D.</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Mark Murcko</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26, 2025</w:t>
            </w:r>
          </w:p>
        </w:tc>
      </w:tr>
      <w:tr>
        <w:trPr>
          <w:trHeight w:val="204"/>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 Murcko, Ph.D.</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Jami Rubin</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26, 2025</w:t>
            </w:r>
          </w:p>
        </w:tc>
      </w:tr>
      <w:tr>
        <w:trPr>
          <w:trHeight w:val="204"/>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Jami Rubin</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Laura Shawver</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26, 2025</w:t>
            </w:r>
          </w:p>
        </w:tc>
      </w:tr>
      <w:tr>
        <w:trPr>
          <w:trHeight w:val="204"/>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Laura Shawver, Ph.D.</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type w:val="continuous"/>
        </w:sectPr>
      </w:pPr>
    </w:p>
    <w:bookmarkStart w:id="130" w:name="page131"/>
    <w:bookmarkEnd w:id="130"/>
    <w:p>
      <w:pPr>
        <w:jc w:val="right"/>
        <w:spacing w:after="0"/>
        <w:rPr>
          <w:sz w:val="20"/>
          <w:szCs w:val="20"/>
          <w:color w:val="auto"/>
        </w:rPr>
      </w:pPr>
      <w:r>
        <w:rPr>
          <w:rFonts w:ascii="Calibri" w:cs="Calibri" w:eastAsia="Calibri" w:hAnsi="Calibri"/>
          <w:sz w:val="22"/>
          <w:szCs w:val="22"/>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791335" cy="7797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6">
                      <a:extLst>
                        <a:ext uri="{28A0092B-C50C-407E-A947-70E740481C1C}"/>
                      </a:extLst>
                    </a:blip>
                    <a:srcRect/>
                    <a:stretch>
                      <a:fillRect/>
                    </a:stretch>
                  </pic:blipFill>
                  <pic:spPr bwMode="auto">
                    <a:xfrm>
                      <a:off x="0" y="0"/>
                      <a:ext cx="179133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Calibri" w:cs="Calibri" w:eastAsia="Calibri" w:hAnsi="Calibri"/>
          <w:sz w:val="22"/>
          <w:szCs w:val="22"/>
          <w:b w:val="1"/>
          <w:bCs w:val="1"/>
          <w:color w:val="auto"/>
        </w:rPr>
        <w:t>RELAY THERAPEUTICS, INC.</w:t>
      </w:r>
    </w:p>
    <w:p>
      <w:pPr>
        <w:spacing w:after="0" w:line="217" w:lineRule="exact"/>
        <w:rPr>
          <w:sz w:val="20"/>
          <w:szCs w:val="20"/>
          <w:color w:val="auto"/>
        </w:rPr>
      </w:pPr>
    </w:p>
    <w:p>
      <w:pPr>
        <w:jc w:val="center"/>
        <w:ind w:right="40"/>
        <w:spacing w:after="0"/>
        <w:rPr>
          <w:sz w:val="20"/>
          <w:szCs w:val="20"/>
          <w:color w:val="auto"/>
        </w:rPr>
      </w:pPr>
      <w:r>
        <w:rPr>
          <w:rFonts w:ascii="Calibri" w:cs="Calibri" w:eastAsia="Calibri" w:hAnsi="Calibri"/>
          <w:sz w:val="22"/>
          <w:szCs w:val="22"/>
          <w:b w:val="1"/>
          <w:bCs w:val="1"/>
          <w:color w:val="auto"/>
        </w:rPr>
        <w:t>INSIDER TRADING POLICY</w:t>
      </w:r>
    </w:p>
    <w:p>
      <w:pPr>
        <w:spacing w:after="0" w:line="228" w:lineRule="exact"/>
        <w:rPr>
          <w:sz w:val="20"/>
          <w:szCs w:val="20"/>
          <w:color w:val="auto"/>
        </w:rPr>
      </w:pPr>
    </w:p>
    <w:p>
      <w:pPr>
        <w:ind w:right="20" w:firstLine="738"/>
        <w:spacing w:after="0" w:line="252" w:lineRule="auto"/>
        <w:rPr>
          <w:sz w:val="20"/>
          <w:szCs w:val="20"/>
          <w:color w:val="auto"/>
        </w:rPr>
      </w:pPr>
      <w:r>
        <w:rPr>
          <w:rFonts w:ascii="Calibri" w:cs="Calibri" w:eastAsia="Calibri" w:hAnsi="Calibri"/>
          <w:sz w:val="21"/>
          <w:szCs w:val="21"/>
          <w:color w:val="auto"/>
        </w:rPr>
        <w:t xml:space="preserve">This memorandum sets forth the policy of Relay Therapeutcs, Inc. (the “Company”) regarding trading in the Company’s securites as described below and the disclosure of informaton concerning the Company. This Insider Trading Policy (the “Insider Trading Policy”) is designed to prevent insider trading or the appearance of impropriety, to satsfy the Company’s obligaton to reasonably supervise the actvites of Company personnel, and to help Company personnel avoid the severe consequences associated with violatons of insider trading laws. Our Board of Directors has approved this Insider Trading Policy, and appointed the Company’s Chief Legal Ofcer as the Compliance Ofcer (with their designees, the “Compliance Ofcer”) to administer the policy and to be available to answer your questons. </w:t>
      </w:r>
      <w:r>
        <w:rPr>
          <w:rFonts w:ascii="Calibri" w:cs="Calibri" w:eastAsia="Calibri" w:hAnsi="Calibri"/>
          <w:sz w:val="21"/>
          <w:szCs w:val="21"/>
          <w:b w:val="1"/>
          <w:bCs w:val="1"/>
          <w:color w:val="auto"/>
        </w:rPr>
        <w:t>It is your obligaton to understand and comply with this</w:t>
      </w:r>
    </w:p>
    <w:p>
      <w:pPr>
        <w:spacing w:after="0" w:line="235" w:lineRule="auto"/>
        <w:rPr>
          <w:sz w:val="20"/>
          <w:szCs w:val="20"/>
          <w:color w:val="auto"/>
        </w:rPr>
      </w:pPr>
      <w:r>
        <w:rPr>
          <w:rFonts w:ascii="Calibri" w:cs="Calibri" w:eastAsia="Calibri" w:hAnsi="Calibri"/>
          <w:sz w:val="22"/>
          <w:szCs w:val="22"/>
          <w:b w:val="1"/>
          <w:bCs w:val="1"/>
          <w:color w:val="auto"/>
        </w:rPr>
        <w:t>Insider Trading Policy.</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PART I. OVERVIEW</w:t>
      </w:r>
    </w:p>
    <w:p>
      <w:pPr>
        <w:spacing w:after="0" w:line="217" w:lineRule="exact"/>
        <w:rPr>
          <w:sz w:val="20"/>
          <w:szCs w:val="20"/>
          <w:color w:val="auto"/>
        </w:rPr>
      </w:pPr>
    </w:p>
    <w:p>
      <w:pPr>
        <w:ind w:left="760" w:hanging="752"/>
        <w:spacing w:after="0"/>
        <w:tabs>
          <w:tab w:leader="none" w:pos="760" w:val="left"/>
        </w:tabs>
        <w:numPr>
          <w:ilvl w:val="0"/>
          <w:numId w:val="81"/>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To Whom does this Insider Trading Policy Apply?</w:t>
      </w:r>
    </w:p>
    <w:p>
      <w:pPr>
        <w:spacing w:after="0" w:line="228" w:lineRule="exact"/>
        <w:rPr>
          <w:sz w:val="20"/>
          <w:szCs w:val="20"/>
          <w:color w:val="auto"/>
        </w:rPr>
      </w:pPr>
    </w:p>
    <w:p>
      <w:pPr>
        <w:ind w:right="80" w:firstLine="749"/>
        <w:spacing w:after="0" w:line="239" w:lineRule="auto"/>
        <w:rPr>
          <w:sz w:val="20"/>
          <w:szCs w:val="20"/>
          <w:color w:val="auto"/>
        </w:rPr>
      </w:pPr>
      <w:r>
        <w:rPr>
          <w:rFonts w:ascii="Calibri" w:cs="Calibri" w:eastAsia="Calibri" w:hAnsi="Calibri"/>
          <w:sz w:val="22"/>
          <w:szCs w:val="22"/>
          <w:color w:val="auto"/>
        </w:rPr>
        <w:t>This Insider Trading Policy is applicable to the Company’s directors, ofcers, employees and consultants and applies to any and all transactons by such persons and their afliates (as defned below) in the Company’s securites, including its common stock, optons to purchase common stock, any other type of securites that the Company may issue (such as preferred stock, convertble debentures, warrants, exchange-traded optons or other derivatve securites), and any derivatve securites that provide the economic equivalent of ownership of any of the Company’s securites or an opportunity, direct or indirect, to proft from any change in the value of the Company’s securites.</w:t>
      </w:r>
    </w:p>
    <w:p>
      <w:pPr>
        <w:spacing w:after="0" w:line="231" w:lineRule="exact"/>
        <w:rPr>
          <w:sz w:val="20"/>
          <w:szCs w:val="20"/>
          <w:color w:val="auto"/>
        </w:rPr>
      </w:pPr>
    </w:p>
    <w:p>
      <w:pPr>
        <w:ind w:right="80" w:firstLine="749"/>
        <w:spacing w:after="0" w:line="239" w:lineRule="auto"/>
        <w:rPr>
          <w:sz w:val="20"/>
          <w:szCs w:val="20"/>
          <w:color w:val="auto"/>
        </w:rPr>
      </w:pPr>
      <w:r>
        <w:rPr>
          <w:rFonts w:ascii="Calibri" w:cs="Calibri" w:eastAsia="Calibri" w:hAnsi="Calibri"/>
          <w:sz w:val="22"/>
          <w:szCs w:val="22"/>
          <w:color w:val="auto"/>
        </w:rPr>
        <w:t>In additon, all directors, ofcers, employees and designated consultants must comply with the Trading Procedures set forth in Part II of this Insider Trading Policy (the “Trading Procedures”) (collectvely, and solely for the purposes of this Insider Trading Policy, these persons are referred to as “Insiders”). Generally, the Trading Procedures establish trading windows outside of which the persons covered by the Trading Procedures will be restricted from trading in the Company’s securites and also require the pre-clearance of all transactons in the Company’s securites by such persons. You will be notfed if you are required to comply with the Trading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1" w:name="page132"/>
    <w:bookmarkEnd w:id="131"/>
    <w:p>
      <w:pPr>
        <w:spacing w:after="0" w:line="251" w:lineRule="exact"/>
        <w:rPr>
          <w:sz w:val="20"/>
          <w:szCs w:val="20"/>
          <w:color w:val="auto"/>
        </w:rPr>
      </w:pPr>
    </w:p>
    <w:p>
      <w:pPr>
        <w:ind w:right="720" w:firstLine="749"/>
        <w:spacing w:after="0" w:line="235" w:lineRule="auto"/>
        <w:rPr>
          <w:sz w:val="20"/>
          <w:szCs w:val="20"/>
          <w:color w:val="auto"/>
        </w:rPr>
      </w:pPr>
      <w:r>
        <w:rPr>
          <w:rFonts w:ascii="Calibri" w:cs="Calibri" w:eastAsia="Calibri" w:hAnsi="Calibri"/>
          <w:sz w:val="22"/>
          <w:szCs w:val="22"/>
          <w:color w:val="auto"/>
        </w:rPr>
        <w:t>This Insider Trading Policy, including, if applicable, the Trading Procedures contained herein, also applies to the following persons (collectvely, these persons and enttes are referred to as “Afliated Persons”):</w:t>
      </w:r>
    </w:p>
    <w:p>
      <w:pPr>
        <w:spacing w:after="0" w:line="230" w:lineRule="exact"/>
        <w:rPr>
          <w:sz w:val="20"/>
          <w:szCs w:val="20"/>
          <w:color w:val="auto"/>
        </w:rPr>
      </w:pPr>
    </w:p>
    <w:p>
      <w:pPr>
        <w:ind w:left="1140" w:right="120" w:hanging="383"/>
        <w:spacing w:after="0" w:line="252" w:lineRule="auto"/>
        <w:tabs>
          <w:tab w:leader="none" w:pos="1140" w:val="left"/>
        </w:tabs>
        <w:numPr>
          <w:ilvl w:val="0"/>
          <w:numId w:val="82"/>
        </w:numPr>
        <w:rPr>
          <w:rFonts w:ascii="Times New Roman" w:cs="Times New Roman" w:eastAsia="Times New Roman" w:hAnsi="Times New Roman"/>
          <w:sz w:val="21"/>
          <w:szCs w:val="21"/>
          <w:color w:val="auto"/>
        </w:rPr>
      </w:pPr>
      <w:r>
        <w:rPr>
          <w:rFonts w:ascii="Calibri" w:cs="Calibri" w:eastAsia="Calibri" w:hAnsi="Calibri"/>
          <w:sz w:val="21"/>
          <w:szCs w:val="21"/>
          <w:color w:val="auto"/>
        </w:rPr>
        <w:t>your “Family Members” (“Family Members” are (a) your spouse or domestc partner, children, stepchildren, grandchildren, parents, stepparents, grandparents, siblings and in-laws who reside in the same household as you,</w:t>
      </w:r>
    </w:p>
    <w:p>
      <w:pPr>
        <w:spacing w:after="0" w:line="1" w:lineRule="exact"/>
        <w:rPr>
          <w:rFonts w:ascii="Times New Roman" w:cs="Times New Roman" w:eastAsia="Times New Roman" w:hAnsi="Times New Roman"/>
          <w:sz w:val="21"/>
          <w:szCs w:val="21"/>
          <w:color w:val="auto"/>
        </w:rPr>
      </w:pPr>
    </w:p>
    <w:p>
      <w:pPr>
        <w:ind w:left="1140" w:right="140"/>
        <w:spacing w:after="0" w:line="239" w:lineRule="auto"/>
        <w:rPr>
          <w:rFonts w:ascii="Times New Roman" w:cs="Times New Roman" w:eastAsia="Times New Roman" w:hAnsi="Times New Roman"/>
          <w:sz w:val="21"/>
          <w:szCs w:val="21"/>
          <w:color w:val="auto"/>
        </w:rPr>
      </w:pPr>
      <w:r>
        <w:rPr>
          <w:rFonts w:ascii="Calibri" w:cs="Calibri" w:eastAsia="Calibri" w:hAnsi="Calibri"/>
          <w:sz w:val="22"/>
          <w:szCs w:val="22"/>
          <w:color w:val="auto"/>
        </w:rPr>
        <w:t>(b) your children or your spouse’s children who do not reside in the same household as you but are fnancially dependent on you, (c) any of your other family members who do not reside in your household but whose transactons are directed by you, and (d) any other individual over whose account you have control and to whose fnancial support you materially contribute. (Materially contributng to fnancial support would include, for example, paying an individual’s rent but not just a phone bill.);</w:t>
      </w:r>
    </w:p>
    <w:p>
      <w:pPr>
        <w:spacing w:after="0" w:line="228" w:lineRule="exact"/>
        <w:rPr>
          <w:rFonts w:ascii="Times New Roman" w:cs="Times New Roman" w:eastAsia="Times New Roman" w:hAnsi="Times New Roman"/>
          <w:sz w:val="21"/>
          <w:szCs w:val="21"/>
          <w:color w:val="auto"/>
        </w:rPr>
      </w:pPr>
    </w:p>
    <w:p>
      <w:pPr>
        <w:ind w:left="1140" w:right="60" w:hanging="383"/>
        <w:spacing w:after="0" w:line="254" w:lineRule="auto"/>
        <w:tabs>
          <w:tab w:leader="none" w:pos="1140" w:val="left"/>
        </w:tabs>
        <w:numPr>
          <w:ilvl w:val="0"/>
          <w:numId w:val="82"/>
        </w:numPr>
        <w:rPr>
          <w:rFonts w:ascii="Times New Roman" w:cs="Times New Roman" w:eastAsia="Times New Roman" w:hAnsi="Times New Roman"/>
          <w:sz w:val="21"/>
          <w:szCs w:val="21"/>
          <w:color w:val="auto"/>
        </w:rPr>
      </w:pPr>
      <w:r>
        <w:rPr>
          <w:rFonts w:ascii="Calibri" w:cs="Calibri" w:eastAsia="Calibri" w:hAnsi="Calibri"/>
          <w:sz w:val="21"/>
          <w:szCs w:val="21"/>
          <w:color w:val="auto"/>
        </w:rPr>
        <w:t>all trusts, family partnerships and other types of enttes formed for your beneft or for the beneft of a member of your family and over which you have the ability to infuence or direct investment decisions concerning securites;</w:t>
      </w:r>
    </w:p>
    <w:p>
      <w:pPr>
        <w:spacing w:after="0" w:line="202" w:lineRule="exact"/>
        <w:rPr>
          <w:rFonts w:ascii="Times New Roman" w:cs="Times New Roman" w:eastAsia="Times New Roman" w:hAnsi="Times New Roman"/>
          <w:sz w:val="21"/>
          <w:szCs w:val="21"/>
          <w:color w:val="auto"/>
        </w:rPr>
      </w:pPr>
    </w:p>
    <w:p>
      <w:pPr>
        <w:ind w:left="1140" w:hanging="383"/>
        <w:spacing w:after="0"/>
        <w:tabs>
          <w:tab w:leader="none" w:pos="1140" w:val="left"/>
        </w:tabs>
        <w:numPr>
          <w:ilvl w:val="0"/>
          <w:numId w:val="82"/>
        </w:numPr>
        <w:rPr>
          <w:rFonts w:ascii="Times New Roman" w:cs="Times New Roman" w:eastAsia="Times New Roman" w:hAnsi="Times New Roman"/>
          <w:sz w:val="22"/>
          <w:szCs w:val="22"/>
          <w:color w:val="auto"/>
        </w:rPr>
      </w:pPr>
      <w:r>
        <w:rPr>
          <w:rFonts w:ascii="Calibri" w:cs="Calibri" w:eastAsia="Calibri" w:hAnsi="Calibri"/>
          <w:sz w:val="22"/>
          <w:szCs w:val="22"/>
          <w:color w:val="auto"/>
        </w:rPr>
        <w:t>all persons who execute trades on your behalf; and</w:t>
      </w:r>
    </w:p>
    <w:p>
      <w:pPr>
        <w:spacing w:after="0" w:line="22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2"/>
        </w:numPr>
        <w:rPr>
          <w:rFonts w:ascii="Times New Roman" w:cs="Times New Roman" w:eastAsia="Times New Roman" w:hAnsi="Times New Roman"/>
          <w:sz w:val="22"/>
          <w:szCs w:val="22"/>
          <w:color w:val="auto"/>
        </w:rPr>
      </w:pPr>
      <w:r>
        <w:rPr>
          <w:rFonts w:ascii="Calibri" w:cs="Calibri" w:eastAsia="Calibri" w:hAnsi="Calibri"/>
          <w:sz w:val="22"/>
          <w:szCs w:val="22"/>
          <w:color w:val="auto"/>
        </w:rPr>
        <w:t xml:space="preserve">all investment funds, trusts, retrement plans, partnerships, corporatons and other types of enttes over which you have the ability to infuence or direct investment decisions concerning securites;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however</w:t>
      </w:r>
      <w:r>
        <w:rPr>
          <w:rFonts w:ascii="Calibri" w:cs="Calibri" w:eastAsia="Calibri" w:hAnsi="Calibri"/>
          <w:sz w:val="22"/>
          <w:szCs w:val="22"/>
          <w:color w:val="auto"/>
        </w:rPr>
        <w:t>, that the Trading Procedures shall not apply to any such entty that engages in the investment of securites in the ordinary course of its business (e.g., an investment fund or partnership) if such entty has established its own insider trading controls and procedures in compliance with applicable securites laws and it (or an afliated entty) has represented to the Company that such Insider’s afliated enttes: (a) engage in the investment of securites in the ordinary course of their respectve businesses; (b) have established insider trading controls and procedures in compliance with applicable securites laws; and (c) are aware such securites laws prohibit any person or entty who has material, nonpublic informaton concerning the Company from purchasing or selling securites of the Company or from communicatng such informaton to any other person under circumstances in which it is reasonably foreseeable that such person is likely to purchase or sell securites.</w:t>
      </w:r>
    </w:p>
    <w:p>
      <w:pPr>
        <w:spacing w:after="0" w:line="232" w:lineRule="exact"/>
        <w:rPr>
          <w:sz w:val="20"/>
          <w:szCs w:val="20"/>
          <w:color w:val="auto"/>
        </w:rPr>
      </w:pPr>
    </w:p>
    <w:p>
      <w:pPr>
        <w:ind w:right="820" w:firstLine="749"/>
        <w:spacing w:after="0" w:line="235" w:lineRule="auto"/>
        <w:rPr>
          <w:sz w:val="20"/>
          <w:szCs w:val="20"/>
          <w:color w:val="auto"/>
        </w:rPr>
      </w:pPr>
      <w:r>
        <w:rPr>
          <w:rFonts w:ascii="Calibri" w:cs="Calibri" w:eastAsia="Calibri" w:hAnsi="Calibri"/>
          <w:sz w:val="22"/>
          <w:szCs w:val="22"/>
          <w:color w:val="auto"/>
        </w:rPr>
        <w:t>You are responsible for ensuring compliance with this Insider Trading Policy, including the Trading Procedures contained herein, by all of your Afliated Persons.</w:t>
      </w:r>
    </w:p>
    <w:p>
      <w:pPr>
        <w:spacing w:after="0" w:line="220" w:lineRule="exact"/>
        <w:rPr>
          <w:sz w:val="20"/>
          <w:szCs w:val="20"/>
          <w:color w:val="auto"/>
        </w:rPr>
      </w:pPr>
    </w:p>
    <w:p>
      <w:pPr>
        <w:ind w:left="760" w:hanging="752"/>
        <w:spacing w:after="0"/>
        <w:tabs>
          <w:tab w:leader="none" w:pos="760" w:val="left"/>
        </w:tabs>
        <w:numPr>
          <w:ilvl w:val="0"/>
          <w:numId w:val="83"/>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What is Prohibited by this Insider Trading Policy?</w:t>
      </w:r>
    </w:p>
    <w:p>
      <w:pPr>
        <w:spacing w:after="0" w:line="228" w:lineRule="exact"/>
        <w:rPr>
          <w:sz w:val="20"/>
          <w:szCs w:val="20"/>
          <w:color w:val="auto"/>
        </w:rPr>
      </w:pPr>
    </w:p>
    <w:p>
      <w:pPr>
        <w:ind w:right="40" w:firstLine="749"/>
        <w:spacing w:after="0" w:line="238" w:lineRule="auto"/>
        <w:rPr>
          <w:sz w:val="20"/>
          <w:szCs w:val="20"/>
          <w:color w:val="auto"/>
        </w:rPr>
      </w:pPr>
      <w:r>
        <w:rPr>
          <w:rFonts w:ascii="Calibri" w:cs="Calibri" w:eastAsia="Calibri" w:hAnsi="Calibri"/>
          <w:sz w:val="22"/>
          <w:szCs w:val="22"/>
          <w:color w:val="auto"/>
        </w:rPr>
        <w:t>You and your Afliated Persons are prohibited from engaging in insider trading and from trading in securites in violaton of this Insider Trading Policy. “Insider trading” is (1) trading (buying or selling) the securites of a company whether for your account or for the account of another, while in the possession of material nonpublic informaton (see defniton below) about</w:t>
      </w:r>
    </w:p>
    <w:p>
      <w:pPr>
        <w:spacing w:after="0" w:line="218" w:lineRule="exact"/>
        <w:rPr>
          <w:sz w:val="20"/>
          <w:szCs w:val="20"/>
          <w:color w:val="auto"/>
        </w:rPr>
      </w:pPr>
    </w:p>
    <w:p>
      <w:pPr>
        <w:ind w:left="5940"/>
        <w:spacing w:after="0"/>
        <w:rPr>
          <w:sz w:val="20"/>
          <w:szCs w:val="20"/>
          <w:color w:val="auto"/>
        </w:rPr>
      </w:pPr>
      <w:r>
        <w:rPr>
          <w:rFonts w:ascii="Calibri" w:cs="Calibri" w:eastAsia="Calibri" w:hAnsi="Calibri"/>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2" w:name="page133"/>
    <w:bookmarkEnd w:id="132"/>
    <w:p>
      <w:pPr>
        <w:spacing w:after="0" w:line="251" w:lineRule="exact"/>
        <w:rPr>
          <w:sz w:val="20"/>
          <w:szCs w:val="20"/>
          <w:color w:val="auto"/>
        </w:rPr>
      </w:pPr>
    </w:p>
    <w:p>
      <w:pPr>
        <w:ind w:right="80"/>
        <w:spacing w:after="0" w:line="237" w:lineRule="auto"/>
        <w:rPr>
          <w:sz w:val="20"/>
          <w:szCs w:val="20"/>
          <w:color w:val="auto"/>
        </w:rPr>
      </w:pPr>
      <w:r>
        <w:rPr>
          <w:rFonts w:ascii="Calibri" w:cs="Calibri" w:eastAsia="Calibri" w:hAnsi="Calibri"/>
          <w:sz w:val="22"/>
          <w:szCs w:val="22"/>
          <w:color w:val="auto"/>
        </w:rPr>
        <w:t>that company or (2) disclosing material nonpublic informaton about a company to others who may trade on the basis of that informaton. Insider trading can result in criminal prosecuton, jail tme, signifcant fnes and public embarrassment for you and the Company.</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Prohibiton on Trading in Company Securites</w:t>
      </w:r>
    </w:p>
    <w:p>
      <w:pPr>
        <w:spacing w:after="0" w:line="228" w:lineRule="exact"/>
        <w:rPr>
          <w:sz w:val="20"/>
          <w:szCs w:val="20"/>
          <w:color w:val="auto"/>
        </w:rPr>
      </w:pPr>
    </w:p>
    <w:p>
      <w:pPr>
        <w:ind w:right="540" w:firstLine="749"/>
        <w:spacing w:after="0" w:line="235" w:lineRule="auto"/>
        <w:rPr>
          <w:sz w:val="20"/>
          <w:szCs w:val="20"/>
          <w:color w:val="auto"/>
        </w:rPr>
      </w:pPr>
      <w:r>
        <w:rPr>
          <w:rFonts w:ascii="Calibri" w:cs="Calibri" w:eastAsia="Calibri" w:hAnsi="Calibri"/>
          <w:sz w:val="22"/>
          <w:szCs w:val="22"/>
          <w:color w:val="auto"/>
        </w:rPr>
        <w:t>When you know or are in possession of material, nonpublic informaton about the Company, whether positve or negatve, you are prohibited from the following actvites:</w:t>
      </w:r>
    </w:p>
    <w:p>
      <w:pPr>
        <w:spacing w:after="0" w:line="230" w:lineRule="exact"/>
        <w:rPr>
          <w:sz w:val="20"/>
          <w:szCs w:val="20"/>
          <w:color w:val="auto"/>
        </w:rPr>
      </w:pPr>
    </w:p>
    <w:p>
      <w:pPr>
        <w:ind w:left="1140" w:right="40" w:hanging="383"/>
        <w:spacing w:after="0" w:line="239" w:lineRule="auto"/>
        <w:tabs>
          <w:tab w:leader="none" w:pos="1140" w:val="left"/>
        </w:tabs>
        <w:numPr>
          <w:ilvl w:val="0"/>
          <w:numId w:val="84"/>
        </w:numPr>
        <w:rPr>
          <w:rFonts w:ascii="Times New Roman" w:cs="Times New Roman" w:eastAsia="Times New Roman" w:hAnsi="Times New Roman"/>
          <w:sz w:val="22"/>
          <w:szCs w:val="22"/>
          <w:color w:val="auto"/>
        </w:rPr>
      </w:pPr>
      <w:r>
        <w:rPr>
          <w:rFonts w:ascii="Calibri" w:cs="Calibri" w:eastAsia="Calibri" w:hAnsi="Calibri"/>
          <w:sz w:val="22"/>
          <w:szCs w:val="22"/>
          <w:color w:val="auto"/>
        </w:rPr>
        <w:t>trading (whether for your account of for the account of another) in the Company’s securites, which includes common stock, optons to purchase common stock, any other type of securites that the Company may issue (such as preferred stock, convertble debentures, warrants, exchange-traded optons or other derivatve securites), and any derivatve securites that provide the economic equivalent of ownership of any of the Company’s securites or an opportunity, direct or indirect, to proft from any change in the value of the Company’s securites, except for trades made pursuant to plans approved by the Compliance Ofcer in accordance with this policy that are intended to comply with Rule 10b5-1 under the Exchange Act.</w:t>
      </w:r>
    </w:p>
    <w:p>
      <w:pPr>
        <w:spacing w:after="0" w:line="234" w:lineRule="exact"/>
        <w:rPr>
          <w:sz w:val="20"/>
          <w:szCs w:val="20"/>
          <w:color w:val="auto"/>
        </w:rPr>
      </w:pPr>
    </w:p>
    <w:p>
      <w:pPr>
        <w:ind w:firstLine="749"/>
        <w:spacing w:after="0" w:line="238" w:lineRule="auto"/>
        <w:rPr>
          <w:sz w:val="20"/>
          <w:szCs w:val="20"/>
          <w:color w:val="auto"/>
        </w:rPr>
      </w:pPr>
      <w:r>
        <w:rPr>
          <w:rFonts w:ascii="Calibri" w:cs="Calibri" w:eastAsia="Calibri" w:hAnsi="Calibri"/>
          <w:sz w:val="22"/>
          <w:szCs w:val="22"/>
          <w:b w:val="1"/>
          <w:bCs w:val="1"/>
          <w:color w:val="auto"/>
        </w:rPr>
        <w:t>The trading prohibitons in this Insider Trading Policy do not apply to: (1) an exercise of an employee stock opton when payment of the exercise price is made in cash or (2) the withholding by the Company of shares of stock upon vestng of restricted stock or upon setlement of restricted stock units to satsfy applicable tax withholding requirements if (a) such withholding is required by the applicable plan or award agreement or (b) the electon to exercise such tax withholding right was made by the Insider in compliance with the Trading Procedures.</w:t>
      </w:r>
    </w:p>
    <w:p>
      <w:pPr>
        <w:spacing w:after="0" w:line="234" w:lineRule="exact"/>
        <w:rPr>
          <w:sz w:val="20"/>
          <w:szCs w:val="20"/>
          <w:color w:val="auto"/>
        </w:rPr>
      </w:pPr>
    </w:p>
    <w:p>
      <w:pPr>
        <w:ind w:right="160" w:firstLine="749"/>
        <w:spacing w:after="0" w:line="253" w:lineRule="auto"/>
        <w:rPr>
          <w:sz w:val="20"/>
          <w:szCs w:val="20"/>
          <w:color w:val="auto"/>
        </w:rPr>
      </w:pPr>
      <w:r>
        <w:rPr>
          <w:rFonts w:ascii="Calibri" w:cs="Calibri" w:eastAsia="Calibri" w:hAnsi="Calibri"/>
          <w:sz w:val="21"/>
          <w:szCs w:val="21"/>
          <w:b w:val="1"/>
          <w:bCs w:val="1"/>
          <w:color w:val="auto"/>
        </w:rPr>
        <w:t>The trading prohibitons in this Insider Trading Policy do apply, however, to: the use of outstanding Company securites to pay part or all of the exercise price of an opton, any sale of stock as part of a broker-assisted cashless exercise of an opton or any other market sale for the purpose of generatng the cash needed to pay the exercise price of an opton.</w:t>
      </w:r>
    </w:p>
    <w:p>
      <w:pPr>
        <w:spacing w:after="0" w:line="20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Prohibiton on Tipping</w:t>
      </w:r>
    </w:p>
    <w:p>
      <w:pPr>
        <w:spacing w:after="0" w:line="228" w:lineRule="exact"/>
        <w:rPr>
          <w:sz w:val="20"/>
          <w:szCs w:val="20"/>
          <w:color w:val="auto"/>
        </w:rPr>
      </w:pPr>
    </w:p>
    <w:p>
      <w:pPr>
        <w:ind w:right="20" w:firstLine="749"/>
        <w:spacing w:after="0" w:line="239" w:lineRule="auto"/>
        <w:rPr>
          <w:sz w:val="20"/>
          <w:szCs w:val="20"/>
          <w:color w:val="auto"/>
        </w:rPr>
      </w:pPr>
      <w:r>
        <w:rPr>
          <w:rFonts w:ascii="Calibri" w:cs="Calibri" w:eastAsia="Calibri" w:hAnsi="Calibri"/>
          <w:sz w:val="22"/>
          <w:szCs w:val="22"/>
          <w:color w:val="auto"/>
        </w:rPr>
        <w:t>Providing material nonpublic informaton about the Company to another person who may trade or advise others to trade on the basis of that informaton is known as “</w:t>
      </w:r>
      <w:r>
        <w:rPr>
          <w:rFonts w:ascii="Calibri" w:cs="Calibri" w:eastAsia="Calibri" w:hAnsi="Calibri"/>
          <w:sz w:val="22"/>
          <w:szCs w:val="22"/>
          <w:u w:val="single" w:color="auto"/>
          <w:color w:val="auto"/>
        </w:rPr>
        <w:t>tpping</w:t>
      </w:r>
      <w:r>
        <w:rPr>
          <w:rFonts w:ascii="Calibri" w:cs="Calibri" w:eastAsia="Calibri" w:hAnsi="Calibri"/>
          <w:sz w:val="22"/>
          <w:szCs w:val="22"/>
          <w:color w:val="auto"/>
        </w:rPr>
        <w:t>” and is illegal. You are prohibited from providing material nonpublic informaton about the Company to a friend, relatve, or anyone else who might buy or sell a security or other fnancial instrument on the basis of that informaton, whether or not you intend to or actually do realize a proft (or any other beneft) from such tpping. Additonally, you are prohibited from recommending to any person that such person engage in or refrain from engaging in any transacton involving the Company’s securites, or otherwise give trading advice concerning the Company’s securites, if you are in possession of material nonpublic informaton about the Company.</w:t>
      </w:r>
    </w:p>
    <w:p>
      <w:pPr>
        <w:spacing w:after="0" w:line="221" w:lineRule="exact"/>
        <w:rPr>
          <w:sz w:val="20"/>
          <w:szCs w:val="20"/>
          <w:color w:val="auto"/>
        </w:rPr>
      </w:pPr>
    </w:p>
    <w:p>
      <w:pPr>
        <w:ind w:left="5940"/>
        <w:spacing w:after="0"/>
        <w:rPr>
          <w:sz w:val="20"/>
          <w:szCs w:val="20"/>
          <w:color w:val="auto"/>
        </w:rPr>
      </w:pPr>
      <w:r>
        <w:rPr>
          <w:rFonts w:ascii="Calibri" w:cs="Calibri" w:eastAsia="Calibri" w:hAnsi="Calibri"/>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3" w:name="page134"/>
    <w:bookmarkEnd w:id="133"/>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Prohibiton on Trading in Securites of Other Companies</w:t>
      </w:r>
    </w:p>
    <w:p>
      <w:pPr>
        <w:spacing w:after="0" w:line="228" w:lineRule="exact"/>
        <w:rPr>
          <w:sz w:val="20"/>
          <w:szCs w:val="20"/>
          <w:color w:val="auto"/>
        </w:rPr>
      </w:pPr>
    </w:p>
    <w:p>
      <w:pPr>
        <w:ind w:right="200" w:firstLine="749"/>
        <w:spacing w:after="0" w:line="239" w:lineRule="auto"/>
        <w:rPr>
          <w:sz w:val="20"/>
          <w:szCs w:val="20"/>
          <w:color w:val="auto"/>
        </w:rPr>
      </w:pPr>
      <w:r>
        <w:rPr>
          <w:rFonts w:ascii="Calibri" w:cs="Calibri" w:eastAsia="Calibri" w:hAnsi="Calibri"/>
          <w:sz w:val="22"/>
          <w:szCs w:val="22"/>
          <w:color w:val="auto"/>
        </w:rPr>
        <w:t>This policy’s prohibitons against insider trading and tpping also apply to trading in securites of other companies, including the Company’s customers, suppliers, partners and other enterprises with which we are working (such as when negotatng an acquisiton, investment or other transacton that could be material to the other company). Whenever, during the course of your service to or employment by the Company, you become aware of material nonpublic informaton about another company, including any confdental informaton that is reasonably likely to afect the market price of that company’s securites (for example, discussions of licensing a product or acquiring that other company), neither you nor your Afliated Persons may trade in any securites of that company, give trading advice about that company, tp or disclose that informaton, pass it on to others, or engage in any other acton to take advantage of that informaton.</w:t>
      </w:r>
    </w:p>
    <w:p>
      <w:pPr>
        <w:spacing w:after="0" w:line="237" w:lineRule="exact"/>
        <w:rPr>
          <w:sz w:val="20"/>
          <w:szCs w:val="20"/>
          <w:color w:val="auto"/>
        </w:rPr>
      </w:pPr>
    </w:p>
    <w:p>
      <w:pPr>
        <w:ind w:right="560" w:firstLine="749"/>
        <w:spacing w:after="0" w:line="235" w:lineRule="auto"/>
        <w:rPr>
          <w:sz w:val="20"/>
          <w:szCs w:val="20"/>
          <w:color w:val="auto"/>
        </w:rPr>
      </w:pPr>
      <w:r>
        <w:rPr>
          <w:rFonts w:ascii="Calibri" w:cs="Calibri" w:eastAsia="Calibri" w:hAnsi="Calibri"/>
          <w:sz w:val="22"/>
          <w:szCs w:val="22"/>
          <w:color w:val="auto"/>
        </w:rPr>
        <w:t>If your work regularly involves handling or discussing confdental informaton of one of our partners, suppliers or customers, you should consult with the Compliance Ofcer before trading in any of that company’s securites.</w:t>
      </w:r>
    </w:p>
    <w:p>
      <w:pPr>
        <w:spacing w:after="0" w:line="230" w:lineRule="exact"/>
        <w:rPr>
          <w:sz w:val="20"/>
          <w:szCs w:val="20"/>
          <w:color w:val="auto"/>
        </w:rPr>
      </w:pPr>
    </w:p>
    <w:p>
      <w:pPr>
        <w:ind w:right="180" w:firstLine="749"/>
        <w:spacing w:after="0" w:line="239" w:lineRule="auto"/>
        <w:rPr>
          <w:sz w:val="20"/>
          <w:szCs w:val="20"/>
          <w:color w:val="auto"/>
        </w:rPr>
      </w:pPr>
      <w:r>
        <w:rPr>
          <w:rFonts w:ascii="Calibri" w:cs="Calibri" w:eastAsia="Calibri" w:hAnsi="Calibri"/>
          <w:sz w:val="22"/>
          <w:szCs w:val="22"/>
          <w:color w:val="auto"/>
        </w:rPr>
        <w:t>Additonally, if you believe you may be in possession of nonpublic informaton about the Company that could potentally have a material efect on the stock price of a company with which the Company does not have an existng business relatonship or with which the Company is not discussing a potental transacton or business relatonship, you should exercise cauton when trading in the securites of that company because the U.S. Securites and Exchange Commission (the “SEC”) has successfully brought an insider trading claim against an insider in those circumstances.</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Duraton of Trading Prohibitons</w:t>
      </w:r>
    </w:p>
    <w:p>
      <w:pPr>
        <w:spacing w:after="0" w:line="228" w:lineRule="exact"/>
        <w:rPr>
          <w:sz w:val="20"/>
          <w:szCs w:val="20"/>
          <w:color w:val="auto"/>
        </w:rPr>
      </w:pPr>
    </w:p>
    <w:p>
      <w:pPr>
        <w:ind w:right="120" w:firstLine="749"/>
        <w:spacing w:after="0" w:line="238" w:lineRule="auto"/>
        <w:rPr>
          <w:sz w:val="20"/>
          <w:szCs w:val="20"/>
          <w:color w:val="auto"/>
        </w:rPr>
      </w:pPr>
      <w:r>
        <w:rPr>
          <w:rFonts w:ascii="Calibri" w:cs="Calibri" w:eastAsia="Calibri" w:hAnsi="Calibri"/>
          <w:sz w:val="22"/>
          <w:szCs w:val="22"/>
          <w:color w:val="auto"/>
        </w:rPr>
        <w:t>These trading prohibitons contnue whenever and for as long as you know or are in possession of material, nonpublic informaton. Remember, anyone scrutnizing your transactons will be doing so afer the fact, with the beneft of hindsight. As a practcal mater, before engaging in any transacton, you should carefully consider even the appearance of improper insider trading and how enforcement authorites and others might view the transacton in hindsight.</w:t>
      </w:r>
    </w:p>
    <w:p>
      <w:pPr>
        <w:spacing w:after="0" w:line="231" w:lineRule="exact"/>
        <w:rPr>
          <w:sz w:val="20"/>
          <w:szCs w:val="20"/>
          <w:color w:val="auto"/>
        </w:rPr>
      </w:pPr>
    </w:p>
    <w:p>
      <w:pPr>
        <w:ind w:firstLine="749"/>
        <w:spacing w:after="0" w:line="239" w:lineRule="auto"/>
        <w:rPr>
          <w:sz w:val="20"/>
          <w:szCs w:val="20"/>
          <w:color w:val="auto"/>
        </w:rPr>
      </w:pPr>
      <w:r>
        <w:rPr>
          <w:rFonts w:ascii="Calibri" w:cs="Calibri" w:eastAsia="Calibri" w:hAnsi="Calibri"/>
          <w:sz w:val="22"/>
          <w:szCs w:val="22"/>
          <w:color w:val="auto"/>
        </w:rPr>
        <w:t>This Insider Trading Policy applies to you and your Afliated Persons so long as you are associated with the Company. In the event that you leave the Company for any reason, this Insider Trading Policy, including, if applicable, the Trading Procedures described in Part III contained herein, will contnue to apply to you and your Afliated Persons untl the later of: (1) the frst trading day following the public release of earnings for the fscal quarter in which you leave the Company or (2) the frst trading day afer any material nonpublic informaton known to you has become public or is no longer material.</w:t>
      </w:r>
    </w:p>
    <w:p>
      <w:pPr>
        <w:spacing w:after="0" w:line="216" w:lineRule="exact"/>
        <w:rPr>
          <w:sz w:val="20"/>
          <w:szCs w:val="20"/>
          <w:color w:val="auto"/>
        </w:rPr>
      </w:pPr>
    </w:p>
    <w:p>
      <w:pPr>
        <w:ind w:left="5940"/>
        <w:spacing w:after="0"/>
        <w:rPr>
          <w:sz w:val="20"/>
          <w:szCs w:val="20"/>
          <w:color w:val="auto"/>
        </w:rPr>
      </w:pPr>
      <w:r>
        <w:rPr>
          <w:rFonts w:ascii="Calibri" w:cs="Calibri" w:eastAsia="Calibri" w:hAnsi="Calibri"/>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4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Restricted Trading Periods</w:t>
      </w:r>
    </w:p>
    <w:p>
      <w:pPr>
        <w:spacing w:after="0" w:line="228" w:lineRule="exact"/>
        <w:rPr>
          <w:sz w:val="20"/>
          <w:szCs w:val="20"/>
          <w:color w:val="auto"/>
        </w:rPr>
      </w:pPr>
    </w:p>
    <w:p>
      <w:pPr>
        <w:ind w:right="240" w:firstLine="749"/>
        <w:spacing w:after="0" w:line="239" w:lineRule="auto"/>
        <w:rPr>
          <w:sz w:val="20"/>
          <w:szCs w:val="20"/>
          <w:color w:val="auto"/>
        </w:rPr>
      </w:pPr>
      <w:r>
        <w:rPr>
          <w:rFonts w:ascii="Calibri" w:cs="Calibri" w:eastAsia="Calibri" w:hAnsi="Calibri"/>
          <w:sz w:val="22"/>
          <w:szCs w:val="22"/>
          <w:color w:val="auto"/>
        </w:rPr>
        <w:t>From tme to tme, in connecton with an announcement of material informaton about the Company or when signifcant developments or announcements are antcipated, we may impose a temporary prohibiton on trading in our securites that applies to specifed groups of employees or, in rare instances, all persons covered by this policy. In such event, you will be notfed by e-mail and/or other means of the impositon and expected duraton of the trading prohibiton. During that period, no person covered by such a notce may trade in our securites (subject to the limited exceptons set forth in this policy).</w:t>
      </w:r>
    </w:p>
    <w:p>
      <w:pPr>
        <w:spacing w:after="0" w:line="221" w:lineRule="exact"/>
        <w:rPr>
          <w:sz w:val="20"/>
          <w:szCs w:val="20"/>
          <w:color w:val="auto"/>
        </w:rPr>
      </w:pPr>
    </w:p>
    <w:p>
      <w:pPr>
        <w:ind w:left="760" w:hanging="752"/>
        <w:spacing w:after="0"/>
        <w:tabs>
          <w:tab w:leader="none" w:pos="760" w:val="left"/>
        </w:tabs>
        <w:numPr>
          <w:ilvl w:val="0"/>
          <w:numId w:val="85"/>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What is Material, Nonpublic Informaton?</w:t>
      </w:r>
    </w:p>
    <w:p>
      <w:pPr>
        <w:spacing w:after="0" w:line="228" w:lineRule="exact"/>
        <w:rPr>
          <w:sz w:val="20"/>
          <w:szCs w:val="20"/>
          <w:color w:val="auto"/>
        </w:rPr>
      </w:pPr>
    </w:p>
    <w:p>
      <w:pPr>
        <w:ind w:right="260" w:firstLine="749"/>
        <w:spacing w:after="0" w:line="237" w:lineRule="auto"/>
        <w:rPr>
          <w:sz w:val="20"/>
          <w:szCs w:val="20"/>
          <w:color w:val="auto"/>
        </w:rPr>
      </w:pPr>
      <w:r>
        <w:rPr>
          <w:rFonts w:ascii="Calibri" w:cs="Calibri" w:eastAsia="Calibri" w:hAnsi="Calibri"/>
          <w:sz w:val="22"/>
          <w:szCs w:val="22"/>
          <w:color w:val="auto"/>
        </w:rPr>
        <w:t>This Insider Trading Policy prohibits you from trading in the Company’s securites if you are in possession of informaton about the Company that is both “</w:t>
      </w:r>
      <w:r>
        <w:rPr>
          <w:rFonts w:ascii="Calibri" w:cs="Calibri" w:eastAsia="Calibri" w:hAnsi="Calibri"/>
          <w:sz w:val="22"/>
          <w:szCs w:val="22"/>
          <w:i w:val="1"/>
          <w:iCs w:val="1"/>
          <w:color w:val="auto"/>
        </w:rPr>
        <w:t>material</w:t>
      </w:r>
      <w:r>
        <w:rPr>
          <w:rFonts w:ascii="Calibri" w:cs="Calibri" w:eastAsia="Calibri" w:hAnsi="Calibri"/>
          <w:sz w:val="22"/>
          <w:szCs w:val="22"/>
          <w:color w:val="auto"/>
        </w:rPr>
        <w:t>” and “</w:t>
      </w:r>
      <w:r>
        <w:rPr>
          <w:rFonts w:ascii="Calibri" w:cs="Calibri" w:eastAsia="Calibri" w:hAnsi="Calibri"/>
          <w:sz w:val="22"/>
          <w:szCs w:val="22"/>
          <w:i w:val="1"/>
          <w:iCs w:val="1"/>
          <w:color w:val="auto"/>
        </w:rPr>
        <w:t>nonpublic</w:t>
      </w:r>
      <w:r>
        <w:rPr>
          <w:rFonts w:ascii="Calibri" w:cs="Calibri" w:eastAsia="Calibri" w:hAnsi="Calibri"/>
          <w:sz w:val="22"/>
          <w:szCs w:val="22"/>
          <w:color w:val="auto"/>
        </w:rPr>
        <w:t>.” If you have a queston whether certain informaton you are aware of is material or has been made public, you are encouraged to consult with the Compliance Ofcer.</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“Material” Informaton</w:t>
      </w:r>
    </w:p>
    <w:p>
      <w:pPr>
        <w:spacing w:after="0" w:line="230" w:lineRule="exact"/>
        <w:rPr>
          <w:sz w:val="20"/>
          <w:szCs w:val="20"/>
          <w:color w:val="auto"/>
        </w:rPr>
      </w:pPr>
    </w:p>
    <w:p>
      <w:pPr>
        <w:ind w:right="20" w:firstLine="749"/>
        <w:spacing w:after="0" w:line="239" w:lineRule="auto"/>
        <w:rPr>
          <w:sz w:val="20"/>
          <w:szCs w:val="20"/>
          <w:color w:val="auto"/>
        </w:rPr>
      </w:pPr>
      <w:r>
        <w:rPr>
          <w:rFonts w:ascii="Calibri" w:cs="Calibri" w:eastAsia="Calibri" w:hAnsi="Calibri"/>
          <w:sz w:val="22"/>
          <w:szCs w:val="22"/>
          <w:color w:val="auto"/>
        </w:rPr>
        <w:t>Informaton about our Company or any other company is “material” if it could reasonably be expected to afect the investment or votng decisions of a stockholder or potental investor, or if the disclosure of the informaton could reasonably be expected to signifcantly alter the total mix of informaton in the marketplace about the Company or any other company. We speak mostly in this Insider Trading Policy about determining whether informaton about us is material and nonpublic, but the same analysis applies to informaton about other companies that would preclude you from trading in their securites.</w:t>
      </w:r>
    </w:p>
    <w:p>
      <w:pPr>
        <w:spacing w:after="0" w:line="229" w:lineRule="exact"/>
        <w:rPr>
          <w:sz w:val="20"/>
          <w:szCs w:val="20"/>
          <w:color w:val="auto"/>
        </w:rPr>
      </w:pPr>
    </w:p>
    <w:p>
      <w:pPr>
        <w:ind w:firstLine="749"/>
        <w:spacing w:after="0" w:line="238" w:lineRule="auto"/>
        <w:rPr>
          <w:sz w:val="20"/>
          <w:szCs w:val="20"/>
          <w:color w:val="auto"/>
        </w:rPr>
      </w:pPr>
      <w:r>
        <w:rPr>
          <w:rFonts w:ascii="Calibri" w:cs="Calibri" w:eastAsia="Calibri" w:hAnsi="Calibri"/>
          <w:sz w:val="22"/>
          <w:szCs w:val="22"/>
          <w:color w:val="auto"/>
        </w:rPr>
        <w:t>In simple terms, material informaton is any type of informaton that could reasonably be expected to afect the market price of the Company’s securites. Both positve and negatve informaton may be material. While it is not possible to identfy all informaton that would be deemed “material,” the following items are examples of the types of informaton could be material:</w:t>
      </w:r>
    </w:p>
    <w:p>
      <w:pPr>
        <w:spacing w:after="0" w:line="231" w:lineRule="exact"/>
        <w:rPr>
          <w:sz w:val="20"/>
          <w:szCs w:val="20"/>
          <w:color w:val="auto"/>
        </w:rPr>
      </w:pPr>
    </w:p>
    <w:p>
      <w:pPr>
        <w:ind w:left="1140" w:right="540" w:hanging="383"/>
        <w:spacing w:after="0" w:line="237" w:lineRule="auto"/>
        <w:tabs>
          <w:tab w:leader="none" w:pos="1140" w:val="left"/>
        </w:tabs>
        <w:numPr>
          <w:ilvl w:val="0"/>
          <w:numId w:val="86"/>
        </w:numPr>
        <w:rPr>
          <w:rFonts w:ascii="Times New Roman" w:cs="Times New Roman" w:eastAsia="Times New Roman" w:hAnsi="Times New Roman"/>
          <w:sz w:val="22"/>
          <w:szCs w:val="22"/>
          <w:color w:val="auto"/>
        </w:rPr>
      </w:pPr>
      <w:r>
        <w:rPr>
          <w:rFonts w:ascii="Calibri" w:cs="Calibri" w:eastAsia="Calibri" w:hAnsi="Calibri"/>
          <w:sz w:val="22"/>
          <w:szCs w:val="22"/>
          <w:color w:val="auto"/>
        </w:rPr>
        <w:t>developments regarding any programs in preclinical or clinical development, including recent regulatory interacton and/or data that have been recently generated from ongoing or recently completed preclinical or clinical trials;</w:t>
      </w:r>
    </w:p>
    <w:p>
      <w:pPr>
        <w:spacing w:after="0" w:line="230" w:lineRule="exact"/>
        <w:rPr>
          <w:rFonts w:ascii="Times New Roman" w:cs="Times New Roman" w:eastAsia="Times New Roman" w:hAnsi="Times New Roman"/>
          <w:sz w:val="22"/>
          <w:szCs w:val="22"/>
          <w:color w:val="auto"/>
        </w:rPr>
      </w:pPr>
    </w:p>
    <w:p>
      <w:pPr>
        <w:ind w:left="1140" w:right="260" w:hanging="383"/>
        <w:spacing w:after="0" w:line="235" w:lineRule="auto"/>
        <w:tabs>
          <w:tab w:leader="none" w:pos="1140" w:val="left"/>
        </w:tabs>
        <w:numPr>
          <w:ilvl w:val="0"/>
          <w:numId w:val="86"/>
        </w:numPr>
        <w:rPr>
          <w:rFonts w:ascii="Times New Roman" w:cs="Times New Roman" w:eastAsia="Times New Roman" w:hAnsi="Times New Roman"/>
          <w:sz w:val="22"/>
          <w:szCs w:val="22"/>
          <w:color w:val="auto"/>
        </w:rPr>
      </w:pPr>
      <w:r>
        <w:rPr>
          <w:rFonts w:ascii="Calibri" w:cs="Calibri" w:eastAsia="Calibri" w:hAnsi="Calibri"/>
          <w:sz w:val="22"/>
          <w:szCs w:val="22"/>
          <w:color w:val="auto"/>
        </w:rPr>
        <w:t>developments regarding the intellectual property and/or freedom to operate for any of the current programs or product candidates under development;</w:t>
      </w:r>
    </w:p>
    <w:p>
      <w:pPr>
        <w:spacing w:after="0" w:line="219"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6"/>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projectons of future earnings or losses, or other earnings guidance;</w:t>
      </w:r>
    </w:p>
    <w:p>
      <w:pPr>
        <w:spacing w:after="0" w:line="215"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6"/>
        </w:numPr>
        <w:rPr>
          <w:rFonts w:ascii="Times New Roman" w:cs="Times New Roman" w:eastAsia="Times New Roman" w:hAnsi="Times New Roman"/>
          <w:sz w:val="22"/>
          <w:szCs w:val="22"/>
          <w:color w:val="auto"/>
        </w:rPr>
      </w:pPr>
      <w:r>
        <w:rPr>
          <w:rFonts w:ascii="Calibri" w:cs="Calibri" w:eastAsia="Calibri" w:hAnsi="Calibri"/>
          <w:sz w:val="22"/>
          <w:szCs w:val="22"/>
          <w:color w:val="auto"/>
        </w:rPr>
        <w:t>earnings or revenue that are inconsistent with the consensus expectatons of the investment community;</w:t>
      </w:r>
    </w:p>
    <w:p>
      <w:pPr>
        <w:spacing w:after="0" w:line="217" w:lineRule="exact"/>
        <w:rPr>
          <w:sz w:val="20"/>
          <w:szCs w:val="20"/>
          <w:color w:val="auto"/>
        </w:rPr>
      </w:pPr>
    </w:p>
    <w:p>
      <w:pPr>
        <w:ind w:left="5940"/>
        <w:spacing w:after="0"/>
        <w:rPr>
          <w:sz w:val="20"/>
          <w:szCs w:val="20"/>
          <w:color w:val="auto"/>
        </w:rPr>
      </w:pPr>
      <w:r>
        <w:rPr>
          <w:rFonts w:ascii="Calibri" w:cs="Calibri" w:eastAsia="Calibri" w:hAnsi="Calibri"/>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251" w:lineRule="exact"/>
        <w:rPr>
          <w:sz w:val="20"/>
          <w:szCs w:val="20"/>
          <w:color w:val="auto"/>
        </w:rPr>
      </w:pPr>
    </w:p>
    <w:p>
      <w:pPr>
        <w:ind w:left="1140" w:right="100" w:hanging="383"/>
        <w:spacing w:after="0" w:line="235" w:lineRule="auto"/>
        <w:tabs>
          <w:tab w:leader="none" w:pos="1140" w:val="left"/>
        </w:tabs>
        <w:numPr>
          <w:ilvl w:val="0"/>
          <w:numId w:val="87"/>
        </w:numPr>
        <w:rPr>
          <w:rFonts w:ascii="Times New Roman" w:cs="Times New Roman" w:eastAsia="Times New Roman" w:hAnsi="Times New Roman"/>
          <w:sz w:val="22"/>
          <w:szCs w:val="22"/>
          <w:color w:val="auto"/>
        </w:rPr>
      </w:pPr>
      <w:r>
        <w:rPr>
          <w:rFonts w:ascii="Calibri" w:cs="Calibri" w:eastAsia="Calibri" w:hAnsi="Calibri"/>
          <w:sz w:val="22"/>
          <w:szCs w:val="22"/>
          <w:color w:val="auto"/>
        </w:rPr>
        <w:t>potental restatements of the Company’s fnancial statements, changes in auditors or auditor notfcaton that the Company may no longer rely on an auditor’s audit report;</w:t>
      </w:r>
    </w:p>
    <w:p>
      <w:pPr>
        <w:spacing w:after="0" w:line="230" w:lineRule="exact"/>
        <w:rPr>
          <w:rFonts w:ascii="Times New Roman" w:cs="Times New Roman" w:eastAsia="Times New Roman" w:hAnsi="Times New Roman"/>
          <w:sz w:val="22"/>
          <w:szCs w:val="22"/>
          <w:color w:val="auto"/>
        </w:rPr>
      </w:pPr>
    </w:p>
    <w:p>
      <w:pPr>
        <w:ind w:left="1140" w:right="340" w:hanging="383"/>
        <w:spacing w:after="0" w:line="235" w:lineRule="auto"/>
        <w:tabs>
          <w:tab w:leader="none" w:pos="1140" w:val="left"/>
        </w:tabs>
        <w:numPr>
          <w:ilvl w:val="0"/>
          <w:numId w:val="87"/>
        </w:numPr>
        <w:rPr>
          <w:rFonts w:ascii="Times New Roman" w:cs="Times New Roman" w:eastAsia="Times New Roman" w:hAnsi="Times New Roman"/>
          <w:sz w:val="22"/>
          <w:szCs w:val="22"/>
          <w:color w:val="auto"/>
        </w:rPr>
      </w:pPr>
      <w:r>
        <w:rPr>
          <w:rFonts w:ascii="Calibri" w:cs="Calibri" w:eastAsia="Calibri" w:hAnsi="Calibri"/>
          <w:sz w:val="22"/>
          <w:szCs w:val="22"/>
          <w:color w:val="auto"/>
        </w:rPr>
        <w:t>pending or proposed corporate mergers, acquisitons, tender ofers, joint ventures or dispositons of signifcant assets;</w:t>
      </w:r>
    </w:p>
    <w:p>
      <w:pPr>
        <w:spacing w:after="0" w:line="217"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7"/>
        </w:numPr>
        <w:rPr>
          <w:rFonts w:ascii="Times New Roman" w:cs="Times New Roman" w:eastAsia="Times New Roman" w:hAnsi="Times New Roman"/>
          <w:sz w:val="22"/>
          <w:szCs w:val="22"/>
          <w:color w:val="auto"/>
        </w:rPr>
      </w:pPr>
      <w:r>
        <w:rPr>
          <w:rFonts w:ascii="Calibri" w:cs="Calibri" w:eastAsia="Calibri" w:hAnsi="Calibri"/>
          <w:sz w:val="22"/>
          <w:szCs w:val="22"/>
          <w:color w:val="auto"/>
        </w:rPr>
        <w:t>changes in senior management or the Board of Directors;</w:t>
      </w:r>
    </w:p>
    <w:p>
      <w:pPr>
        <w:spacing w:after="0" w:line="217"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7"/>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signifcant actual or threatened litgaton or governmental investgatons or major developments in such maters;</w:t>
      </w:r>
    </w:p>
    <w:p>
      <w:pPr>
        <w:spacing w:after="0" w:line="219"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7"/>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cybersecurity risks and incidents, including the discovery of signifcant vulnerabilites or breaches;</w:t>
      </w:r>
    </w:p>
    <w:p>
      <w:pPr>
        <w:spacing w:after="0" w:line="228" w:lineRule="exact"/>
        <w:rPr>
          <w:rFonts w:ascii="Times New Roman" w:cs="Times New Roman" w:eastAsia="Times New Roman" w:hAnsi="Times New Roman"/>
          <w:sz w:val="22"/>
          <w:szCs w:val="22"/>
          <w:color w:val="auto"/>
        </w:rPr>
      </w:pPr>
    </w:p>
    <w:p>
      <w:pPr>
        <w:ind w:left="1140" w:right="20" w:hanging="383"/>
        <w:spacing w:after="0" w:line="235" w:lineRule="auto"/>
        <w:tabs>
          <w:tab w:leader="none" w:pos="1140" w:val="left"/>
        </w:tabs>
        <w:numPr>
          <w:ilvl w:val="0"/>
          <w:numId w:val="87"/>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signifcant developments regarding products, customers, suppliers, orders, contracts or fnancing sources (e.g., the acquisiton or loss of a contract);</w:t>
      </w:r>
    </w:p>
    <w:p>
      <w:pPr>
        <w:spacing w:after="0" w:line="219"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7"/>
        </w:numPr>
        <w:rPr>
          <w:rFonts w:ascii="Times New Roman" w:cs="Times New Roman" w:eastAsia="Times New Roman" w:hAnsi="Times New Roman"/>
          <w:sz w:val="22"/>
          <w:szCs w:val="22"/>
          <w:color w:val="auto"/>
        </w:rPr>
      </w:pPr>
      <w:r>
        <w:rPr>
          <w:rFonts w:ascii="Calibri" w:cs="Calibri" w:eastAsia="Calibri" w:hAnsi="Calibri"/>
          <w:sz w:val="22"/>
          <w:szCs w:val="22"/>
          <w:color w:val="auto"/>
        </w:rPr>
        <w:t>changes in dividend policy, declaratons of stock splits, or proposed securites oferings or other fnancings;</w:t>
      </w:r>
    </w:p>
    <w:p>
      <w:pPr>
        <w:spacing w:after="0" w:line="22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7"/>
        </w:numPr>
        <w:rPr>
          <w:rFonts w:ascii="Times New Roman" w:cs="Times New Roman" w:eastAsia="Times New Roman" w:hAnsi="Times New Roman"/>
          <w:sz w:val="21"/>
          <w:szCs w:val="21"/>
          <w:color w:val="auto"/>
        </w:rPr>
      </w:pPr>
      <w:r>
        <w:rPr>
          <w:rFonts w:ascii="Calibri" w:cs="Calibri" w:eastAsia="Calibri" w:hAnsi="Calibri"/>
          <w:sz w:val="21"/>
          <w:szCs w:val="21"/>
          <w:color w:val="auto"/>
        </w:rPr>
        <w:t>potental defaults under the Company’s credit agreements or indentures, or potental material liquidity issues; and</w:t>
      </w:r>
    </w:p>
    <w:p>
      <w:pPr>
        <w:spacing w:after="0" w:line="219" w:lineRule="exact"/>
        <w:rPr>
          <w:rFonts w:ascii="Times New Roman" w:cs="Times New Roman" w:eastAsia="Times New Roman" w:hAnsi="Times New Roman"/>
          <w:sz w:val="21"/>
          <w:szCs w:val="21"/>
          <w:color w:val="auto"/>
        </w:rPr>
      </w:pPr>
    </w:p>
    <w:p>
      <w:pPr>
        <w:ind w:left="1140" w:hanging="383"/>
        <w:spacing w:after="0"/>
        <w:tabs>
          <w:tab w:leader="none" w:pos="1140" w:val="left"/>
        </w:tabs>
        <w:numPr>
          <w:ilvl w:val="0"/>
          <w:numId w:val="87"/>
        </w:numPr>
        <w:rPr>
          <w:rFonts w:ascii="Times New Roman" w:cs="Times New Roman" w:eastAsia="Times New Roman" w:hAnsi="Times New Roman"/>
          <w:sz w:val="22"/>
          <w:szCs w:val="22"/>
          <w:color w:val="auto"/>
        </w:rPr>
      </w:pPr>
      <w:r>
        <w:rPr>
          <w:rFonts w:ascii="Calibri" w:cs="Calibri" w:eastAsia="Calibri" w:hAnsi="Calibri"/>
          <w:sz w:val="22"/>
          <w:szCs w:val="22"/>
          <w:color w:val="auto"/>
        </w:rPr>
        <w:t>bankruptcies or receiverships.</w:t>
      </w:r>
    </w:p>
    <w:p>
      <w:pPr>
        <w:spacing w:after="0" w:line="228" w:lineRule="exact"/>
        <w:rPr>
          <w:sz w:val="20"/>
          <w:szCs w:val="20"/>
          <w:color w:val="auto"/>
        </w:rPr>
      </w:pPr>
    </w:p>
    <w:p>
      <w:pPr>
        <w:jc w:val="both"/>
        <w:ind w:right="380" w:firstLine="749"/>
        <w:spacing w:after="0" w:line="253" w:lineRule="auto"/>
        <w:rPr>
          <w:sz w:val="20"/>
          <w:szCs w:val="20"/>
          <w:color w:val="auto"/>
        </w:rPr>
      </w:pPr>
      <w:r>
        <w:rPr>
          <w:rFonts w:ascii="Calibri" w:cs="Calibri" w:eastAsia="Calibri" w:hAnsi="Calibri"/>
          <w:sz w:val="21"/>
          <w:szCs w:val="21"/>
          <w:color w:val="auto"/>
        </w:rPr>
        <w:t>The above items will not always be material. For example, some new products or contracts may clearly be material while others may not be. No “bright-line” standard or list of items can adequately address the range of situatons that may arise; informaton and events should be carefully considered in terms of their materiality to the Company.</w:t>
      </w:r>
    </w:p>
    <w:p>
      <w:pPr>
        <w:spacing w:after="0" w:line="20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“Nonpublic” Informaton</w:t>
      </w:r>
    </w:p>
    <w:p>
      <w:pPr>
        <w:spacing w:after="0" w:line="228" w:lineRule="exact"/>
        <w:rPr>
          <w:sz w:val="20"/>
          <w:szCs w:val="20"/>
          <w:color w:val="auto"/>
        </w:rPr>
      </w:pPr>
    </w:p>
    <w:p>
      <w:pPr>
        <w:ind w:right="720" w:firstLine="749"/>
        <w:spacing w:after="0" w:line="235" w:lineRule="auto"/>
        <w:rPr>
          <w:sz w:val="20"/>
          <w:szCs w:val="20"/>
          <w:color w:val="auto"/>
        </w:rPr>
      </w:pPr>
      <w:r>
        <w:rPr>
          <w:rFonts w:ascii="Calibri" w:cs="Calibri" w:eastAsia="Calibri" w:hAnsi="Calibri"/>
          <w:sz w:val="22"/>
          <w:szCs w:val="22"/>
          <w:color w:val="auto"/>
        </w:rPr>
        <w:t>Material informaton is “nonpublic” if it has not been disseminated in a manner making it available to investors generally.</w:t>
      </w:r>
    </w:p>
    <w:p>
      <w:pPr>
        <w:spacing w:after="0" w:line="230" w:lineRule="exact"/>
        <w:rPr>
          <w:sz w:val="20"/>
          <w:szCs w:val="20"/>
          <w:color w:val="auto"/>
        </w:rPr>
      </w:pPr>
    </w:p>
    <w:p>
      <w:pPr>
        <w:ind w:firstLine="749"/>
        <w:spacing w:after="0" w:line="239" w:lineRule="auto"/>
        <w:rPr>
          <w:sz w:val="20"/>
          <w:szCs w:val="20"/>
          <w:color w:val="auto"/>
        </w:rPr>
      </w:pPr>
      <w:r>
        <w:rPr>
          <w:rFonts w:ascii="Calibri" w:cs="Calibri" w:eastAsia="Calibri" w:hAnsi="Calibri"/>
          <w:sz w:val="22"/>
          <w:szCs w:val="22"/>
          <w:color w:val="auto"/>
        </w:rPr>
        <w:t>To demonstrate that informaton is public, one must be able to point to some fact that establishes that the informaton has become publicly available, such as the fling of a report with the SEC, the distributon of a press release, publishing the informaton on our website or postng on social media if those are regular ways we communicate with investors, or by other means that are reasonably designed to provide broad public access. Before a person with material, nonpublic informaton can trade, the market must have adequate tme to absorb the informaton that has been disclosed. For the purposes of this Insider Trading Policy, informaton will be considered public afer the completon of one full day of trading following the Company’s public release of the informaton. For that purpose, a full day of trading means a session of regular trading hours on the New York Stock Exchange (“</w:t>
      </w:r>
      <w:r>
        <w:rPr>
          <w:rFonts w:ascii="Calibri" w:cs="Calibri" w:eastAsia="Calibri" w:hAnsi="Calibri"/>
          <w:sz w:val="22"/>
          <w:szCs w:val="22"/>
          <w:u w:val="single" w:color="auto"/>
          <w:color w:val="auto"/>
        </w:rPr>
        <w:t>NYSE</w:t>
      </w:r>
      <w:r>
        <w:rPr>
          <w:rFonts w:ascii="Calibri" w:cs="Calibri" w:eastAsia="Calibri" w:hAnsi="Calibri"/>
          <w:sz w:val="22"/>
          <w:szCs w:val="22"/>
          <w:color w:val="auto"/>
        </w:rPr>
        <w:t>”) or the Nasdaq Stock</w:t>
      </w:r>
    </w:p>
    <w:p>
      <w:pPr>
        <w:spacing w:after="0" w:line="224" w:lineRule="exact"/>
        <w:rPr>
          <w:sz w:val="20"/>
          <w:szCs w:val="20"/>
          <w:color w:val="auto"/>
        </w:rPr>
      </w:pPr>
    </w:p>
    <w:p>
      <w:pPr>
        <w:ind w:left="5940"/>
        <w:spacing w:after="0"/>
        <w:rPr>
          <w:sz w:val="20"/>
          <w:szCs w:val="20"/>
          <w:color w:val="auto"/>
        </w:rPr>
      </w:pPr>
      <w:r>
        <w:rPr>
          <w:rFonts w:ascii="Calibri" w:cs="Calibri" w:eastAsia="Calibri" w:hAnsi="Calibri"/>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6" w:name="page137"/>
    <w:bookmarkEnd w:id="136"/>
    <w:p>
      <w:pPr>
        <w:spacing w:after="0" w:line="251" w:lineRule="exact"/>
        <w:rPr>
          <w:sz w:val="20"/>
          <w:szCs w:val="20"/>
          <w:color w:val="auto"/>
        </w:rPr>
      </w:pPr>
    </w:p>
    <w:p>
      <w:pPr>
        <w:ind w:right="360"/>
        <w:spacing w:after="0" w:line="235" w:lineRule="auto"/>
        <w:rPr>
          <w:sz w:val="20"/>
          <w:szCs w:val="20"/>
          <w:color w:val="auto"/>
        </w:rPr>
      </w:pPr>
      <w:r>
        <w:rPr>
          <w:rFonts w:ascii="Calibri" w:cs="Calibri" w:eastAsia="Calibri" w:hAnsi="Calibri"/>
          <w:sz w:val="22"/>
          <w:szCs w:val="22"/>
          <w:color w:val="auto"/>
        </w:rPr>
        <w:t>Market (“</w:t>
      </w:r>
      <w:r>
        <w:rPr>
          <w:rFonts w:ascii="Calibri" w:cs="Calibri" w:eastAsia="Calibri" w:hAnsi="Calibri"/>
          <w:sz w:val="22"/>
          <w:szCs w:val="22"/>
          <w:u w:val="single" w:color="auto"/>
          <w:color w:val="auto"/>
        </w:rPr>
        <w:t>Nasdaq</w:t>
      </w:r>
      <w:r>
        <w:rPr>
          <w:rFonts w:ascii="Calibri" w:cs="Calibri" w:eastAsia="Calibri" w:hAnsi="Calibri"/>
          <w:sz w:val="22"/>
          <w:szCs w:val="22"/>
          <w:color w:val="auto"/>
        </w:rPr>
        <w:t>”) between 9:30 a.m. and 4:00 p.m. Eastern Time (or such earlier closing tme as has been set by exchange rules) has occurred.</w:t>
      </w:r>
    </w:p>
    <w:p>
      <w:pPr>
        <w:spacing w:after="0" w:line="230" w:lineRule="exact"/>
        <w:rPr>
          <w:sz w:val="20"/>
          <w:szCs w:val="20"/>
          <w:color w:val="auto"/>
        </w:rPr>
      </w:pPr>
    </w:p>
    <w:p>
      <w:pPr>
        <w:ind w:right="140" w:firstLine="749"/>
        <w:spacing w:after="0" w:line="238" w:lineRule="auto"/>
        <w:rPr>
          <w:sz w:val="20"/>
          <w:szCs w:val="20"/>
          <w:color w:val="auto"/>
        </w:rPr>
      </w:pPr>
      <w:r>
        <w:rPr>
          <w:rFonts w:ascii="Calibri" w:cs="Calibri" w:eastAsia="Calibri" w:hAnsi="Calibri"/>
          <w:sz w:val="22"/>
          <w:szCs w:val="22"/>
          <w:color w:val="auto"/>
        </w:rPr>
        <w:t>For example, if the Company publicly discloses material nonpublic informaton of which you are aware before trading begins on a Tuesday, the frst tme you can buy or sell Company securites is the opening of the market on Wednesday. However, if the Company publicly discloses this material informaton afer trading begins on a Tuesday, the frst tme that you can buy or sell Company securites is the opening of the market on Thursday.</w:t>
      </w:r>
    </w:p>
    <w:p>
      <w:pPr>
        <w:spacing w:after="0" w:line="218" w:lineRule="exact"/>
        <w:rPr>
          <w:sz w:val="20"/>
          <w:szCs w:val="20"/>
          <w:color w:val="auto"/>
        </w:rPr>
      </w:pPr>
    </w:p>
    <w:p>
      <w:pPr>
        <w:ind w:left="760" w:hanging="752"/>
        <w:spacing w:after="0"/>
        <w:tabs>
          <w:tab w:leader="none" w:pos="760" w:val="left"/>
        </w:tabs>
        <w:numPr>
          <w:ilvl w:val="0"/>
          <w:numId w:val="88"/>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What are the Penaltes for Insider Trading and Noncompliance with this Insider Trading Policy?</w:t>
      </w:r>
    </w:p>
    <w:p>
      <w:pPr>
        <w:spacing w:after="0" w:line="230" w:lineRule="exact"/>
        <w:rPr>
          <w:sz w:val="20"/>
          <w:szCs w:val="20"/>
          <w:color w:val="auto"/>
        </w:rPr>
      </w:pPr>
    </w:p>
    <w:p>
      <w:pPr>
        <w:ind w:right="60" w:firstLine="738"/>
        <w:spacing w:after="0" w:line="238" w:lineRule="auto"/>
        <w:rPr>
          <w:sz w:val="20"/>
          <w:szCs w:val="20"/>
          <w:color w:val="auto"/>
        </w:rPr>
      </w:pPr>
      <w:r>
        <w:rPr>
          <w:rFonts w:ascii="Calibri" w:cs="Calibri" w:eastAsia="Calibri" w:hAnsi="Calibri"/>
          <w:sz w:val="22"/>
          <w:szCs w:val="22"/>
          <w:color w:val="auto"/>
        </w:rPr>
        <w:t>Both the SEC and the natonal securites exchanges, through the Financial Industry Regulatory Authority (“FINRA”), investgate and are very efectve at detectng insider trading. The U.S. government pursues insider trading violatons vigorously. For instance, cases have been successfully prosecuted against trading by employees in foreign accounts, trading by family members and friends of insiders, and trading involving only a small number of shares.</w:t>
      </w:r>
    </w:p>
    <w:p>
      <w:pPr>
        <w:spacing w:after="0" w:line="220"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The penaltes for violatng rules against insider trading or tpping rules can be severe and include:</w:t>
      </w:r>
    </w:p>
    <w:p>
      <w:pPr>
        <w:spacing w:after="0" w:line="217" w:lineRule="exact"/>
        <w:rPr>
          <w:sz w:val="20"/>
          <w:szCs w:val="20"/>
          <w:color w:val="auto"/>
        </w:rPr>
      </w:pPr>
    </w:p>
    <w:p>
      <w:pPr>
        <w:ind w:left="1140" w:hanging="383"/>
        <w:spacing w:after="0"/>
        <w:tabs>
          <w:tab w:leader="none" w:pos="1140" w:val="left"/>
        </w:tabs>
        <w:numPr>
          <w:ilvl w:val="0"/>
          <w:numId w:val="89"/>
        </w:numPr>
        <w:rPr>
          <w:rFonts w:ascii="Times New Roman" w:cs="Times New Roman" w:eastAsia="Times New Roman" w:hAnsi="Times New Roman"/>
          <w:sz w:val="22"/>
          <w:szCs w:val="22"/>
          <w:color w:val="auto"/>
        </w:rPr>
      </w:pPr>
      <w:r>
        <w:rPr>
          <w:rFonts w:ascii="Calibri" w:cs="Calibri" w:eastAsia="Calibri" w:hAnsi="Calibri"/>
          <w:sz w:val="22"/>
          <w:szCs w:val="22"/>
          <w:color w:val="auto"/>
        </w:rPr>
        <w:t>forfeitng any proft gained or loss avoided by the trading;</w:t>
      </w:r>
    </w:p>
    <w:p>
      <w:pPr>
        <w:spacing w:after="0" w:line="228" w:lineRule="exact"/>
        <w:rPr>
          <w:rFonts w:ascii="Times New Roman" w:cs="Times New Roman" w:eastAsia="Times New Roman" w:hAnsi="Times New Roman"/>
          <w:sz w:val="22"/>
          <w:szCs w:val="22"/>
          <w:color w:val="auto"/>
        </w:rPr>
      </w:pPr>
    </w:p>
    <w:p>
      <w:pPr>
        <w:ind w:left="1140" w:right="120" w:hanging="383"/>
        <w:spacing w:after="0" w:line="235" w:lineRule="auto"/>
        <w:tabs>
          <w:tab w:leader="none" w:pos="1140" w:val="left"/>
        </w:tabs>
        <w:numPr>
          <w:ilvl w:val="0"/>
          <w:numId w:val="89"/>
        </w:numPr>
        <w:rPr>
          <w:rFonts w:ascii="Times New Roman" w:cs="Times New Roman" w:eastAsia="Times New Roman" w:hAnsi="Times New Roman"/>
          <w:sz w:val="22"/>
          <w:szCs w:val="22"/>
          <w:color w:val="auto"/>
        </w:rPr>
      </w:pPr>
      <w:r>
        <w:rPr>
          <w:rFonts w:ascii="Calibri" w:cs="Calibri" w:eastAsia="Calibri" w:hAnsi="Calibri"/>
          <w:sz w:val="22"/>
          <w:szCs w:val="22"/>
          <w:color w:val="auto"/>
        </w:rPr>
        <w:t>payment of the loss sufered by the persons who, contemporaneously with the purchase or sale of securites that are subject of such violaton, have purchased or sold, as applicable, securites of the same class;</w:t>
      </w:r>
    </w:p>
    <w:p>
      <w:pPr>
        <w:spacing w:after="0" w:line="219"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9"/>
        </w:numPr>
        <w:rPr>
          <w:rFonts w:ascii="Times New Roman" w:cs="Times New Roman" w:eastAsia="Times New Roman" w:hAnsi="Times New Roman"/>
          <w:sz w:val="22"/>
          <w:szCs w:val="22"/>
          <w:color w:val="auto"/>
        </w:rPr>
      </w:pPr>
      <w:r>
        <w:rPr>
          <w:rFonts w:ascii="Calibri" w:cs="Calibri" w:eastAsia="Calibri" w:hAnsi="Calibri"/>
          <w:sz w:val="22"/>
          <w:szCs w:val="22"/>
          <w:color w:val="auto"/>
        </w:rPr>
        <w:t>payment of criminal penaltes of up to $5,000,000;</w:t>
      </w:r>
    </w:p>
    <w:p>
      <w:pPr>
        <w:spacing w:after="0" w:line="215"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9"/>
        </w:numPr>
        <w:rPr>
          <w:rFonts w:ascii="Times New Roman" w:cs="Times New Roman" w:eastAsia="Times New Roman" w:hAnsi="Times New Roman"/>
          <w:sz w:val="22"/>
          <w:szCs w:val="22"/>
          <w:color w:val="auto"/>
        </w:rPr>
      </w:pPr>
      <w:r>
        <w:rPr>
          <w:rFonts w:ascii="Calibri" w:cs="Calibri" w:eastAsia="Calibri" w:hAnsi="Calibri"/>
          <w:sz w:val="22"/>
          <w:szCs w:val="22"/>
          <w:color w:val="auto"/>
        </w:rPr>
        <w:t>payment of civil penaltes of up to three tmes the proft made or loss avoided; and</w:t>
      </w:r>
    </w:p>
    <w:p>
      <w:pPr>
        <w:spacing w:after="0" w:line="219"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9"/>
        </w:numPr>
        <w:rPr>
          <w:rFonts w:ascii="Times New Roman" w:cs="Times New Roman" w:eastAsia="Times New Roman" w:hAnsi="Times New Roman"/>
          <w:sz w:val="22"/>
          <w:szCs w:val="22"/>
          <w:color w:val="auto"/>
        </w:rPr>
      </w:pPr>
      <w:r>
        <w:rPr>
          <w:rFonts w:ascii="Calibri" w:cs="Calibri" w:eastAsia="Calibri" w:hAnsi="Calibri"/>
          <w:sz w:val="22"/>
          <w:szCs w:val="22"/>
          <w:color w:val="auto"/>
        </w:rPr>
        <w:t>imprisonment for up to 20 years.</w:t>
      </w:r>
    </w:p>
    <w:p>
      <w:pPr>
        <w:spacing w:after="0" w:line="228" w:lineRule="exact"/>
        <w:rPr>
          <w:sz w:val="20"/>
          <w:szCs w:val="20"/>
          <w:color w:val="auto"/>
        </w:rPr>
      </w:pPr>
    </w:p>
    <w:p>
      <w:pPr>
        <w:ind w:right="80" w:firstLine="749"/>
        <w:spacing w:after="0" w:line="237" w:lineRule="auto"/>
        <w:rPr>
          <w:sz w:val="20"/>
          <w:szCs w:val="20"/>
          <w:color w:val="auto"/>
        </w:rPr>
      </w:pPr>
      <w:r>
        <w:rPr>
          <w:rFonts w:ascii="Calibri" w:cs="Calibri" w:eastAsia="Calibri" w:hAnsi="Calibri"/>
          <w:sz w:val="22"/>
          <w:szCs w:val="22"/>
          <w:color w:val="auto"/>
        </w:rPr>
        <w:t>The Company and/or the supervisors of the person engaged in insider trading may also be required to pay civil penaltes or fnes of $2 million or more, up to three tmes the proft made or loss avoided, as well as criminal penaltes of up to $25,000,000, and could under certain circumstances be subject to private lawsuits.</w:t>
      </w:r>
    </w:p>
    <w:p>
      <w:pPr>
        <w:spacing w:after="0" w:line="230" w:lineRule="exact"/>
        <w:rPr>
          <w:sz w:val="20"/>
          <w:szCs w:val="20"/>
          <w:color w:val="auto"/>
        </w:rPr>
      </w:pPr>
    </w:p>
    <w:p>
      <w:pPr>
        <w:ind w:firstLine="749"/>
        <w:spacing w:after="0" w:line="239" w:lineRule="auto"/>
        <w:rPr>
          <w:sz w:val="20"/>
          <w:szCs w:val="20"/>
          <w:color w:val="auto"/>
        </w:rPr>
      </w:pPr>
      <w:r>
        <w:rPr>
          <w:rFonts w:ascii="Calibri" w:cs="Calibri" w:eastAsia="Calibri" w:hAnsi="Calibri"/>
          <w:sz w:val="22"/>
          <w:szCs w:val="22"/>
          <w:color w:val="auto"/>
        </w:rPr>
        <w:t>Violaton of this Insider Trading Policy or any federal or state insider trading laws may subject you to disciplinary acton by the Company, including terminaton of your employment or other relatonship with the Company. The Company reserves the right to determine, in its own discreton and on the basis of the informaton available to it, whether this Insider Trading Policy has been violated. The Company may determine that specifc conduct violates this Insider Trading Policy, whether or not it also violates the law. It is not necessary for the Company to await the fling or conclusion of a civil or criminal acton against an alleged violator before taking disciplinary acton.</w:t>
      </w:r>
    </w:p>
    <w:p>
      <w:pPr>
        <w:spacing w:after="0" w:line="219" w:lineRule="exact"/>
        <w:rPr>
          <w:sz w:val="20"/>
          <w:szCs w:val="20"/>
          <w:color w:val="auto"/>
        </w:rPr>
      </w:pPr>
    </w:p>
    <w:p>
      <w:pPr>
        <w:ind w:left="5940"/>
        <w:spacing w:after="0"/>
        <w:rPr>
          <w:sz w:val="20"/>
          <w:szCs w:val="20"/>
          <w:color w:val="auto"/>
        </w:rPr>
      </w:pPr>
      <w:r>
        <w:rPr>
          <w:rFonts w:ascii="Calibri" w:cs="Calibri" w:eastAsia="Calibri" w:hAnsi="Calibri"/>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7" w:name="page138"/>
    <w:bookmarkEnd w:id="137"/>
    <w:p>
      <w:pPr>
        <w:spacing w:after="0" w:line="240" w:lineRule="exact"/>
        <w:rPr>
          <w:sz w:val="20"/>
          <w:szCs w:val="20"/>
          <w:color w:val="auto"/>
        </w:rPr>
      </w:pPr>
    </w:p>
    <w:p>
      <w:pPr>
        <w:ind w:left="760" w:hanging="752"/>
        <w:spacing w:after="0"/>
        <w:tabs>
          <w:tab w:leader="none" w:pos="760" w:val="left"/>
        </w:tabs>
        <w:numPr>
          <w:ilvl w:val="0"/>
          <w:numId w:val="90"/>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How Do You Report a Violaton of this Insider Trading Policy?</w:t>
      </w:r>
    </w:p>
    <w:p>
      <w:pPr>
        <w:spacing w:after="0" w:line="228" w:lineRule="exact"/>
        <w:rPr>
          <w:sz w:val="20"/>
          <w:szCs w:val="20"/>
          <w:color w:val="auto"/>
        </w:rPr>
      </w:pPr>
    </w:p>
    <w:p>
      <w:pPr>
        <w:ind w:right="80" w:firstLine="749"/>
        <w:spacing w:after="0" w:line="238" w:lineRule="auto"/>
        <w:rPr>
          <w:sz w:val="20"/>
          <w:szCs w:val="20"/>
          <w:color w:val="auto"/>
        </w:rPr>
      </w:pPr>
      <w:r>
        <w:rPr>
          <w:rFonts w:ascii="Calibri" w:cs="Calibri" w:eastAsia="Calibri" w:hAnsi="Calibri"/>
          <w:sz w:val="22"/>
          <w:szCs w:val="22"/>
          <w:color w:val="auto"/>
        </w:rPr>
        <w:t>If you have a queston about this Insider Trading Policy, including whether certain informaton you are aware of is material or has been made public, you should consult with the Compliance Ofcer. In additon, if you violate this Insider Trading Policy or any federal or state laws governing insider trading, or know of any such violaton by any director or employee of the Company, you should report the violaton immediately to the Compliance Ofcer.</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PART II. TRADING PROCEDURES</w:t>
      </w:r>
    </w:p>
    <w:p>
      <w:pPr>
        <w:spacing w:after="0" w:line="219" w:lineRule="exact"/>
        <w:rPr>
          <w:sz w:val="20"/>
          <w:szCs w:val="20"/>
          <w:color w:val="auto"/>
        </w:rPr>
      </w:pPr>
    </w:p>
    <w:p>
      <w:pPr>
        <w:ind w:left="760" w:hanging="752"/>
        <w:spacing w:after="0"/>
        <w:tabs>
          <w:tab w:leader="none" w:pos="760" w:val="left"/>
        </w:tabs>
        <w:numPr>
          <w:ilvl w:val="0"/>
          <w:numId w:val="91"/>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Special Trading Restrictons Applicable to Insiders</w:t>
      </w:r>
    </w:p>
    <w:p>
      <w:pPr>
        <w:spacing w:after="0" w:line="228" w:lineRule="exact"/>
        <w:rPr>
          <w:sz w:val="20"/>
          <w:szCs w:val="20"/>
          <w:color w:val="auto"/>
        </w:rPr>
      </w:pPr>
    </w:p>
    <w:p>
      <w:pPr>
        <w:ind w:right="280" w:firstLine="749"/>
        <w:spacing w:after="0" w:line="235" w:lineRule="auto"/>
        <w:rPr>
          <w:sz w:val="20"/>
          <w:szCs w:val="20"/>
          <w:color w:val="auto"/>
        </w:rPr>
      </w:pPr>
      <w:r>
        <w:rPr>
          <w:rFonts w:ascii="Calibri" w:cs="Calibri" w:eastAsia="Calibri" w:hAnsi="Calibri"/>
          <w:sz w:val="22"/>
          <w:szCs w:val="22"/>
          <w:color w:val="auto"/>
        </w:rPr>
        <w:t>In additon to needing to comply with the restrictons on trading in Company securites set forth above, Insiders and their Afliated Persons are subject to the following special trading restrictons:</w:t>
      </w:r>
    </w:p>
    <w:p>
      <w:pPr>
        <w:spacing w:after="0" w:line="220" w:lineRule="exact"/>
        <w:rPr>
          <w:sz w:val="20"/>
          <w:szCs w:val="20"/>
          <w:color w:val="auto"/>
        </w:rPr>
      </w:pPr>
    </w:p>
    <w:p>
      <w:pPr>
        <w:ind w:left="1500" w:hanging="743"/>
        <w:spacing w:after="0"/>
        <w:tabs>
          <w:tab w:leader="none" w:pos="1500" w:val="left"/>
        </w:tabs>
        <w:numPr>
          <w:ilvl w:val="0"/>
          <w:numId w:val="92"/>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Insider Trading Policy Modifcaton</w:t>
      </w:r>
    </w:p>
    <w:p>
      <w:pPr>
        <w:spacing w:after="0" w:line="228" w:lineRule="exact"/>
        <w:rPr>
          <w:sz w:val="20"/>
          <w:szCs w:val="20"/>
          <w:color w:val="auto"/>
        </w:rPr>
      </w:pPr>
    </w:p>
    <w:p>
      <w:pPr>
        <w:ind w:firstLine="749"/>
        <w:spacing w:after="0" w:line="239" w:lineRule="auto"/>
        <w:rPr>
          <w:sz w:val="20"/>
          <w:szCs w:val="20"/>
          <w:color w:val="auto"/>
        </w:rPr>
      </w:pPr>
      <w:r>
        <w:rPr>
          <w:rFonts w:ascii="Calibri" w:cs="Calibri" w:eastAsia="Calibri" w:hAnsi="Calibri"/>
          <w:sz w:val="22"/>
          <w:szCs w:val="22"/>
          <w:color w:val="auto"/>
        </w:rPr>
        <w:t>The Company may at any tme change this Insider Trading Policy or adopt such other policies or procedures which it considers appropriate to carry out the purposes of its policies regarding insider trading and the disclosure of Company informaton. Notce of any such change will be delivered to you by regular or electronic mail (or other delivery opton used by the Company) by the Company. You will be deemed to have received, be bound by and agree to revisions of this Insider Trading Policy when such revisions have been delivered to you, unless you object to any revision in a writen statement received by the Compliance Ofcer within two (2) business days of such delivery</w:t>
      </w:r>
      <w:r>
        <w:rPr>
          <w:rFonts w:ascii="Calibri" w:cs="Calibri" w:eastAsia="Calibri" w:hAnsi="Calibri"/>
          <w:sz w:val="22"/>
          <w:szCs w:val="22"/>
          <w:b w:val="1"/>
          <w:bCs w:val="1"/>
          <w:color w:val="auto"/>
        </w:rPr>
        <w:t>.</w:t>
      </w:r>
    </w:p>
    <w:p>
      <w:pPr>
        <w:spacing w:after="0" w:line="221" w:lineRule="exact"/>
        <w:rPr>
          <w:sz w:val="20"/>
          <w:szCs w:val="20"/>
          <w:color w:val="auto"/>
        </w:rPr>
      </w:pPr>
    </w:p>
    <w:p>
      <w:pPr>
        <w:ind w:left="1500" w:hanging="743"/>
        <w:spacing w:after="0"/>
        <w:tabs>
          <w:tab w:leader="none" w:pos="1500" w:val="left"/>
        </w:tabs>
        <w:numPr>
          <w:ilvl w:val="0"/>
          <w:numId w:val="9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Prohibited Transactons</w:t>
      </w:r>
    </w:p>
    <w:p>
      <w:pPr>
        <w:spacing w:after="0" w:line="227" w:lineRule="exact"/>
        <w:rPr>
          <w:rFonts w:ascii="Calibri" w:cs="Calibri" w:eastAsia="Calibri" w:hAnsi="Calibri"/>
          <w:sz w:val="22"/>
          <w:szCs w:val="22"/>
          <w:b w:val="1"/>
          <w:bCs w:val="1"/>
          <w:color w:val="auto"/>
        </w:rPr>
      </w:pPr>
    </w:p>
    <w:p>
      <w:pPr>
        <w:ind w:left="1880" w:right="20" w:hanging="375"/>
        <w:spacing w:after="0"/>
        <w:tabs>
          <w:tab w:leader="none" w:pos="1880" w:val="left"/>
        </w:tabs>
        <w:numPr>
          <w:ilvl w:val="1"/>
          <w:numId w:val="93"/>
        </w:numPr>
        <w:rPr>
          <w:rFonts w:ascii="Times New Roman" w:cs="Times New Roman" w:eastAsia="Times New Roman" w:hAnsi="Times New Roman"/>
          <w:sz w:val="22"/>
          <w:szCs w:val="22"/>
          <w:color w:val="auto"/>
        </w:rPr>
      </w:pPr>
      <w:r>
        <w:rPr>
          <w:rFonts w:ascii="Calibri" w:cs="Calibri" w:eastAsia="Calibri" w:hAnsi="Calibri"/>
          <w:sz w:val="22"/>
          <w:szCs w:val="22"/>
          <w:b w:val="1"/>
          <w:bCs w:val="1"/>
          <w:i w:val="1"/>
          <w:iCs w:val="1"/>
          <w:color w:val="auto"/>
        </w:rPr>
        <w:t>No Trading During Special Blackout Windows</w:t>
      </w:r>
      <w:r>
        <w:rPr>
          <w:rFonts w:ascii="Calibri" w:cs="Calibri" w:eastAsia="Calibri" w:hAnsi="Calibri"/>
          <w:sz w:val="22"/>
          <w:szCs w:val="22"/>
          <w:color w:val="auto"/>
        </w:rPr>
        <w:t>. There are tmes when the Company or certain members of</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its board of directors or senior management or support staf may be aware of a material, nonpublic development. Although an Insider may not know the specifcs of such development, if an Insider engages in a trade before such development is disclosed to the public or resolved, such Insider and the Company might be exposed to a charge of insider trading that could be costly and difcult to refute. In additon, a trade by an Insider during such a period could result in adverse publicity for the Company. Therefore, Insiders may not trade in Company securites if they are notfed by the Compliance Ofcer that the trading window is closed because of the existence of a material, nonpublic development. The Compliance Ofcer will subsequently notfy the Insiders once the material, nonpublic development is disclosed to the public or resolved and that, as a result, the trading window is again open. While the Compliance Ofcer will undertake reasonable eforts to notfy the Insiders that material, nonpublic events have developed, or are soon likely to develop, it is each Insider’s individual duty to ensure that they do not make any trade in Company securites when</w:t>
      </w:r>
    </w:p>
    <w:p>
      <w:pPr>
        <w:spacing w:after="0" w:line="222" w:lineRule="exact"/>
        <w:rPr>
          <w:sz w:val="20"/>
          <w:szCs w:val="20"/>
          <w:color w:val="auto"/>
        </w:rPr>
      </w:pPr>
    </w:p>
    <w:p>
      <w:pPr>
        <w:ind w:left="5940"/>
        <w:spacing w:after="0"/>
        <w:rPr>
          <w:sz w:val="20"/>
          <w:szCs w:val="20"/>
          <w:color w:val="auto"/>
        </w:rPr>
      </w:pPr>
      <w:r>
        <w:rPr>
          <w:rFonts w:ascii="Calibri" w:cs="Calibri" w:eastAsia="Calibri" w:hAnsi="Calibri"/>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8" w:name="page139"/>
    <w:bookmarkEnd w:id="138"/>
    <w:p>
      <w:pPr>
        <w:spacing w:after="0" w:line="251" w:lineRule="exact"/>
        <w:rPr>
          <w:sz w:val="20"/>
          <w:szCs w:val="20"/>
          <w:color w:val="auto"/>
        </w:rPr>
      </w:pPr>
    </w:p>
    <w:p>
      <w:pPr>
        <w:ind w:left="1880"/>
        <w:spacing w:after="0"/>
        <w:rPr>
          <w:sz w:val="20"/>
          <w:szCs w:val="20"/>
          <w:color w:val="auto"/>
        </w:rPr>
      </w:pPr>
      <w:r>
        <w:rPr>
          <w:rFonts w:ascii="Calibri" w:cs="Calibri" w:eastAsia="Calibri" w:hAnsi="Calibri"/>
          <w:sz w:val="21"/>
          <w:szCs w:val="21"/>
          <w:color w:val="auto"/>
        </w:rPr>
        <w:t>material, nonpublic informaton exists, regardless of whether such Insider is aware of such development.</w:t>
      </w:r>
    </w:p>
    <w:p>
      <w:pPr>
        <w:spacing w:after="0" w:line="230" w:lineRule="exact"/>
        <w:rPr>
          <w:sz w:val="20"/>
          <w:szCs w:val="20"/>
          <w:color w:val="auto"/>
        </w:rPr>
      </w:pPr>
    </w:p>
    <w:p>
      <w:pPr>
        <w:ind w:left="1880" w:hanging="375"/>
        <w:spacing w:after="0" w:line="235" w:lineRule="auto"/>
        <w:tabs>
          <w:tab w:leader="none" w:pos="1880" w:val="left"/>
        </w:tabs>
        <w:numPr>
          <w:ilvl w:val="1"/>
          <w:numId w:val="94"/>
        </w:numPr>
        <w:rPr>
          <w:rFonts w:ascii="Times New Roman" w:cs="Times New Roman" w:eastAsia="Times New Roman" w:hAnsi="Times New Roman"/>
          <w:sz w:val="22"/>
          <w:szCs w:val="22"/>
          <w:color w:val="auto"/>
        </w:rPr>
      </w:pPr>
      <w:r>
        <w:rPr>
          <w:rFonts w:ascii="Calibri" w:cs="Calibri" w:eastAsia="Calibri" w:hAnsi="Calibri"/>
          <w:sz w:val="22"/>
          <w:szCs w:val="22"/>
          <w:b w:val="1"/>
          <w:bCs w:val="1"/>
          <w:i w:val="1"/>
          <w:iCs w:val="1"/>
          <w:color w:val="auto"/>
        </w:rPr>
        <w:t>No Short Sales</w:t>
      </w:r>
      <w:r>
        <w:rPr>
          <w:rFonts w:ascii="Calibri" w:cs="Calibri" w:eastAsia="Calibri" w:hAnsi="Calibri"/>
          <w:sz w:val="22"/>
          <w:szCs w:val="22"/>
          <w:color w:val="auto"/>
        </w:rPr>
        <w:t>. No Insider may at any tme sell any securites of the Company that are not owned by such</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Insider at the tme of the sale (a “short sale”).</w:t>
      </w:r>
    </w:p>
    <w:p>
      <w:pPr>
        <w:spacing w:after="0" w:line="230" w:lineRule="exact"/>
        <w:rPr>
          <w:rFonts w:ascii="Times New Roman" w:cs="Times New Roman" w:eastAsia="Times New Roman" w:hAnsi="Times New Roman"/>
          <w:sz w:val="22"/>
          <w:szCs w:val="22"/>
          <w:color w:val="auto"/>
        </w:rPr>
      </w:pPr>
    </w:p>
    <w:p>
      <w:pPr>
        <w:ind w:left="1880" w:right="20" w:hanging="375"/>
        <w:spacing w:after="0" w:line="241" w:lineRule="auto"/>
        <w:tabs>
          <w:tab w:leader="none" w:pos="1880" w:val="left"/>
        </w:tabs>
        <w:numPr>
          <w:ilvl w:val="1"/>
          <w:numId w:val="94"/>
        </w:numPr>
        <w:rPr>
          <w:rFonts w:ascii="Times New Roman" w:cs="Times New Roman" w:eastAsia="Times New Roman" w:hAnsi="Times New Roman"/>
          <w:sz w:val="22"/>
          <w:szCs w:val="22"/>
          <w:color w:val="auto"/>
        </w:rPr>
      </w:pPr>
      <w:r>
        <w:rPr>
          <w:rFonts w:ascii="Calibri" w:cs="Calibri" w:eastAsia="Calibri" w:hAnsi="Calibri"/>
          <w:sz w:val="22"/>
          <w:szCs w:val="22"/>
          <w:b w:val="1"/>
          <w:bCs w:val="1"/>
          <w:i w:val="1"/>
          <w:iCs w:val="1"/>
          <w:color w:val="auto"/>
        </w:rPr>
        <w:t>No Purchases or Sales of Derivatve Securites or Hedging Transactons</w:t>
      </w:r>
      <w:r>
        <w:rPr>
          <w:rFonts w:ascii="Calibri" w:cs="Calibri" w:eastAsia="Calibri" w:hAnsi="Calibri"/>
          <w:sz w:val="22"/>
          <w:szCs w:val="22"/>
          <w:i w:val="1"/>
          <w:iCs w:val="1"/>
          <w:color w:val="auto"/>
        </w:rPr>
        <w:t>.</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No Insider may buy or sell puts,</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calls, other derivatve securites of the Company or any derivatve securites that provide the economic equivalent of ownership of any of the Company’s securites or an opportunity, direct or indirect, to proft from any change in the value of the Company’s securites or engage in any other hedging transacton with respect to the Company’s securites, at any tme.</w:t>
      </w:r>
    </w:p>
    <w:p>
      <w:pPr>
        <w:spacing w:after="0" w:line="231" w:lineRule="exact"/>
        <w:rPr>
          <w:rFonts w:ascii="Times New Roman" w:cs="Times New Roman" w:eastAsia="Times New Roman" w:hAnsi="Times New Roman"/>
          <w:sz w:val="22"/>
          <w:szCs w:val="22"/>
          <w:color w:val="auto"/>
        </w:rPr>
      </w:pPr>
    </w:p>
    <w:p>
      <w:pPr>
        <w:ind w:left="1880" w:hanging="375"/>
        <w:spacing w:after="0" w:line="235" w:lineRule="auto"/>
        <w:tabs>
          <w:tab w:leader="none" w:pos="1880" w:val="left"/>
        </w:tabs>
        <w:numPr>
          <w:ilvl w:val="1"/>
          <w:numId w:val="94"/>
        </w:numPr>
        <w:rPr>
          <w:rFonts w:ascii="Times New Roman" w:cs="Times New Roman" w:eastAsia="Times New Roman" w:hAnsi="Times New Roman"/>
          <w:sz w:val="22"/>
          <w:szCs w:val="22"/>
          <w:color w:val="auto"/>
        </w:rPr>
      </w:pPr>
      <w:r>
        <w:rPr>
          <w:rFonts w:ascii="Calibri" w:cs="Calibri" w:eastAsia="Calibri" w:hAnsi="Calibri"/>
          <w:sz w:val="22"/>
          <w:szCs w:val="22"/>
          <w:b w:val="1"/>
          <w:bCs w:val="1"/>
          <w:i w:val="1"/>
          <w:iCs w:val="1"/>
          <w:color w:val="auto"/>
        </w:rPr>
        <w:t>No Company Securites Subject to Margin Calls</w:t>
      </w:r>
      <w:r>
        <w:rPr>
          <w:rFonts w:ascii="Calibri" w:cs="Calibri" w:eastAsia="Calibri" w:hAnsi="Calibri"/>
          <w:sz w:val="22"/>
          <w:szCs w:val="22"/>
          <w:i w:val="1"/>
          <w:iCs w:val="1"/>
          <w:color w:val="auto"/>
        </w:rPr>
        <w:t>.</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No Insider may use the Company’s securites as collateral</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in a margin account.</w:t>
      </w:r>
    </w:p>
    <w:p>
      <w:pPr>
        <w:spacing w:after="0" w:line="230" w:lineRule="exact"/>
        <w:rPr>
          <w:rFonts w:ascii="Times New Roman" w:cs="Times New Roman" w:eastAsia="Times New Roman" w:hAnsi="Times New Roman"/>
          <w:sz w:val="22"/>
          <w:szCs w:val="22"/>
          <w:color w:val="auto"/>
        </w:rPr>
      </w:pPr>
    </w:p>
    <w:p>
      <w:pPr>
        <w:ind w:left="1880" w:right="480" w:hanging="375"/>
        <w:spacing w:after="0" w:line="235" w:lineRule="auto"/>
        <w:tabs>
          <w:tab w:leader="none" w:pos="1880" w:val="left"/>
        </w:tabs>
        <w:numPr>
          <w:ilvl w:val="1"/>
          <w:numId w:val="94"/>
        </w:numPr>
        <w:rPr>
          <w:rFonts w:ascii="Times New Roman" w:cs="Times New Roman" w:eastAsia="Times New Roman" w:hAnsi="Times New Roman"/>
          <w:sz w:val="22"/>
          <w:szCs w:val="22"/>
          <w:color w:val="auto"/>
        </w:rPr>
      </w:pPr>
      <w:r>
        <w:rPr>
          <w:rFonts w:ascii="Calibri" w:cs="Calibri" w:eastAsia="Calibri" w:hAnsi="Calibri"/>
          <w:sz w:val="22"/>
          <w:szCs w:val="22"/>
          <w:b w:val="1"/>
          <w:bCs w:val="1"/>
          <w:i w:val="1"/>
          <w:iCs w:val="1"/>
          <w:color w:val="auto"/>
        </w:rPr>
        <w:t>No Pledges</w:t>
      </w:r>
      <w:r>
        <w:rPr>
          <w:rFonts w:ascii="Calibri" w:cs="Calibri" w:eastAsia="Calibri" w:hAnsi="Calibri"/>
          <w:sz w:val="22"/>
          <w:szCs w:val="22"/>
          <w:color w:val="auto"/>
        </w:rPr>
        <w:t>. No Insider may pledge Company securites as collateral for a loan (or modify an existng</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pledge).</w:t>
      </w:r>
    </w:p>
    <w:p>
      <w:pPr>
        <w:spacing w:after="0" w:line="21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94"/>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Gifs and Other Distributons in Kind</w:t>
      </w:r>
      <w:r>
        <w:rPr>
          <w:rFonts w:ascii="Calibri" w:cs="Calibri" w:eastAsia="Calibri" w:hAnsi="Calibri"/>
          <w:sz w:val="22"/>
          <w:szCs w:val="22"/>
          <w:color w:val="auto"/>
        </w:rPr>
        <w:t>.</w:t>
      </w:r>
    </w:p>
    <w:p>
      <w:pPr>
        <w:spacing w:after="0" w:line="228" w:lineRule="exact"/>
        <w:rPr>
          <w:sz w:val="20"/>
          <w:szCs w:val="20"/>
          <w:color w:val="auto"/>
        </w:rPr>
      </w:pPr>
    </w:p>
    <w:p>
      <w:pPr>
        <w:ind w:right="40" w:firstLine="749"/>
        <w:spacing w:after="0" w:line="238" w:lineRule="auto"/>
        <w:rPr>
          <w:sz w:val="20"/>
          <w:szCs w:val="20"/>
          <w:color w:val="auto"/>
        </w:rPr>
      </w:pPr>
      <w:r>
        <w:rPr>
          <w:rFonts w:ascii="Calibri" w:cs="Calibri" w:eastAsia="Calibri" w:hAnsi="Calibri"/>
          <w:sz w:val="22"/>
          <w:szCs w:val="22"/>
          <w:color w:val="auto"/>
        </w:rPr>
        <w:t>No Insider may give or make any other transfer of Company securites without consideraton (e.g., a gif) during a period when the Insider is not permited to trade unless the donee agrees not to sell the shares untl such tme as the Insider is permited to sell. In additon to charitable donatons or gifs to family members, friends, trusts or others, this prohibiton applies to distributons to limited partners by limited partnerships that are subject to this Insider Trading Policy.</w:t>
      </w:r>
    </w:p>
    <w:p>
      <w:pPr>
        <w:spacing w:after="0" w:line="218" w:lineRule="exact"/>
        <w:rPr>
          <w:sz w:val="20"/>
          <w:szCs w:val="20"/>
          <w:color w:val="auto"/>
        </w:rPr>
      </w:pPr>
    </w:p>
    <w:p>
      <w:pPr>
        <w:ind w:left="1500" w:hanging="743"/>
        <w:spacing w:after="0"/>
        <w:tabs>
          <w:tab w:leader="none" w:pos="1500" w:val="left"/>
        </w:tabs>
        <w:numPr>
          <w:ilvl w:val="0"/>
          <w:numId w:val="95"/>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No Trading During Retrement Plan Blackout Periods</w:t>
      </w:r>
      <w:r>
        <w:rPr>
          <w:rFonts w:ascii="Calibri" w:cs="Calibri" w:eastAsia="Calibri" w:hAnsi="Calibri"/>
          <w:sz w:val="22"/>
          <w:szCs w:val="22"/>
          <w:color w:val="auto"/>
        </w:rPr>
        <w:t>.</w:t>
      </w:r>
    </w:p>
    <w:p>
      <w:pPr>
        <w:spacing w:after="0" w:line="230" w:lineRule="exact"/>
        <w:rPr>
          <w:sz w:val="20"/>
          <w:szCs w:val="20"/>
          <w:color w:val="auto"/>
        </w:rPr>
      </w:pPr>
    </w:p>
    <w:p>
      <w:pPr>
        <w:ind w:right="140" w:firstLine="749"/>
        <w:spacing w:after="0" w:line="239" w:lineRule="auto"/>
        <w:rPr>
          <w:sz w:val="20"/>
          <w:szCs w:val="20"/>
          <w:color w:val="auto"/>
        </w:rPr>
      </w:pPr>
      <w:r>
        <w:rPr>
          <w:rFonts w:ascii="Calibri" w:cs="Calibri" w:eastAsia="Calibri" w:hAnsi="Calibri"/>
          <w:sz w:val="22"/>
          <w:szCs w:val="22"/>
          <w:color w:val="auto"/>
        </w:rPr>
        <w:t>If the Company adopts a policy to allow ownership of Company stock in the Company’s 401(k) or other retrement plan, then during a retrement plan “blackout period ” no Insider may trade in any Company securites that were acquired in connecton with such Insider’s service or employment with the Company, except as specifcally permited below. A blackout period includes any period of more than three (3) consecutve business days during which at least ffy percent (50%) of all partcipants and benefciaries under all of the individual account plans maintained by the Company and members of its controlled group are prohibited from trading in Company securites through their plan accounts. Insiders will receive advance notce of any such blackout period from the Compliance Ofcer or his or her designee.</w:t>
      </w:r>
    </w:p>
    <w:p>
      <w:pPr>
        <w:spacing w:after="0" w:line="223" w:lineRule="exact"/>
        <w:rPr>
          <w:sz w:val="20"/>
          <w:szCs w:val="20"/>
          <w:color w:val="auto"/>
        </w:rPr>
      </w:pPr>
    </w:p>
    <w:p>
      <w:pPr>
        <w:ind w:left="5940"/>
        <w:spacing w:after="0"/>
        <w:rPr>
          <w:sz w:val="20"/>
          <w:szCs w:val="20"/>
          <w:color w:val="auto"/>
        </w:rPr>
      </w:pPr>
      <w:r>
        <w:rPr>
          <w:rFonts w:ascii="Calibri" w:cs="Calibri" w:eastAsia="Calibri" w:hAnsi="Calibri"/>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9" w:name="page140"/>
    <w:bookmarkEnd w:id="139"/>
    <w:p>
      <w:pPr>
        <w:spacing w:after="0" w:line="240" w:lineRule="exact"/>
        <w:rPr>
          <w:sz w:val="20"/>
          <w:szCs w:val="20"/>
          <w:color w:val="auto"/>
        </w:rPr>
      </w:pPr>
    </w:p>
    <w:p>
      <w:pPr>
        <w:ind w:left="760" w:hanging="752"/>
        <w:spacing w:after="0"/>
        <w:tabs>
          <w:tab w:leader="none" w:pos="760" w:val="left"/>
        </w:tabs>
        <w:numPr>
          <w:ilvl w:val="0"/>
          <w:numId w:val="96"/>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Pre-Clearance Procedures</w:t>
      </w:r>
    </w:p>
    <w:p>
      <w:pPr>
        <w:spacing w:after="0" w:line="228" w:lineRule="exact"/>
        <w:rPr>
          <w:sz w:val="20"/>
          <w:szCs w:val="20"/>
          <w:color w:val="auto"/>
        </w:rPr>
      </w:pPr>
    </w:p>
    <w:p>
      <w:pPr>
        <w:ind w:right="220" w:firstLine="749"/>
        <w:spacing w:after="0" w:line="239" w:lineRule="auto"/>
        <w:rPr>
          <w:sz w:val="20"/>
          <w:szCs w:val="20"/>
          <w:color w:val="auto"/>
        </w:rPr>
      </w:pPr>
      <w:r>
        <w:rPr>
          <w:rFonts w:ascii="Calibri" w:cs="Calibri" w:eastAsia="Calibri" w:hAnsi="Calibri"/>
          <w:sz w:val="22"/>
          <w:szCs w:val="22"/>
          <w:color w:val="auto"/>
        </w:rPr>
        <w:t>No Insider may trade in Company securites unless the trade has been approved by the Compliance Ofcer in accordance with the procedures set forth below. The Compliance Ofcer will review and either approve or prohibit all proposed trades by Insiders in accordance with the procedures set forth below. The Compliance Ofcer may consult with the Company’s other ofcers and/or outside legal counsel and will receive approval for his own trades from the Chief Financial Ofcer.</w:t>
      </w:r>
    </w:p>
    <w:p>
      <w:pPr>
        <w:spacing w:after="0" w:line="216" w:lineRule="exact"/>
        <w:rPr>
          <w:sz w:val="20"/>
          <w:szCs w:val="20"/>
          <w:color w:val="auto"/>
        </w:rPr>
      </w:pPr>
    </w:p>
    <w:p>
      <w:pPr>
        <w:ind w:left="1500" w:hanging="743"/>
        <w:spacing w:after="0"/>
        <w:tabs>
          <w:tab w:leader="none" w:pos="1500" w:val="left"/>
        </w:tabs>
        <w:numPr>
          <w:ilvl w:val="0"/>
          <w:numId w:val="9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Procedures. </w:t>
      </w:r>
      <w:r>
        <w:rPr>
          <w:rFonts w:ascii="Calibri" w:cs="Calibri" w:eastAsia="Calibri" w:hAnsi="Calibri"/>
          <w:sz w:val="22"/>
          <w:szCs w:val="22"/>
          <w:color w:val="auto"/>
        </w:rPr>
        <w:t>No Insider may trade in Company securites untl:</w:t>
      </w:r>
    </w:p>
    <w:p>
      <w:pPr>
        <w:spacing w:after="0" w:line="230" w:lineRule="exact"/>
        <w:rPr>
          <w:rFonts w:ascii="Calibri" w:cs="Calibri" w:eastAsia="Calibri" w:hAnsi="Calibri"/>
          <w:sz w:val="22"/>
          <w:szCs w:val="22"/>
          <w:b w:val="1"/>
          <w:bCs w:val="1"/>
          <w:color w:val="auto"/>
        </w:rPr>
      </w:pPr>
    </w:p>
    <w:p>
      <w:pPr>
        <w:ind w:left="1880" w:hanging="375"/>
        <w:spacing w:after="0" w:line="238" w:lineRule="auto"/>
        <w:tabs>
          <w:tab w:leader="none" w:pos="1880" w:val="left"/>
        </w:tabs>
        <w:numPr>
          <w:ilvl w:val="1"/>
          <w:numId w:val="9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Insider has notfed the Compliance Ofcer of the amount and nature of the proposed trade(s) using the Stock Transacton Request form atached to this Insider Trading Policy. In order to provide adequate tme for the preparaton of any required reports under Secton 16 of the Exchange Act, a Stock Transacton Request form should, if practcable, be received by the Compliance Ofcer at least two (2) business days prior to the intended trade date;</w:t>
      </w:r>
    </w:p>
    <w:p>
      <w:pPr>
        <w:spacing w:after="0" w:line="234" w:lineRule="exact"/>
        <w:rPr>
          <w:rFonts w:ascii="Times New Roman" w:cs="Times New Roman" w:eastAsia="Times New Roman" w:hAnsi="Times New Roman"/>
          <w:sz w:val="22"/>
          <w:szCs w:val="22"/>
          <w:color w:val="auto"/>
        </w:rPr>
      </w:pPr>
    </w:p>
    <w:p>
      <w:pPr>
        <w:ind w:left="1880" w:hanging="375"/>
        <w:spacing w:after="0" w:line="235" w:lineRule="auto"/>
        <w:tabs>
          <w:tab w:leader="none" w:pos="1880" w:val="left"/>
        </w:tabs>
        <w:numPr>
          <w:ilvl w:val="1"/>
          <w:numId w:val="9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Insider has certfed to the Compliance Ofcer in writng prior to the proposed trade(s) that the Insider is not in possession of material, nonpublic informaton concerning the Company;</w:t>
      </w:r>
    </w:p>
    <w:p>
      <w:pPr>
        <w:spacing w:after="0" w:line="230" w:lineRule="exact"/>
        <w:rPr>
          <w:rFonts w:ascii="Times New Roman" w:cs="Times New Roman" w:eastAsia="Times New Roman" w:hAnsi="Times New Roman"/>
          <w:sz w:val="22"/>
          <w:szCs w:val="22"/>
          <w:color w:val="auto"/>
        </w:rPr>
      </w:pPr>
    </w:p>
    <w:p>
      <w:pPr>
        <w:ind w:left="1880" w:right="60" w:hanging="375"/>
        <w:spacing w:after="0" w:line="239" w:lineRule="auto"/>
        <w:tabs>
          <w:tab w:leader="none" w:pos="1880" w:val="left"/>
        </w:tabs>
        <w:numPr>
          <w:ilvl w:val="1"/>
          <w:numId w:val="97"/>
        </w:numPr>
        <w:rPr>
          <w:rFonts w:ascii="Times New Roman" w:cs="Times New Roman" w:eastAsia="Times New Roman" w:hAnsi="Times New Roman"/>
          <w:sz w:val="22"/>
          <w:szCs w:val="22"/>
          <w:color w:val="auto"/>
        </w:rPr>
      </w:pPr>
      <w:r>
        <w:rPr>
          <w:rFonts w:ascii="Calibri" w:cs="Calibri" w:eastAsia="Calibri" w:hAnsi="Calibri"/>
          <w:sz w:val="22"/>
          <w:szCs w:val="22"/>
          <w:color w:val="auto"/>
        </w:rPr>
        <w:t>If the insider is an executve ofcer or director, the Insider has informed the Compliance Ofcer, using the Stock Transacton Request form atached hereto, whether, to the Insider’s best knowledge, (a) the Insider has (or is deemed to have) engaged in any opposite way transactons within the previous six months that were not exempt from Secton 16(b) of the Exchange Act and (b) if the transacton involves a sale by an “afliate” of the Company or of “restricted securites” (as such terms are defned under Rule 144 under the Securites Act of 1933, as amended (“Rule 144”)), whether the transacton meets all of the applicable conditons of Rule 144; and</w:t>
      </w:r>
    </w:p>
    <w:p>
      <w:pPr>
        <w:spacing w:after="0" w:line="233" w:lineRule="exact"/>
        <w:rPr>
          <w:rFonts w:ascii="Times New Roman" w:cs="Times New Roman" w:eastAsia="Times New Roman" w:hAnsi="Times New Roman"/>
          <w:sz w:val="22"/>
          <w:szCs w:val="22"/>
          <w:color w:val="auto"/>
        </w:rPr>
      </w:pPr>
    </w:p>
    <w:p>
      <w:pPr>
        <w:ind w:left="1880" w:hanging="375"/>
        <w:spacing w:after="0" w:line="235" w:lineRule="auto"/>
        <w:tabs>
          <w:tab w:leader="none" w:pos="1880" w:val="left"/>
        </w:tabs>
        <w:numPr>
          <w:ilvl w:val="1"/>
          <w:numId w:val="97"/>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Compliance Ofcer has approved the trade(s) and has certfed such approval in writng (which may be made by email).</w:t>
      </w:r>
    </w:p>
    <w:p>
      <w:pPr>
        <w:spacing w:after="0" w:line="230" w:lineRule="exact"/>
        <w:rPr>
          <w:sz w:val="20"/>
          <w:szCs w:val="20"/>
          <w:color w:val="auto"/>
        </w:rPr>
      </w:pPr>
    </w:p>
    <w:p>
      <w:pPr>
        <w:ind w:right="420" w:firstLine="749"/>
        <w:spacing w:after="0" w:line="235" w:lineRule="auto"/>
        <w:rPr>
          <w:sz w:val="20"/>
          <w:szCs w:val="20"/>
          <w:color w:val="auto"/>
        </w:rPr>
      </w:pPr>
      <w:r>
        <w:rPr>
          <w:rFonts w:ascii="Calibri" w:cs="Calibri" w:eastAsia="Calibri" w:hAnsi="Calibri"/>
          <w:sz w:val="22"/>
          <w:szCs w:val="22"/>
          <w:color w:val="auto"/>
        </w:rPr>
        <w:t>The Compliance Ofcer does not assume the responsibility for, and approval from the Compliance Ofcer does not protect the Insider from, the consequences of prohibited insider trading.</w:t>
      </w:r>
    </w:p>
    <w:p>
      <w:pPr>
        <w:spacing w:after="0" w:line="220" w:lineRule="exact"/>
        <w:rPr>
          <w:sz w:val="20"/>
          <w:szCs w:val="20"/>
          <w:color w:val="auto"/>
        </w:rPr>
      </w:pPr>
    </w:p>
    <w:p>
      <w:pPr>
        <w:ind w:left="1500" w:hanging="743"/>
        <w:spacing w:after="0"/>
        <w:tabs>
          <w:tab w:leader="none" w:pos="1500" w:val="left"/>
        </w:tabs>
        <w:numPr>
          <w:ilvl w:val="0"/>
          <w:numId w:val="98"/>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Additonal Informaton.</w:t>
      </w:r>
    </w:p>
    <w:p>
      <w:pPr>
        <w:spacing w:after="0" w:line="228" w:lineRule="exact"/>
        <w:rPr>
          <w:sz w:val="20"/>
          <w:szCs w:val="20"/>
          <w:color w:val="auto"/>
        </w:rPr>
      </w:pPr>
    </w:p>
    <w:p>
      <w:pPr>
        <w:ind w:right="180" w:firstLine="749"/>
        <w:spacing w:after="0" w:line="237" w:lineRule="auto"/>
        <w:rPr>
          <w:sz w:val="20"/>
          <w:szCs w:val="20"/>
          <w:color w:val="auto"/>
        </w:rPr>
      </w:pPr>
      <w:r>
        <w:rPr>
          <w:rFonts w:ascii="Calibri" w:cs="Calibri" w:eastAsia="Calibri" w:hAnsi="Calibri"/>
          <w:sz w:val="22"/>
          <w:szCs w:val="22"/>
          <w:color w:val="auto"/>
        </w:rPr>
        <w:t>Insiders shall provide to the Compliance Ofcer any documentaton the Compliance Ofcer requires in furtherance of the foregoing procedures. Any failure to provide such informaton will be grounds for denial of approval by the Compliance Ofcer.</w:t>
      </w:r>
    </w:p>
    <w:p>
      <w:pPr>
        <w:spacing w:after="0" w:line="218" w:lineRule="exact"/>
        <w:rPr>
          <w:sz w:val="20"/>
          <w:szCs w:val="20"/>
          <w:color w:val="auto"/>
        </w:rPr>
      </w:pPr>
    </w:p>
    <w:p>
      <w:pPr>
        <w:ind w:left="5880"/>
        <w:spacing w:after="0"/>
        <w:rPr>
          <w:sz w:val="20"/>
          <w:szCs w:val="20"/>
          <w:color w:val="auto"/>
        </w:rPr>
      </w:pPr>
      <w:r>
        <w:rPr>
          <w:rFonts w:ascii="Calibri" w:cs="Calibri" w:eastAsia="Calibri" w:hAnsi="Calibri"/>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240" w:lineRule="exact"/>
        <w:rPr>
          <w:sz w:val="20"/>
          <w:szCs w:val="20"/>
          <w:color w:val="auto"/>
        </w:rPr>
      </w:pPr>
    </w:p>
    <w:p>
      <w:pPr>
        <w:ind w:left="1500" w:hanging="743"/>
        <w:spacing w:after="0"/>
        <w:tabs>
          <w:tab w:leader="none" w:pos="1500" w:val="left"/>
        </w:tabs>
        <w:numPr>
          <w:ilvl w:val="0"/>
          <w:numId w:val="9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Notfcaton of Brokers of Insider Status</w:t>
      </w:r>
    </w:p>
    <w:p>
      <w:pPr>
        <w:spacing w:after="0" w:line="228" w:lineRule="exact"/>
        <w:rPr>
          <w:sz w:val="20"/>
          <w:szCs w:val="20"/>
          <w:color w:val="auto"/>
        </w:rPr>
      </w:pPr>
    </w:p>
    <w:p>
      <w:pPr>
        <w:ind w:right="40" w:firstLine="749"/>
        <w:spacing w:after="0" w:line="238" w:lineRule="auto"/>
        <w:rPr>
          <w:sz w:val="20"/>
          <w:szCs w:val="20"/>
          <w:color w:val="auto"/>
        </w:rPr>
      </w:pPr>
      <w:r>
        <w:rPr>
          <w:rFonts w:ascii="Calibri" w:cs="Calibri" w:eastAsia="Calibri" w:hAnsi="Calibri"/>
          <w:sz w:val="22"/>
          <w:szCs w:val="22"/>
          <w:color w:val="auto"/>
        </w:rPr>
        <w:t>Insiders who are required to fle reports under Secton 16 of the Exchange Act shall inform their broker-dealers that (a) the Insider is subject to Secton 16; (b) the broker shall confrm that any trade by the Insider or any of their afliates has been precleared by the Company; and (c) the broker is to provide transacton informaton to the Insider and/or Compliance Ofcer on the day of a trade.</w:t>
      </w:r>
    </w:p>
    <w:p>
      <w:pPr>
        <w:spacing w:after="0" w:line="218" w:lineRule="exact"/>
        <w:rPr>
          <w:sz w:val="20"/>
          <w:szCs w:val="20"/>
          <w:color w:val="auto"/>
        </w:rPr>
      </w:pPr>
    </w:p>
    <w:p>
      <w:pPr>
        <w:ind w:left="1500" w:hanging="743"/>
        <w:spacing w:after="0"/>
        <w:tabs>
          <w:tab w:leader="none" w:pos="1500" w:val="left"/>
        </w:tabs>
        <w:numPr>
          <w:ilvl w:val="0"/>
          <w:numId w:val="100"/>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No Obligaton to Approve Trades.</w:t>
      </w:r>
    </w:p>
    <w:p>
      <w:pPr>
        <w:spacing w:after="0" w:line="230" w:lineRule="exact"/>
        <w:rPr>
          <w:sz w:val="20"/>
          <w:szCs w:val="20"/>
          <w:color w:val="auto"/>
        </w:rPr>
      </w:pPr>
    </w:p>
    <w:p>
      <w:pPr>
        <w:ind w:right="560" w:firstLine="749"/>
        <w:spacing w:after="0" w:line="235" w:lineRule="auto"/>
        <w:rPr>
          <w:sz w:val="20"/>
          <w:szCs w:val="20"/>
          <w:color w:val="auto"/>
        </w:rPr>
      </w:pPr>
      <w:r>
        <w:rPr>
          <w:rFonts w:ascii="Calibri" w:cs="Calibri" w:eastAsia="Calibri" w:hAnsi="Calibri"/>
          <w:sz w:val="22"/>
          <w:szCs w:val="22"/>
          <w:color w:val="auto"/>
        </w:rPr>
        <w:t>The foregoing approval procedures do not in any way obligate the Compliance Ofcer to approve any trade. The Compliance Ofcer has sole discreton to reject any trading request.</w:t>
      </w:r>
    </w:p>
    <w:p>
      <w:pPr>
        <w:spacing w:after="0" w:line="230" w:lineRule="exact"/>
        <w:rPr>
          <w:sz w:val="20"/>
          <w:szCs w:val="20"/>
          <w:color w:val="auto"/>
        </w:rPr>
      </w:pPr>
    </w:p>
    <w:p>
      <w:pPr>
        <w:ind w:firstLine="749"/>
        <w:spacing w:after="0"/>
        <w:rPr>
          <w:sz w:val="20"/>
          <w:szCs w:val="20"/>
          <w:color w:val="auto"/>
        </w:rPr>
      </w:pPr>
      <w:r>
        <w:rPr>
          <w:rFonts w:ascii="Calibri" w:cs="Calibri" w:eastAsia="Calibri" w:hAnsi="Calibri"/>
          <w:sz w:val="22"/>
          <w:szCs w:val="22"/>
          <w:color w:val="auto"/>
        </w:rPr>
        <w:t>From tme to tme, an event may occur that is material to the Company and is known by only a limited number of directors and employees. The Compliance Ofcer may decline an Insider’s request to preclear a proposed trade based on the existence of a material, nonpublic development. Even if that partcular Insider is not aware of the material, nonpublic development involving the Company, if any Insider engages in a trade before a material, nonpublic development is disclosed to the public or resolved, the Insider and the Company might be exposed to a charge of insider trading that could be costly and difcult to refute even if the Insider was unaware of the development. So long as the event remains material and nonpublic, the Compliance Ofcer may decide not to approve any transactons in the Company’s securites. The Compliance Ofcer will subsequently notfy the Insider once the material, nonpublic development is disclosed to the public or resolved. If an Insider requests preclearance of a trade in the Company’s securites during the pendency of such an event, the Compliance Ofcer may reject the trading request without disclosing the reason.</w:t>
      </w:r>
    </w:p>
    <w:p>
      <w:pPr>
        <w:spacing w:after="0" w:line="218" w:lineRule="exact"/>
        <w:rPr>
          <w:sz w:val="20"/>
          <w:szCs w:val="20"/>
          <w:color w:val="auto"/>
        </w:rPr>
      </w:pPr>
    </w:p>
    <w:p>
      <w:pPr>
        <w:ind w:left="1500" w:hanging="743"/>
        <w:spacing w:after="0"/>
        <w:tabs>
          <w:tab w:leader="none" w:pos="1500" w:val="left"/>
        </w:tabs>
        <w:numPr>
          <w:ilvl w:val="0"/>
          <w:numId w:val="101"/>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Completon of Trades.</w:t>
      </w:r>
    </w:p>
    <w:p>
      <w:pPr>
        <w:spacing w:after="0" w:line="230" w:lineRule="exact"/>
        <w:rPr>
          <w:sz w:val="20"/>
          <w:szCs w:val="20"/>
          <w:color w:val="auto"/>
        </w:rPr>
      </w:pPr>
    </w:p>
    <w:p>
      <w:pPr>
        <w:ind w:firstLine="749"/>
        <w:spacing w:after="0" w:line="253" w:lineRule="auto"/>
        <w:rPr>
          <w:sz w:val="20"/>
          <w:szCs w:val="20"/>
          <w:color w:val="auto"/>
        </w:rPr>
      </w:pPr>
      <w:r>
        <w:rPr>
          <w:rFonts w:ascii="Calibri" w:cs="Calibri" w:eastAsia="Calibri" w:hAnsi="Calibri"/>
          <w:sz w:val="21"/>
          <w:szCs w:val="21"/>
          <w:color w:val="auto"/>
        </w:rPr>
        <w:t>Afer receiving writen clearance to engage in a trade signed by the Compliance Ofcer, an Insider must complete the proposed trade within two (2) business days or make a new trading request. Even if an Insider has received clearance, the Insider may not engage in a trade if (i) such clearance has been rescinded by the Compliance Ofcer, (ii) the Insider has otherwise received notce that the trading window has closed or (iii) the Insider has or acquires material nonpublic informaton.</w:t>
      </w:r>
    </w:p>
    <w:p>
      <w:pPr>
        <w:spacing w:after="0" w:line="204" w:lineRule="exact"/>
        <w:rPr>
          <w:sz w:val="20"/>
          <w:szCs w:val="20"/>
          <w:color w:val="auto"/>
        </w:rPr>
      </w:pPr>
    </w:p>
    <w:p>
      <w:pPr>
        <w:ind w:left="1500" w:hanging="743"/>
        <w:spacing w:after="0"/>
        <w:tabs>
          <w:tab w:leader="none" w:pos="1500" w:val="left"/>
        </w:tabs>
        <w:numPr>
          <w:ilvl w:val="0"/>
          <w:numId w:val="102"/>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Post-Trade Reportng.</w:t>
      </w:r>
    </w:p>
    <w:p>
      <w:pPr>
        <w:spacing w:after="0" w:line="228" w:lineRule="exact"/>
        <w:rPr>
          <w:sz w:val="20"/>
          <w:szCs w:val="20"/>
          <w:color w:val="auto"/>
        </w:rPr>
      </w:pPr>
    </w:p>
    <w:p>
      <w:pPr>
        <w:ind w:right="120" w:firstLine="749"/>
        <w:spacing w:after="0" w:line="239" w:lineRule="auto"/>
        <w:rPr>
          <w:sz w:val="20"/>
          <w:szCs w:val="20"/>
          <w:color w:val="auto"/>
        </w:rPr>
      </w:pPr>
      <w:r>
        <w:rPr>
          <w:rFonts w:ascii="Calibri" w:cs="Calibri" w:eastAsia="Calibri" w:hAnsi="Calibri"/>
          <w:sz w:val="22"/>
          <w:szCs w:val="22"/>
          <w:color w:val="auto"/>
        </w:rPr>
        <w:t>The details of any transactons in the Company’s securites by an Insider (including transactons efected pursuant to a Rule 10b5-1 Plan) by an Insider (or an Afliated Person) who is required to fle reports under Secton 16 of the Exchange Act must be reported to the Compliance Ofcer by the Insider or their brokerage frm on the same day in which a trade order is placed or such a transacton otherwise is entered into. The report shall include the date of the transacton, quantty of shares, the price and the name of the broker-dealer that efected the transacton. This reportng requirement may be satsfed by providing (or having the Insider’s broker provide) a trade order confrmaton to the Compliance Ofcer if the</w:t>
      </w:r>
    </w:p>
    <w:p>
      <w:pPr>
        <w:spacing w:after="0" w:line="219" w:lineRule="exact"/>
        <w:rPr>
          <w:sz w:val="20"/>
          <w:szCs w:val="20"/>
          <w:color w:val="auto"/>
        </w:rPr>
      </w:pPr>
    </w:p>
    <w:p>
      <w:pPr>
        <w:ind w:left="5880"/>
        <w:spacing w:after="0"/>
        <w:rPr>
          <w:sz w:val="20"/>
          <w:szCs w:val="20"/>
          <w:color w:val="auto"/>
        </w:rPr>
      </w:pPr>
      <w:r>
        <w:rPr>
          <w:rFonts w:ascii="Calibri" w:cs="Calibri" w:eastAsia="Calibri" w:hAnsi="Calibri"/>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1" w:name="page142"/>
    <w:bookmarkEnd w:id="141"/>
    <w:p>
      <w:pPr>
        <w:spacing w:after="0" w:line="251" w:lineRule="exact"/>
        <w:rPr>
          <w:sz w:val="20"/>
          <w:szCs w:val="20"/>
          <w:color w:val="auto"/>
        </w:rPr>
      </w:pPr>
    </w:p>
    <w:p>
      <w:pPr>
        <w:ind w:right="100"/>
        <w:spacing w:after="0" w:line="239" w:lineRule="auto"/>
        <w:rPr>
          <w:sz w:val="20"/>
          <w:szCs w:val="20"/>
          <w:color w:val="auto"/>
        </w:rPr>
      </w:pPr>
      <w:r>
        <w:rPr>
          <w:rFonts w:ascii="Calibri" w:cs="Calibri" w:eastAsia="Calibri" w:hAnsi="Calibri"/>
          <w:sz w:val="22"/>
          <w:szCs w:val="22"/>
          <w:color w:val="auto"/>
        </w:rPr>
        <w:t>Compliance Ofcer received such informaton by the required date. Compliance by directors and executve ofcers with this provision is imperatve given the requirement of Secton 16 of the Exchange Act that these persons generally report changes in ownership of Company securites within two (2) business days. The sanctons for noncompliance with this reportng deadline include mandatory disclosure in the Company’s proxy statement for the next annual meetng of stockholders, as well as possible civil or criminal sanctons for chronic or egregious violators.</w:t>
      </w:r>
    </w:p>
    <w:p>
      <w:pPr>
        <w:spacing w:after="0" w:line="216" w:lineRule="exact"/>
        <w:rPr>
          <w:sz w:val="20"/>
          <w:szCs w:val="20"/>
          <w:color w:val="auto"/>
        </w:rPr>
      </w:pPr>
    </w:p>
    <w:p>
      <w:pPr>
        <w:ind w:left="760" w:hanging="752"/>
        <w:spacing w:after="0"/>
        <w:tabs>
          <w:tab w:leader="none" w:pos="760" w:val="left"/>
        </w:tabs>
        <w:numPr>
          <w:ilvl w:val="0"/>
          <w:numId w:val="103"/>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Exemptons</w:t>
      </w:r>
    </w:p>
    <w:p>
      <w:pPr>
        <w:spacing w:after="0" w:line="217" w:lineRule="exact"/>
        <w:rPr>
          <w:rFonts w:ascii="Calibri" w:cs="Calibri" w:eastAsia="Calibri" w:hAnsi="Calibri"/>
          <w:sz w:val="22"/>
          <w:szCs w:val="22"/>
          <w:b w:val="1"/>
          <w:bCs w:val="1"/>
          <w:i w:val="1"/>
          <w:iCs w:val="1"/>
          <w:color w:val="auto"/>
        </w:rPr>
      </w:pPr>
    </w:p>
    <w:p>
      <w:pPr>
        <w:ind w:left="760"/>
        <w:spacing w:after="0"/>
        <w:rPr>
          <w:rFonts w:ascii="Calibri" w:cs="Calibri" w:eastAsia="Calibri" w:hAnsi="Calibri"/>
          <w:sz w:val="22"/>
          <w:szCs w:val="22"/>
          <w:b w:val="1"/>
          <w:bCs w:val="1"/>
          <w:i w:val="1"/>
          <w:iCs w:val="1"/>
          <w:color w:val="auto"/>
        </w:rPr>
      </w:pPr>
      <w:r>
        <w:rPr>
          <w:rFonts w:ascii="Calibri" w:cs="Calibri" w:eastAsia="Calibri" w:hAnsi="Calibri"/>
          <w:sz w:val="22"/>
          <w:szCs w:val="22"/>
          <w:b w:val="1"/>
          <w:bCs w:val="1"/>
          <w:color w:val="auto"/>
        </w:rPr>
        <w:t>1.</w:t>
      </w:r>
      <w:r>
        <w:rPr>
          <w:rFonts w:ascii="Calibri" w:cs="Calibri" w:eastAsia="Calibri" w:hAnsi="Calibri"/>
          <w:sz w:val="21"/>
          <w:szCs w:val="21"/>
          <w:b w:val="1"/>
          <w:bCs w:val="1"/>
          <w:color w:val="auto"/>
        </w:rPr>
        <w:t>Pre-Approved Rule 10b5-1 Plan.</w:t>
      </w:r>
    </w:p>
    <w:p>
      <w:pPr>
        <w:spacing w:after="0" w:line="230" w:lineRule="exact"/>
        <w:rPr>
          <w:sz w:val="20"/>
          <w:szCs w:val="20"/>
          <w:color w:val="auto"/>
        </w:rPr>
      </w:pPr>
    </w:p>
    <w:p>
      <w:pPr>
        <w:ind w:right="80" w:firstLine="749"/>
        <w:spacing w:after="0" w:line="239" w:lineRule="auto"/>
        <w:rPr>
          <w:sz w:val="20"/>
          <w:szCs w:val="20"/>
          <w:color w:val="auto"/>
        </w:rPr>
      </w:pPr>
      <w:r>
        <w:rPr>
          <w:rFonts w:ascii="Calibri" w:cs="Calibri" w:eastAsia="Calibri" w:hAnsi="Calibri"/>
          <w:sz w:val="22"/>
          <w:szCs w:val="22"/>
          <w:color w:val="auto"/>
        </w:rPr>
        <w:t>Transactons made pursuant to an approved Rule 10b5-1 Plan (as defned below) will not be subject to the Company’s trading windows, retrement plan blackout periods or pre-clearance procedures, and Insiders are not required to complete a Stock Transacton Request form for such transactons. Rule 10b5-1 of the Exchange Act provides an afrmatve defense from insider trading liability under the federal securites laws for trading plans, arrangements or instructons that meet specifed requirements. A trading plan, arrangement or instructon that meets the requirements of the SEC’s Rule 10b5-1 (a “Rule 10b5-1 Plan”) enables Insiders to establish arrangements to trade in Company securites outside of the Company’s trading windows, even when in possession of material, nonpublic informaton.</w:t>
      </w:r>
    </w:p>
    <w:p>
      <w:pPr>
        <w:spacing w:after="0" w:line="223"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If an Insider intends to trade pursuant to a Rule 10b5-1 Plan, such plan, arrangement or instructon must:</w:t>
      </w:r>
    </w:p>
    <w:p>
      <w:pPr>
        <w:spacing w:after="0" w:line="217" w:lineRule="exact"/>
        <w:rPr>
          <w:sz w:val="20"/>
          <w:szCs w:val="20"/>
          <w:color w:val="auto"/>
        </w:rPr>
      </w:pPr>
    </w:p>
    <w:p>
      <w:pPr>
        <w:ind w:left="1500" w:hanging="369"/>
        <w:spacing w:after="0"/>
        <w:tabs>
          <w:tab w:leader="none" w:pos="1500" w:val="left"/>
        </w:tabs>
        <w:numPr>
          <w:ilvl w:val="0"/>
          <w:numId w:val="104"/>
        </w:numPr>
        <w:rPr>
          <w:rFonts w:ascii="Times New Roman" w:cs="Times New Roman" w:eastAsia="Times New Roman" w:hAnsi="Times New Roman"/>
          <w:sz w:val="22"/>
          <w:szCs w:val="22"/>
          <w:color w:val="auto"/>
        </w:rPr>
      </w:pPr>
      <w:r>
        <w:rPr>
          <w:rFonts w:ascii="Calibri" w:cs="Calibri" w:eastAsia="Calibri" w:hAnsi="Calibri"/>
          <w:sz w:val="22"/>
          <w:szCs w:val="22"/>
          <w:color w:val="auto"/>
        </w:rPr>
        <w:t>satsfy the requirements of Rule 10b5-1;</w:t>
      </w:r>
    </w:p>
    <w:p>
      <w:pPr>
        <w:spacing w:after="0" w:line="217"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04"/>
        </w:numPr>
        <w:rPr>
          <w:rFonts w:ascii="Times New Roman" w:cs="Times New Roman" w:eastAsia="Times New Roman" w:hAnsi="Times New Roman"/>
          <w:sz w:val="22"/>
          <w:szCs w:val="22"/>
          <w:color w:val="auto"/>
        </w:rPr>
      </w:pPr>
      <w:r>
        <w:rPr>
          <w:rFonts w:ascii="Calibri" w:cs="Calibri" w:eastAsia="Calibri" w:hAnsi="Calibri"/>
          <w:sz w:val="22"/>
          <w:szCs w:val="22"/>
          <w:color w:val="auto"/>
        </w:rPr>
        <w:t>be documented in writng;</w:t>
      </w:r>
    </w:p>
    <w:p>
      <w:pPr>
        <w:spacing w:after="0" w:line="227" w:lineRule="exact"/>
        <w:rPr>
          <w:rFonts w:ascii="Times New Roman" w:cs="Times New Roman" w:eastAsia="Times New Roman" w:hAnsi="Times New Roman"/>
          <w:sz w:val="22"/>
          <w:szCs w:val="22"/>
          <w:color w:val="auto"/>
        </w:rPr>
      </w:pPr>
    </w:p>
    <w:p>
      <w:pPr>
        <w:ind w:left="1500" w:right="180" w:hanging="369"/>
        <w:spacing w:after="0" w:line="235" w:lineRule="auto"/>
        <w:tabs>
          <w:tab w:leader="none" w:pos="1500" w:val="left"/>
        </w:tabs>
        <w:numPr>
          <w:ilvl w:val="0"/>
          <w:numId w:val="104"/>
        </w:numPr>
        <w:rPr>
          <w:rFonts w:ascii="Times New Roman" w:cs="Times New Roman" w:eastAsia="Times New Roman" w:hAnsi="Times New Roman"/>
          <w:sz w:val="22"/>
          <w:szCs w:val="22"/>
          <w:color w:val="auto"/>
        </w:rPr>
      </w:pPr>
      <w:r>
        <w:rPr>
          <w:rFonts w:ascii="Calibri" w:cs="Calibri" w:eastAsia="Calibri" w:hAnsi="Calibri"/>
          <w:sz w:val="22"/>
          <w:szCs w:val="22"/>
          <w:color w:val="auto"/>
        </w:rPr>
        <w:t>be established during a trading window when such Insider does not possess material, nonpublic informaton; and</w:t>
      </w:r>
    </w:p>
    <w:p>
      <w:pPr>
        <w:spacing w:after="0" w:line="217"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04"/>
        </w:numPr>
        <w:rPr>
          <w:rFonts w:ascii="Times New Roman" w:cs="Times New Roman" w:eastAsia="Times New Roman" w:hAnsi="Times New Roman"/>
          <w:sz w:val="22"/>
          <w:szCs w:val="22"/>
          <w:color w:val="auto"/>
        </w:rPr>
      </w:pPr>
      <w:r>
        <w:rPr>
          <w:rFonts w:ascii="Calibri" w:cs="Calibri" w:eastAsia="Calibri" w:hAnsi="Calibri"/>
          <w:sz w:val="22"/>
          <w:szCs w:val="22"/>
          <w:color w:val="auto"/>
        </w:rPr>
        <w:t>be pre-approved by the Compliance Ofcer.</w:t>
      </w:r>
    </w:p>
    <w:p>
      <w:pPr>
        <w:spacing w:after="0" w:line="230" w:lineRule="exact"/>
        <w:rPr>
          <w:sz w:val="20"/>
          <w:szCs w:val="20"/>
          <w:color w:val="auto"/>
        </w:rPr>
      </w:pPr>
    </w:p>
    <w:p>
      <w:pPr>
        <w:jc w:val="both"/>
        <w:ind w:right="380" w:firstLine="749"/>
        <w:spacing w:after="0" w:line="237" w:lineRule="auto"/>
        <w:rPr>
          <w:sz w:val="20"/>
          <w:szCs w:val="20"/>
          <w:color w:val="auto"/>
        </w:rPr>
      </w:pPr>
      <w:r>
        <w:rPr>
          <w:rFonts w:ascii="Calibri" w:cs="Calibri" w:eastAsia="Calibri" w:hAnsi="Calibri"/>
          <w:sz w:val="22"/>
          <w:szCs w:val="22"/>
          <w:color w:val="auto"/>
        </w:rPr>
        <w:t>Prior to approving a Rule 10b5-1 Plan, the Compliance Ofcer may require that the plan exclude or include certain provisions (e.g., cooling of period, minimum number of trades requirement, limited term) that ensure compliance with SEC regulatons and practces the Compliance Ofcer deems to be in the best interests of the Company.</w:t>
      </w:r>
    </w:p>
    <w:p>
      <w:pPr>
        <w:spacing w:after="0" w:line="230" w:lineRule="exact"/>
        <w:rPr>
          <w:sz w:val="20"/>
          <w:szCs w:val="20"/>
          <w:color w:val="auto"/>
        </w:rPr>
      </w:pPr>
    </w:p>
    <w:p>
      <w:pPr>
        <w:ind w:firstLine="749"/>
        <w:spacing w:after="0" w:line="238" w:lineRule="auto"/>
        <w:rPr>
          <w:sz w:val="20"/>
          <w:szCs w:val="20"/>
          <w:color w:val="auto"/>
        </w:rPr>
      </w:pPr>
      <w:r>
        <w:rPr>
          <w:rFonts w:ascii="Calibri" w:cs="Calibri" w:eastAsia="Calibri" w:hAnsi="Calibri"/>
          <w:sz w:val="22"/>
          <w:szCs w:val="22"/>
          <w:color w:val="auto"/>
        </w:rPr>
        <w:t>Any proposed deviaton from, or alteraton to, the specifcatons of an approved Rule 10b5-1 Plan (including, without limitaton, the amount, price or tming of a purchase or sale) must be reported immediately to, and be approved by the Compliance Ofcer. All transactons pursuant to a Rule 10b5-1 Plan must be tmely reported in accordance with the procedures set forth above.</w:t>
      </w:r>
    </w:p>
    <w:p>
      <w:pPr>
        <w:spacing w:after="0" w:line="218" w:lineRule="exact"/>
        <w:rPr>
          <w:sz w:val="20"/>
          <w:szCs w:val="20"/>
          <w:color w:val="auto"/>
        </w:rPr>
      </w:pPr>
    </w:p>
    <w:p>
      <w:pPr>
        <w:ind w:left="5880"/>
        <w:spacing w:after="0"/>
        <w:rPr>
          <w:sz w:val="20"/>
          <w:szCs w:val="20"/>
          <w:color w:val="auto"/>
        </w:rPr>
      </w:pPr>
      <w:r>
        <w:rPr>
          <w:rFonts w:ascii="Calibri" w:cs="Calibri" w:eastAsia="Calibri" w:hAnsi="Calibri"/>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251" w:lineRule="exact"/>
        <w:rPr>
          <w:sz w:val="20"/>
          <w:szCs w:val="20"/>
          <w:color w:val="auto"/>
        </w:rPr>
      </w:pPr>
    </w:p>
    <w:p>
      <w:pPr>
        <w:jc w:val="both"/>
        <w:ind w:right="160" w:firstLine="749"/>
        <w:spacing w:after="0" w:line="237" w:lineRule="auto"/>
        <w:rPr>
          <w:sz w:val="20"/>
          <w:szCs w:val="20"/>
          <w:color w:val="auto"/>
        </w:rPr>
      </w:pPr>
      <w:r>
        <w:rPr>
          <w:rFonts w:ascii="Calibri" w:cs="Calibri" w:eastAsia="Calibri" w:hAnsi="Calibri"/>
          <w:sz w:val="22"/>
          <w:szCs w:val="22"/>
          <w:color w:val="auto"/>
        </w:rPr>
        <w:t>Any modifcaton or terminaton of a Rule 10b5-1 Plan previously approved by the Compliance Ofcer requires a new approval by the Compliance Ofcer. The Compliance Ofcer may require as a conditon to such approval that the modifcaton or terminaton occur during a trading window and that the Insider is not aware of material, nonpublic informaton.</w:t>
      </w:r>
    </w:p>
    <w:p>
      <w:pPr>
        <w:spacing w:after="0" w:line="218" w:lineRule="exact"/>
        <w:rPr>
          <w:sz w:val="20"/>
          <w:szCs w:val="20"/>
          <w:color w:val="auto"/>
        </w:rPr>
      </w:pPr>
    </w:p>
    <w:p>
      <w:pPr>
        <w:ind w:left="1500" w:hanging="743"/>
        <w:spacing w:after="0"/>
        <w:tabs>
          <w:tab w:leader="none" w:pos="1500" w:val="left"/>
        </w:tabs>
        <w:numPr>
          <w:ilvl w:val="0"/>
          <w:numId w:val="105"/>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Employee Beneft Plans.</w:t>
      </w:r>
    </w:p>
    <w:p>
      <w:pPr>
        <w:spacing w:after="0" w:line="230" w:lineRule="exact"/>
        <w:rPr>
          <w:sz w:val="20"/>
          <w:szCs w:val="20"/>
          <w:color w:val="auto"/>
        </w:rPr>
      </w:pPr>
    </w:p>
    <w:p>
      <w:pPr>
        <w:ind w:right="40" w:firstLine="749"/>
        <w:spacing w:after="0"/>
        <w:rPr>
          <w:sz w:val="20"/>
          <w:szCs w:val="20"/>
          <w:color w:val="auto"/>
        </w:rPr>
      </w:pPr>
      <w:r>
        <w:rPr>
          <w:rFonts w:ascii="Calibri" w:cs="Calibri" w:eastAsia="Calibri" w:hAnsi="Calibri"/>
          <w:sz w:val="22"/>
          <w:szCs w:val="22"/>
          <w:b w:val="1"/>
          <w:bCs w:val="1"/>
          <w:i w:val="1"/>
          <w:iCs w:val="1"/>
          <w:color w:val="auto"/>
        </w:rPr>
        <w:t>Exercise of Stock Optons</w:t>
      </w:r>
      <w:r>
        <w:rPr>
          <w:rFonts w:ascii="Calibri" w:cs="Calibri" w:eastAsia="Calibri" w:hAnsi="Calibri"/>
          <w:sz w:val="22"/>
          <w:szCs w:val="22"/>
          <w:color w:val="auto"/>
        </w:rPr>
        <w:t>. The trading prohibitons and restrictons set forth in the Trading Procedures do not apply to</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the exercise of an opton to purchase securites of the Company when payment of the exercise price is made in cash. However, the exercise of an opton to purchase securites of the Company is subject to the current reportng requirements of Secton 16 of the Exchange Act and, therefore, Insiders must comply with the post-trade reportng requirement described in Secton C above for any such transacton. In additon, the securites acquired upon the exercise of an opton to purchase Company securites are subject to all of the requirements of this Insider Trading Policy, including the Trading Procedures contained herein. Moreover, the Trading Procedures apply to the use of outstanding Company securites to pay part or all of the exercise price of an opton, any net opton exercise, any exercise of a stock appreciaton right, share withholding, any sale of stock as part of a broker-assisted cashless exercise of an opton, or any other market sale for the purpose of generatng the cash needed to pay the exercise price of an opton.</w:t>
      </w:r>
    </w:p>
    <w:p>
      <w:pPr>
        <w:spacing w:after="0" w:line="230" w:lineRule="exact"/>
        <w:rPr>
          <w:sz w:val="20"/>
          <w:szCs w:val="20"/>
          <w:color w:val="auto"/>
        </w:rPr>
      </w:pPr>
    </w:p>
    <w:p>
      <w:pPr>
        <w:ind w:right="140" w:firstLine="749"/>
        <w:spacing w:after="0" w:line="239" w:lineRule="auto"/>
        <w:rPr>
          <w:sz w:val="20"/>
          <w:szCs w:val="20"/>
          <w:color w:val="auto"/>
        </w:rPr>
      </w:pPr>
      <w:r>
        <w:rPr>
          <w:rFonts w:ascii="Calibri" w:cs="Calibri" w:eastAsia="Calibri" w:hAnsi="Calibri"/>
          <w:sz w:val="22"/>
          <w:szCs w:val="22"/>
          <w:b w:val="1"/>
          <w:bCs w:val="1"/>
          <w:i w:val="1"/>
          <w:iCs w:val="1"/>
          <w:color w:val="auto"/>
        </w:rPr>
        <w:t>Tax Withholding on Restricted Stock/Units</w:t>
      </w:r>
      <w:r>
        <w:rPr>
          <w:rFonts w:ascii="Calibri" w:cs="Calibri" w:eastAsia="Calibri" w:hAnsi="Calibri"/>
          <w:sz w:val="22"/>
          <w:szCs w:val="22"/>
          <w:color w:val="auto"/>
        </w:rPr>
        <w:t>. The trading prohibitons and restrictons set forth in the Trading</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Procedures do not apply to the withholding by the Company of shares of stock upon vestng of restricted stock or upon setlement of restricted stock units to satsfy applicable tax withholding requirements if (a) such withholding is required by the applicable plan or award agreement or (b) the electon to exercise such tax withholding right was made by the Insider in compliance with the Trading Procedures.</w:t>
      </w:r>
    </w:p>
    <w:p>
      <w:pPr>
        <w:spacing w:after="0" w:line="229" w:lineRule="exact"/>
        <w:rPr>
          <w:sz w:val="20"/>
          <w:szCs w:val="20"/>
          <w:color w:val="auto"/>
        </w:rPr>
      </w:pPr>
    </w:p>
    <w:p>
      <w:pPr>
        <w:ind w:firstLine="749"/>
        <w:spacing w:after="0" w:line="239" w:lineRule="auto"/>
        <w:rPr>
          <w:sz w:val="20"/>
          <w:szCs w:val="20"/>
          <w:color w:val="auto"/>
        </w:rPr>
      </w:pPr>
      <w:r>
        <w:rPr>
          <w:rFonts w:ascii="Calibri" w:cs="Calibri" w:eastAsia="Calibri" w:hAnsi="Calibri"/>
          <w:sz w:val="22"/>
          <w:szCs w:val="22"/>
          <w:b w:val="1"/>
          <w:bCs w:val="1"/>
          <w:i w:val="1"/>
          <w:iCs w:val="1"/>
          <w:color w:val="auto"/>
        </w:rPr>
        <w:t>Employee Stock Purchase Plan</w:t>
      </w:r>
      <w:r>
        <w:rPr>
          <w:rFonts w:ascii="Calibri" w:cs="Calibri" w:eastAsia="Calibri" w:hAnsi="Calibri"/>
          <w:sz w:val="22"/>
          <w:szCs w:val="22"/>
          <w:color w:val="auto"/>
        </w:rPr>
        <w:t>. The trading prohibitons and restrictons set forth in the Trading Procedures do not</w:t>
      </w:r>
      <w:r>
        <w:rPr>
          <w:rFonts w:ascii="Calibri" w:cs="Calibri" w:eastAsia="Calibri" w:hAnsi="Calibri"/>
          <w:sz w:val="22"/>
          <w:szCs w:val="22"/>
          <w:b w:val="1"/>
          <w:bCs w:val="1"/>
          <w:i w:val="1"/>
          <w:iCs w:val="1"/>
          <w:color w:val="auto"/>
        </w:rPr>
        <w:t xml:space="preserve"> </w:t>
      </w:r>
      <w:r>
        <w:rPr>
          <w:rFonts w:ascii="Calibri" w:cs="Calibri" w:eastAsia="Calibri" w:hAnsi="Calibri"/>
          <w:sz w:val="22"/>
          <w:szCs w:val="22"/>
          <w:color w:val="auto"/>
        </w:rPr>
        <w:t>apply to periodic wage withholding contributons by the Company or employees of the Company which are used to purchase the Company’s securites pursuant to the employees’ advance instructons under the Company’s 2020 Employee Stock Purchase Plan. However, no Insider may: (a) elect to partcipate in the plan or alter his or her instructons regarding the level of withholding or purchase by the Insider of Company securites under such plan; or (b) make cash contributons to such plan (other than through periodic wage withholding) without complying with the Trading Procedures. Any sale of securites acquired under such plan is subject to the prohibitons and restrictons of the Trading Procedures.</w:t>
      </w:r>
    </w:p>
    <w:p>
      <w:pPr>
        <w:spacing w:after="0" w:line="223" w:lineRule="exact"/>
        <w:rPr>
          <w:sz w:val="20"/>
          <w:szCs w:val="20"/>
          <w:color w:val="auto"/>
        </w:rPr>
      </w:pPr>
    </w:p>
    <w:p>
      <w:pPr>
        <w:ind w:left="760" w:hanging="752"/>
        <w:spacing w:after="0"/>
        <w:tabs>
          <w:tab w:leader="none" w:pos="760" w:val="left"/>
        </w:tabs>
        <w:numPr>
          <w:ilvl w:val="0"/>
          <w:numId w:val="106"/>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Waivers</w:t>
      </w:r>
    </w:p>
    <w:p>
      <w:pPr>
        <w:spacing w:after="0" w:line="228" w:lineRule="exact"/>
        <w:rPr>
          <w:sz w:val="20"/>
          <w:szCs w:val="20"/>
          <w:color w:val="auto"/>
        </w:rPr>
      </w:pPr>
    </w:p>
    <w:p>
      <w:pPr>
        <w:ind w:right="220" w:firstLine="749"/>
        <w:spacing w:after="0" w:line="237" w:lineRule="auto"/>
        <w:rPr>
          <w:sz w:val="20"/>
          <w:szCs w:val="20"/>
          <w:color w:val="auto"/>
        </w:rPr>
      </w:pPr>
      <w:r>
        <w:rPr>
          <w:rFonts w:ascii="Calibri" w:cs="Calibri" w:eastAsia="Calibri" w:hAnsi="Calibri"/>
          <w:sz w:val="22"/>
          <w:szCs w:val="22"/>
          <w:color w:val="auto"/>
        </w:rPr>
        <w:t>A waiver of any provision of this Insider Trading Policy or the Trading Procedures contained herein, in a specifc instance may be authorized in writng by the Compliance Ofcer or his or her designee, and any such waiver shall be reported to the Company’s Board of Directors.</w:t>
      </w:r>
    </w:p>
    <w:p>
      <w:pPr>
        <w:spacing w:after="0" w:line="220" w:lineRule="exact"/>
        <w:rPr>
          <w:sz w:val="20"/>
          <w:szCs w:val="20"/>
          <w:color w:val="auto"/>
        </w:rPr>
      </w:pPr>
    </w:p>
    <w:p>
      <w:pPr>
        <w:ind w:left="5880"/>
        <w:spacing w:after="0"/>
        <w:rPr>
          <w:sz w:val="20"/>
          <w:szCs w:val="20"/>
          <w:color w:val="auto"/>
        </w:rPr>
      </w:pPr>
      <w:r>
        <w:rPr>
          <w:rFonts w:ascii="Calibri" w:cs="Calibri" w:eastAsia="Calibri" w:hAnsi="Calibri"/>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3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PART III. ACKNOWLEDGEMENT</w:t>
      </w:r>
    </w:p>
    <w:p>
      <w:pPr>
        <w:spacing w:after="0" w:line="230" w:lineRule="exact"/>
        <w:rPr>
          <w:sz w:val="20"/>
          <w:szCs w:val="20"/>
          <w:color w:val="auto"/>
        </w:rPr>
      </w:pPr>
    </w:p>
    <w:p>
      <w:pPr>
        <w:ind w:right="120" w:firstLine="749"/>
        <w:spacing w:after="0" w:line="238" w:lineRule="auto"/>
        <w:rPr>
          <w:sz w:val="20"/>
          <w:szCs w:val="20"/>
          <w:color w:val="auto"/>
        </w:rPr>
      </w:pPr>
      <w:r>
        <w:rPr>
          <w:rFonts w:ascii="Calibri" w:cs="Calibri" w:eastAsia="Calibri" w:hAnsi="Calibri"/>
          <w:sz w:val="22"/>
          <w:szCs w:val="22"/>
          <w:color w:val="auto"/>
        </w:rPr>
        <w:t>This Insider Trading Policy will be delivered to all current Insiders and to all directors, ofcers, employees and designated consultants at the start of their employment or relatonship with the Company. Upon frst receiving a copy of this Insider Trading Policy, each individual must acknowledge that he or she has received a copy and agrees to comply with the terms of this Insider Trading Policy, and, if applicable, the Trading Procedures contained herein. Unless otherwise instructed, the acknowledgment atached hereto must be returned within ten (10) days of receipt to:</w:t>
      </w:r>
    </w:p>
    <w:p>
      <w:pPr>
        <w:spacing w:after="0" w:line="224"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b w:val="1"/>
          <w:bCs w:val="1"/>
          <w:color w:val="auto"/>
        </w:rPr>
        <w:t>Brian Adams</w:t>
      </w:r>
    </w:p>
    <w:p>
      <w:pPr>
        <w:spacing w:after="0" w:line="1"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b w:val="1"/>
          <w:bCs w:val="1"/>
          <w:color w:val="auto"/>
        </w:rPr>
        <w:t>Chief Legal Ofcer</w:t>
      </w:r>
    </w:p>
    <w:p>
      <w:pPr>
        <w:jc w:val="center"/>
        <w:ind w:right="-119"/>
        <w:spacing w:after="0"/>
        <w:rPr>
          <w:sz w:val="20"/>
          <w:szCs w:val="20"/>
          <w:color w:val="auto"/>
        </w:rPr>
      </w:pPr>
      <w:r>
        <w:rPr>
          <w:rFonts w:ascii="Calibri" w:cs="Calibri" w:eastAsia="Calibri" w:hAnsi="Calibri"/>
          <w:sz w:val="22"/>
          <w:szCs w:val="22"/>
          <w:b w:val="1"/>
          <w:bCs w:val="1"/>
          <w:color w:val="auto"/>
        </w:rPr>
        <w:t>Relay Therapeutcs, Inc.</w:t>
      </w:r>
    </w:p>
    <w:p>
      <w:pPr>
        <w:jc w:val="center"/>
        <w:ind w:right="-119"/>
        <w:spacing w:after="0" w:line="228" w:lineRule="auto"/>
        <w:rPr>
          <w:sz w:val="20"/>
          <w:szCs w:val="20"/>
          <w:color w:val="auto"/>
        </w:rPr>
      </w:pPr>
      <w:r>
        <w:rPr>
          <w:rFonts w:ascii="Calibri" w:cs="Calibri" w:eastAsia="Calibri" w:hAnsi="Calibri"/>
          <w:sz w:val="22"/>
          <w:szCs w:val="22"/>
          <w:b w:val="1"/>
          <w:bCs w:val="1"/>
          <w:color w:val="auto"/>
        </w:rPr>
        <w:t>399 Binney Street, 2</w:t>
      </w:r>
      <w:r>
        <w:rPr>
          <w:rFonts w:ascii="Calibri" w:cs="Calibri" w:eastAsia="Calibri" w:hAnsi="Calibri"/>
          <w:sz w:val="28"/>
          <w:szCs w:val="28"/>
          <w:b w:val="1"/>
          <w:bCs w:val="1"/>
          <w:color w:val="auto"/>
          <w:vertAlign w:val="superscript"/>
        </w:rPr>
        <w:t>nd</w:t>
      </w:r>
      <w:r>
        <w:rPr>
          <w:rFonts w:ascii="Calibri" w:cs="Calibri" w:eastAsia="Calibri" w:hAnsi="Calibri"/>
          <w:sz w:val="22"/>
          <w:szCs w:val="22"/>
          <w:b w:val="1"/>
          <w:bCs w:val="1"/>
          <w:color w:val="auto"/>
        </w:rPr>
        <w:t xml:space="preserve"> Floor</w:t>
      </w:r>
    </w:p>
    <w:p>
      <w:pPr>
        <w:jc w:val="center"/>
        <w:ind w:right="-119"/>
        <w:spacing w:after="0" w:line="191" w:lineRule="auto"/>
        <w:rPr>
          <w:sz w:val="20"/>
          <w:szCs w:val="20"/>
          <w:color w:val="auto"/>
        </w:rPr>
      </w:pPr>
      <w:r>
        <w:rPr>
          <w:rFonts w:ascii="Calibri" w:cs="Calibri" w:eastAsia="Calibri" w:hAnsi="Calibri"/>
          <w:sz w:val="22"/>
          <w:szCs w:val="22"/>
          <w:b w:val="1"/>
          <w:bCs w:val="1"/>
          <w:color w:val="auto"/>
        </w:rPr>
        <w:t>Cambridge, MA 02139</w:t>
      </w:r>
    </w:p>
    <w:p>
      <w:pPr>
        <w:spacing w:after="0" w:line="231" w:lineRule="exact"/>
        <w:rPr>
          <w:sz w:val="20"/>
          <w:szCs w:val="20"/>
          <w:color w:val="auto"/>
        </w:rPr>
      </w:pPr>
    </w:p>
    <w:p>
      <w:pPr>
        <w:ind w:firstLine="749"/>
        <w:spacing w:after="0" w:line="238" w:lineRule="auto"/>
        <w:rPr>
          <w:sz w:val="20"/>
          <w:szCs w:val="20"/>
          <w:color w:val="auto"/>
        </w:rPr>
      </w:pPr>
      <w:r>
        <w:rPr>
          <w:rFonts w:ascii="Calibri" w:cs="Calibri" w:eastAsia="Calibri" w:hAnsi="Calibri"/>
          <w:sz w:val="22"/>
          <w:szCs w:val="22"/>
          <w:color w:val="auto"/>
        </w:rPr>
        <w:t>At the Company’s request, directors, employees and designated consultants will be required to re-acknowledge and agree to comply with the Insider Trading Policy (including any amendments or modifcatons). For that purpose, an individual will be deemed to have acknowledged and agreed to comply with the Insider Trading Policy, as amended from tme to tme, when copies of such items have been delivered by regular or electronic mail (or other delivery opton used by the Company) to the Compliance Ofcer.</w:t>
      </w:r>
    </w:p>
    <w:p>
      <w:pPr>
        <w:spacing w:after="0" w:line="278" w:lineRule="exact"/>
        <w:rPr>
          <w:sz w:val="20"/>
          <w:szCs w:val="20"/>
          <w:color w:val="auto"/>
        </w:rPr>
      </w:pPr>
    </w:p>
    <w:p>
      <w:pPr>
        <w:ind w:left="4640"/>
        <w:spacing w:after="0"/>
        <w:tabs>
          <w:tab w:leader="none" w:pos="5540" w:val="left"/>
          <w:tab w:leader="none" w:pos="6480" w:val="left"/>
        </w:tabs>
        <w:rPr>
          <w:sz w:val="20"/>
          <w:szCs w:val="20"/>
          <w:color w:val="auto"/>
        </w:rPr>
      </w:pPr>
      <w:r>
        <w:rPr>
          <w:rFonts w:ascii="Calibri" w:cs="Calibri" w:eastAsia="Calibri" w:hAnsi="Calibri"/>
          <w:sz w:val="22"/>
          <w:szCs w:val="22"/>
          <w:color w:val="auto"/>
        </w:rPr>
        <w:t>*</w:t>
      </w:r>
      <w:r>
        <w:rPr>
          <w:sz w:val="20"/>
          <w:szCs w:val="20"/>
          <w:color w:val="auto"/>
        </w:rPr>
        <w:tab/>
      </w:r>
      <w:r>
        <w:rPr>
          <w:rFonts w:ascii="Calibri" w:cs="Calibri" w:eastAsia="Calibri" w:hAnsi="Calibri"/>
          <w:sz w:val="22"/>
          <w:szCs w:val="22"/>
          <w:color w:val="auto"/>
        </w:rPr>
        <w:t>*</w:t>
      </w:r>
      <w:r>
        <w:rPr>
          <w:sz w:val="20"/>
          <w:szCs w:val="20"/>
          <w:color w:val="auto"/>
        </w:rPr>
        <w:tab/>
      </w:r>
      <w:r>
        <w:rPr>
          <w:rFonts w:ascii="Calibri" w:cs="Calibri" w:eastAsia="Calibri" w:hAnsi="Calibri"/>
          <w:sz w:val="19"/>
          <w:szCs w:val="19"/>
          <w:color w:val="auto"/>
        </w:rPr>
        <w:t>*</w:t>
      </w:r>
    </w:p>
    <w:p>
      <w:pPr>
        <w:spacing w:after="0" w:line="271"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Questons regarding this Insider Trading Policy are encouraged and may be directed to the Compliance Ofcer.</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Adopted June 23, 2020; as amended on December 16, 2022 and December 13, 2024.</w:t>
      </w:r>
    </w:p>
    <w:p>
      <w:pPr>
        <w:spacing w:after="0" w:line="217" w:lineRule="exact"/>
        <w:rPr>
          <w:sz w:val="20"/>
          <w:szCs w:val="20"/>
          <w:color w:val="auto"/>
        </w:rPr>
      </w:pPr>
    </w:p>
    <w:p>
      <w:pPr>
        <w:ind w:left="5880"/>
        <w:spacing w:after="0"/>
        <w:rPr>
          <w:sz w:val="20"/>
          <w:szCs w:val="20"/>
          <w:color w:val="auto"/>
        </w:rPr>
      </w:pPr>
      <w:r>
        <w:rPr>
          <w:rFonts w:ascii="Calibri" w:cs="Calibri" w:eastAsia="Calibri" w:hAnsi="Calibri"/>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44" w:name="page145"/>
    <w:bookmarkEnd w:id="144"/>
    <w:p>
      <w:pPr>
        <w:spacing w:after="0" w:line="24"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b w:val="1"/>
          <w:bCs w:val="1"/>
          <w:u w:val="single" w:color="auto"/>
          <w:color w:val="auto"/>
        </w:rPr>
        <w:t>EXHIBIT A</w:t>
      </w:r>
    </w:p>
    <w:p>
      <w:pPr>
        <w:spacing w:after="0" w:line="109"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b w:val="1"/>
          <w:bCs w:val="1"/>
          <w:color w:val="auto"/>
        </w:rPr>
        <w:t>STOCK TRANSACTION REQUEST</w:t>
      </w:r>
    </w:p>
    <w:p>
      <w:pPr>
        <w:spacing w:after="0" w:line="120" w:lineRule="exact"/>
        <w:rPr>
          <w:sz w:val="20"/>
          <w:szCs w:val="20"/>
          <w:color w:val="auto"/>
        </w:rPr>
      </w:pPr>
    </w:p>
    <w:p>
      <w:pPr>
        <w:ind w:right="100"/>
        <w:spacing w:after="0" w:line="235" w:lineRule="auto"/>
        <w:rPr>
          <w:sz w:val="20"/>
          <w:szCs w:val="20"/>
          <w:color w:val="auto"/>
        </w:rPr>
      </w:pPr>
      <w:r>
        <w:rPr>
          <w:rFonts w:ascii="Calibri" w:cs="Calibri" w:eastAsia="Calibri" w:hAnsi="Calibri"/>
          <w:sz w:val="22"/>
          <w:szCs w:val="22"/>
          <w:color w:val="auto"/>
        </w:rPr>
        <w:t xml:space="preserve">Pursuant to </w:t>
      </w:r>
      <w:r>
        <w:rPr>
          <w:rFonts w:ascii="Calibri" w:cs="Calibri" w:eastAsia="Calibri" w:hAnsi="Calibri"/>
          <w:sz w:val="22"/>
          <w:szCs w:val="22"/>
          <w:b w:val="1"/>
          <w:bCs w:val="1"/>
          <w:color w:val="auto"/>
        </w:rPr>
        <w:t>Relay Therapeutcs, Inc.</w:t>
      </w:r>
      <w:r>
        <w:rPr>
          <w:rFonts w:ascii="Calibri" w:cs="Calibri" w:eastAsia="Calibri" w:hAnsi="Calibri"/>
          <w:sz w:val="22"/>
          <w:szCs w:val="22"/>
          <w:color w:val="auto"/>
        </w:rPr>
        <w:t xml:space="preserve">’s Insider Trading Policy, I hereby notfy </w:t>
      </w:r>
      <w:r>
        <w:rPr>
          <w:rFonts w:ascii="Calibri" w:cs="Calibri" w:eastAsia="Calibri" w:hAnsi="Calibri"/>
          <w:sz w:val="22"/>
          <w:szCs w:val="22"/>
          <w:b w:val="1"/>
          <w:bCs w:val="1"/>
          <w:color w:val="auto"/>
        </w:rPr>
        <w:t>Relay Therapeutcs, Inc.</w:t>
      </w:r>
      <w:r>
        <w:rPr>
          <w:rFonts w:ascii="Calibri" w:cs="Calibri" w:eastAsia="Calibri" w:hAnsi="Calibri"/>
          <w:sz w:val="22"/>
          <w:szCs w:val="22"/>
          <w:color w:val="auto"/>
        </w:rPr>
        <w:t xml:space="preserve"> (the “Company”) of my intent to trade the securites of the Company as indicated below:</w:t>
      </w:r>
    </w:p>
    <w:p>
      <w:pPr>
        <w:spacing w:after="0" w:line="150"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u w:val="single" w:color="auto"/>
          <w:color w:val="auto"/>
        </w:rPr>
        <w:t>REQUESTER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5020" cy="57861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1">
                      <a:extLst>
                        <a:ext uri="{28A0092B-C50C-407E-A947-70E740481C1C}"/>
                      </a:extLst>
                    </a:blip>
                    <a:srcRect/>
                    <a:stretch>
                      <a:fillRect/>
                    </a:stretch>
                  </pic:blipFill>
                  <pic:spPr bwMode="auto">
                    <a:xfrm>
                      <a:off x="0" y="0"/>
                      <a:ext cx="7145020" cy="5786120"/>
                    </a:xfrm>
                    <a:prstGeom prst="rect">
                      <a:avLst/>
                    </a:prstGeom>
                    <a:noFill/>
                  </pic:spPr>
                </pic:pic>
              </a:graphicData>
            </a:graphic>
          </wp:anchor>
        </w:drawing>
      </w:r>
    </w:p>
    <w:p>
      <w:pPr>
        <w:ind w:left="120"/>
        <w:spacing w:after="0" w:line="235" w:lineRule="auto"/>
        <w:rPr>
          <w:sz w:val="20"/>
          <w:szCs w:val="20"/>
          <w:color w:val="auto"/>
        </w:rPr>
      </w:pPr>
      <w:r>
        <w:rPr>
          <w:rFonts w:ascii="Calibri" w:cs="Calibri" w:eastAsia="Calibri" w:hAnsi="Calibri"/>
          <w:sz w:val="18"/>
          <w:szCs w:val="18"/>
          <w:color w:val="auto"/>
        </w:rPr>
        <w:t>Insider’s Name:</w:t>
      </w:r>
    </w:p>
    <w:p>
      <w:pPr>
        <w:spacing w:after="0" w:line="240"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u w:val="single" w:color="auto"/>
          <w:color w:val="auto"/>
        </w:rPr>
        <w:t>NTENT TO PURCHASE</w:t>
      </w:r>
    </w:p>
    <w:p>
      <w:pPr>
        <w:ind w:left="120"/>
        <w:spacing w:after="0" w:line="235" w:lineRule="auto"/>
        <w:rPr>
          <w:sz w:val="20"/>
          <w:szCs w:val="20"/>
          <w:color w:val="auto"/>
        </w:rPr>
      </w:pPr>
      <w:r>
        <w:rPr>
          <w:rFonts w:ascii="Calibri" w:cs="Calibri" w:eastAsia="Calibri" w:hAnsi="Calibri"/>
          <w:sz w:val="18"/>
          <w:szCs w:val="18"/>
          <w:color w:val="auto"/>
        </w:rPr>
        <w:t>Number of shares:</w:t>
      </w:r>
    </w:p>
    <w:p>
      <w:pPr>
        <w:spacing w:after="0" w:line="11"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Intended trade date:</w:t>
      </w:r>
    </w:p>
    <w:p>
      <w:pPr>
        <w:ind w:left="120"/>
        <w:spacing w:after="0" w:line="215" w:lineRule="exact"/>
        <w:tabs>
          <w:tab w:leader="none" w:pos="2900" w:val="left"/>
          <w:tab w:leader="none" w:pos="3640" w:val="left"/>
        </w:tabs>
        <w:rPr>
          <w:sz w:val="20"/>
          <w:szCs w:val="20"/>
          <w:color w:val="auto"/>
        </w:rPr>
      </w:pPr>
      <w:r>
        <w:rPr>
          <w:rFonts w:ascii="Calibri" w:cs="Calibri" w:eastAsia="Calibri" w:hAnsi="Calibri"/>
          <w:sz w:val="18"/>
          <w:szCs w:val="18"/>
          <w:color w:val="auto"/>
        </w:rPr>
        <w:t>Means of acquiring shares: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Calibri" w:cs="Calibri" w:eastAsia="Calibri" w:hAnsi="Calibri"/>
          <w:sz w:val="17"/>
          <w:szCs w:val="17"/>
          <w:color w:val="auto"/>
        </w:rPr>
        <w:t>Acquisiton through employee beneft plan (please specify):</w:t>
      </w:r>
    </w:p>
    <w:p>
      <w:pPr>
        <w:spacing w:after="0" w:line="200" w:lineRule="exact"/>
        <w:rPr>
          <w:sz w:val="20"/>
          <w:szCs w:val="20"/>
          <w:color w:val="auto"/>
        </w:rPr>
      </w:pPr>
    </w:p>
    <w:p>
      <w:pPr>
        <w:spacing w:after="0" w:line="230" w:lineRule="exact"/>
        <w:rPr>
          <w:sz w:val="20"/>
          <w:szCs w:val="20"/>
          <w:color w:val="auto"/>
        </w:rPr>
      </w:pPr>
    </w:p>
    <w:p>
      <w:pPr>
        <w:ind w:left="3660" w:hanging="750"/>
        <w:spacing w:after="0"/>
        <w:tabs>
          <w:tab w:leader="none" w:pos="3660" w:val="left"/>
        </w:tabs>
        <w:numPr>
          <w:ilvl w:val="0"/>
          <w:numId w:val="107"/>
        </w:numPr>
        <w:rPr>
          <w:rFonts w:ascii="MS PGothic" w:cs="MS PGothic" w:eastAsia="MS PGothic" w:hAnsi="MS PGothic"/>
          <w:sz w:val="18"/>
          <w:szCs w:val="18"/>
          <w:color w:val="auto"/>
        </w:rPr>
      </w:pPr>
      <w:r>
        <w:rPr>
          <w:rFonts w:ascii="Calibri" w:cs="Calibri" w:eastAsia="Calibri" w:hAnsi="Calibri"/>
          <w:sz w:val="18"/>
          <w:szCs w:val="18"/>
          <w:color w:val="auto"/>
        </w:rPr>
        <w:t>Purchase through a broker on the open market</w:t>
      </w:r>
    </w:p>
    <w:p>
      <w:pPr>
        <w:spacing w:after="0" w:line="225" w:lineRule="exact"/>
        <w:rPr>
          <w:rFonts w:ascii="MS PGothic" w:cs="MS PGothic" w:eastAsia="MS PGothic" w:hAnsi="MS PGothic"/>
          <w:sz w:val="18"/>
          <w:szCs w:val="18"/>
          <w:color w:val="auto"/>
        </w:rPr>
      </w:pPr>
    </w:p>
    <w:p>
      <w:pPr>
        <w:ind w:left="3660" w:hanging="750"/>
        <w:spacing w:after="0"/>
        <w:tabs>
          <w:tab w:leader="none" w:pos="3660" w:val="left"/>
        </w:tabs>
        <w:numPr>
          <w:ilvl w:val="0"/>
          <w:numId w:val="107"/>
        </w:numPr>
        <w:rPr>
          <w:rFonts w:ascii="MS PGothic" w:cs="MS PGothic" w:eastAsia="MS PGothic" w:hAnsi="MS PGothic"/>
          <w:sz w:val="18"/>
          <w:szCs w:val="18"/>
          <w:color w:val="auto"/>
        </w:rPr>
      </w:pPr>
      <w:r>
        <w:rPr>
          <w:rFonts w:ascii="Calibri" w:cs="Calibri" w:eastAsia="Calibri" w:hAnsi="Calibri"/>
          <w:sz w:val="18"/>
          <w:szCs w:val="18"/>
          <w:color w:val="auto"/>
        </w:rPr>
        <w:t>Other (please specify):</w:t>
      </w:r>
    </w:p>
    <w:p>
      <w:pPr>
        <w:spacing w:after="0" w:line="131" w:lineRule="exact"/>
        <w:rPr>
          <w:sz w:val="20"/>
          <w:szCs w:val="20"/>
          <w:color w:val="auto"/>
        </w:rPr>
      </w:pPr>
    </w:p>
    <w:p>
      <w:pPr>
        <w:ind w:left="120"/>
        <w:spacing w:after="0"/>
        <w:rPr>
          <w:sz w:val="20"/>
          <w:szCs w:val="20"/>
          <w:color w:val="auto"/>
        </w:rPr>
      </w:pPr>
      <w:r>
        <w:rPr>
          <w:rFonts w:ascii="Calibri" w:cs="Calibri" w:eastAsia="Calibri" w:hAnsi="Calibri"/>
          <w:sz w:val="18"/>
          <w:szCs w:val="18"/>
          <w:b w:val="1"/>
          <w:bCs w:val="1"/>
          <w:u w:val="single" w:color="auto"/>
          <w:color w:val="auto"/>
        </w:rPr>
        <w:t>INTENT TO SELL</w:t>
      </w:r>
    </w:p>
    <w:p>
      <w:pPr>
        <w:spacing w:after="0" w:line="50"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Number of shares:</w:t>
      </w:r>
    </w:p>
    <w:p>
      <w:pPr>
        <w:spacing w:after="0" w:line="10"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Intended trade date:</w:t>
      </w:r>
    </w:p>
    <w:p>
      <w:pPr>
        <w:ind w:left="120"/>
        <w:spacing w:after="0" w:line="361" w:lineRule="exact"/>
        <w:tabs>
          <w:tab w:leader="none" w:pos="2900" w:val="left"/>
          <w:tab w:leader="none" w:pos="3640" w:val="left"/>
        </w:tabs>
        <w:rPr>
          <w:sz w:val="20"/>
          <w:szCs w:val="20"/>
          <w:color w:val="auto"/>
        </w:rPr>
      </w:pPr>
      <w:r>
        <w:rPr>
          <w:rFonts w:ascii="Calibri" w:cs="Calibri" w:eastAsia="Calibri" w:hAnsi="Calibri"/>
          <w:sz w:val="18"/>
          <w:szCs w:val="18"/>
          <w:color w:val="auto"/>
        </w:rPr>
        <w:t>Means of selling shares:</w:t>
      </w:r>
      <w:r>
        <w:rPr>
          <w:sz w:val="20"/>
          <w:szCs w:val="20"/>
          <w:color w:val="auto"/>
        </w:rPr>
        <w:tab/>
      </w:r>
      <w:r>
        <w:rPr>
          <w:rFonts w:ascii="MS PGothic" w:cs="MS PGothic" w:eastAsia="MS PGothic" w:hAnsi="MS PGothic"/>
          <w:sz w:val="36"/>
          <w:szCs w:val="36"/>
          <w:color w:val="auto"/>
          <w:vertAlign w:val="superscript"/>
        </w:rPr>
        <w:t>☐</w:t>
      </w:r>
      <w:r>
        <w:rPr>
          <w:sz w:val="20"/>
          <w:szCs w:val="20"/>
          <w:color w:val="auto"/>
        </w:rPr>
        <w:tab/>
      </w:r>
      <w:r>
        <w:rPr>
          <w:rFonts w:ascii="Calibri" w:cs="Calibri" w:eastAsia="Calibri" w:hAnsi="Calibri"/>
          <w:sz w:val="17"/>
          <w:szCs w:val="17"/>
          <w:color w:val="auto"/>
        </w:rPr>
        <w:t>Sale through employee beneft plan (please specify):</w:t>
      </w:r>
    </w:p>
    <w:p>
      <w:pPr>
        <w:spacing w:after="0" w:line="293" w:lineRule="exact"/>
        <w:rPr>
          <w:sz w:val="20"/>
          <w:szCs w:val="20"/>
          <w:color w:val="auto"/>
        </w:rPr>
      </w:pPr>
    </w:p>
    <w:p>
      <w:pPr>
        <w:ind w:left="3660" w:hanging="750"/>
        <w:spacing w:after="0"/>
        <w:tabs>
          <w:tab w:leader="none" w:pos="3660" w:val="left"/>
        </w:tabs>
        <w:numPr>
          <w:ilvl w:val="0"/>
          <w:numId w:val="108"/>
        </w:numPr>
        <w:rPr>
          <w:rFonts w:ascii="MS PGothic" w:cs="MS PGothic" w:eastAsia="MS PGothic" w:hAnsi="MS PGothic"/>
          <w:sz w:val="36"/>
          <w:szCs w:val="36"/>
          <w:color w:val="auto"/>
          <w:vertAlign w:val="superscript"/>
        </w:rPr>
      </w:pPr>
      <w:r>
        <w:rPr>
          <w:rFonts w:ascii="Calibri" w:cs="Calibri" w:eastAsia="Calibri" w:hAnsi="Calibri"/>
          <w:sz w:val="18"/>
          <w:szCs w:val="18"/>
          <w:color w:val="auto"/>
        </w:rPr>
        <w:t>Sale through a broker on the open market</w:t>
      </w:r>
    </w:p>
    <w:p>
      <w:pPr>
        <w:spacing w:after="0" w:line="266" w:lineRule="exact"/>
        <w:rPr>
          <w:rFonts w:ascii="MS PGothic" w:cs="MS PGothic" w:eastAsia="MS PGothic" w:hAnsi="MS PGothic"/>
          <w:sz w:val="36"/>
          <w:szCs w:val="36"/>
          <w:color w:val="auto"/>
          <w:vertAlign w:val="superscript"/>
        </w:rPr>
      </w:pPr>
    </w:p>
    <w:p>
      <w:pPr>
        <w:ind w:left="3660" w:hanging="750"/>
        <w:spacing w:after="0"/>
        <w:tabs>
          <w:tab w:leader="none" w:pos="3660" w:val="left"/>
        </w:tabs>
        <w:numPr>
          <w:ilvl w:val="0"/>
          <w:numId w:val="108"/>
        </w:numPr>
        <w:rPr>
          <w:rFonts w:ascii="MS PGothic" w:cs="MS PGothic" w:eastAsia="MS PGothic" w:hAnsi="MS PGothic"/>
          <w:sz w:val="18"/>
          <w:szCs w:val="18"/>
          <w:color w:val="auto"/>
        </w:rPr>
      </w:pPr>
      <w:r>
        <w:rPr>
          <w:rFonts w:ascii="Calibri" w:cs="Calibri" w:eastAsia="Calibri" w:hAnsi="Calibri"/>
          <w:sz w:val="18"/>
          <w:szCs w:val="18"/>
          <w:color w:val="auto"/>
        </w:rPr>
        <w:t>Other (please specify):</w:t>
      </w:r>
    </w:p>
    <w:p>
      <w:pPr>
        <w:spacing w:after="0" w:line="131" w:lineRule="exact"/>
        <w:rPr>
          <w:sz w:val="20"/>
          <w:szCs w:val="20"/>
          <w:color w:val="auto"/>
        </w:rPr>
      </w:pPr>
    </w:p>
    <w:p>
      <w:pPr>
        <w:ind w:left="200"/>
        <w:spacing w:after="0"/>
        <w:tabs>
          <w:tab w:leader="none" w:pos="5520" w:val="left"/>
        </w:tabs>
        <w:rPr>
          <w:sz w:val="20"/>
          <w:szCs w:val="20"/>
          <w:color w:val="auto"/>
        </w:rPr>
      </w:pPr>
      <w:r>
        <w:rPr>
          <w:rFonts w:ascii="Calibri" w:cs="Calibri" w:eastAsia="Calibri" w:hAnsi="Calibri"/>
          <w:sz w:val="18"/>
          <w:szCs w:val="18"/>
          <w:b w:val="1"/>
          <w:bCs w:val="1"/>
          <w:color w:val="auto"/>
        </w:rPr>
        <w:t>SECTION 16</w:t>
      </w:r>
      <w:r>
        <w:rPr>
          <w:sz w:val="20"/>
          <w:szCs w:val="20"/>
          <w:color w:val="auto"/>
        </w:rPr>
        <w:tab/>
      </w:r>
      <w:r>
        <w:rPr>
          <w:rFonts w:ascii="Calibri" w:cs="Calibri" w:eastAsia="Calibri" w:hAnsi="Calibri"/>
          <w:sz w:val="17"/>
          <w:szCs w:val="17"/>
          <w:b w:val="1"/>
          <w:bCs w:val="1"/>
          <w:color w:val="auto"/>
        </w:rPr>
        <w:t>RULE 144 (Not applicable if transacton requested involves a purchase)</w:t>
      </w:r>
    </w:p>
    <w:p>
      <w:pPr>
        <w:sectPr>
          <w:pgSz w:w="11900" w:h="16838" w:orient="portrait"/>
          <w:cols w:equalWidth="0" w:num="1">
            <w:col w:w="11000"/>
          </w:cols>
          <w:pgMar w:left="320" w:top="1440" w:right="579" w:bottom="1440" w:gutter="0" w:footer="0" w:header="0"/>
        </w:sectPr>
      </w:pPr>
    </w:p>
    <w:p>
      <w:pPr>
        <w:spacing w:after="0" w:line="212" w:lineRule="exact"/>
        <w:rPr>
          <w:sz w:val="20"/>
          <w:szCs w:val="20"/>
          <w:color w:val="auto"/>
        </w:rPr>
      </w:pPr>
    </w:p>
    <w:p>
      <w:pPr>
        <w:ind w:left="660" w:hanging="463"/>
        <w:spacing w:after="0"/>
        <w:tabs>
          <w:tab w:leader="none" w:pos="660" w:val="left"/>
        </w:tabs>
        <w:numPr>
          <w:ilvl w:val="0"/>
          <w:numId w:val="109"/>
        </w:numPr>
        <w:rPr>
          <w:rFonts w:ascii="MS PGothic" w:cs="MS PGothic" w:eastAsia="MS PGothic" w:hAnsi="MS PGothic"/>
          <w:sz w:val="18"/>
          <w:szCs w:val="18"/>
          <w:color w:val="auto"/>
        </w:rPr>
      </w:pPr>
      <w:r>
        <w:rPr>
          <w:rFonts w:ascii="Calibri" w:cs="Calibri" w:eastAsia="Calibri" w:hAnsi="Calibri"/>
          <w:sz w:val="18"/>
          <w:szCs w:val="18"/>
          <w:color w:val="auto"/>
        </w:rPr>
        <w:t>I am not subject to Secton 16.</w:t>
      </w:r>
    </w:p>
    <w:p>
      <w:pPr>
        <w:spacing w:after="0" w:line="284" w:lineRule="exact"/>
        <w:rPr>
          <w:rFonts w:ascii="MS PGothic" w:cs="MS PGothic" w:eastAsia="MS PGothic" w:hAnsi="MS PGothic"/>
          <w:sz w:val="18"/>
          <w:szCs w:val="18"/>
          <w:color w:val="auto"/>
        </w:rPr>
      </w:pPr>
    </w:p>
    <w:p>
      <w:pPr>
        <w:ind w:left="660" w:right="231" w:hanging="463"/>
        <w:spacing w:after="0" w:line="235" w:lineRule="auto"/>
        <w:tabs>
          <w:tab w:leader="none" w:pos="660" w:val="left"/>
        </w:tabs>
        <w:numPr>
          <w:ilvl w:val="0"/>
          <w:numId w:val="109"/>
        </w:numPr>
        <w:rPr>
          <w:rFonts w:ascii="MS PGothic" w:cs="MS PGothic" w:eastAsia="MS PGothic" w:hAnsi="MS PGothic"/>
          <w:sz w:val="18"/>
          <w:szCs w:val="18"/>
          <w:color w:val="auto"/>
        </w:rPr>
      </w:pPr>
      <w:r>
        <w:rPr>
          <w:rFonts w:ascii="Calibri" w:cs="Calibri" w:eastAsia="Calibri" w:hAnsi="Calibri"/>
          <w:sz w:val="18"/>
          <w:szCs w:val="18"/>
          <w:color w:val="auto"/>
        </w:rPr>
        <w:t>To the best of my knowledge, I have not (and am not deemed to have) engaged in an opposite way transacton within the previous 6 months that was not exempt from Secton 16(b) of the Exchange Act.</w:t>
      </w:r>
    </w:p>
    <w:p>
      <w:pPr>
        <w:spacing w:after="0" w:line="349" w:lineRule="exact"/>
        <w:rPr>
          <w:rFonts w:ascii="MS PGothic" w:cs="MS PGothic" w:eastAsia="MS PGothic" w:hAnsi="MS PGothic"/>
          <w:sz w:val="18"/>
          <w:szCs w:val="18"/>
          <w:color w:val="auto"/>
        </w:rPr>
      </w:pPr>
    </w:p>
    <w:p>
      <w:pPr>
        <w:ind w:left="660" w:hanging="463"/>
        <w:spacing w:after="0"/>
        <w:tabs>
          <w:tab w:leader="none" w:pos="660" w:val="left"/>
        </w:tabs>
        <w:numPr>
          <w:ilvl w:val="0"/>
          <w:numId w:val="109"/>
        </w:numPr>
        <w:rPr>
          <w:rFonts w:ascii="MS PGothic" w:cs="MS PGothic" w:eastAsia="MS PGothic" w:hAnsi="MS PGothic"/>
          <w:sz w:val="18"/>
          <w:szCs w:val="18"/>
          <w:color w:val="auto"/>
        </w:rPr>
      </w:pPr>
      <w:r>
        <w:rPr>
          <w:rFonts w:ascii="Calibri" w:cs="Calibri" w:eastAsia="Calibri" w:hAnsi="Calibri"/>
          <w:sz w:val="18"/>
          <w:szCs w:val="18"/>
          <w:color w:val="auto"/>
        </w:rPr>
        <w:t>None of the above.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549" w:right="200" w:hanging="549"/>
        <w:spacing w:after="0" w:line="235" w:lineRule="auto"/>
        <w:tabs>
          <w:tab w:leader="none" w:pos="549" w:val="left"/>
        </w:tabs>
        <w:numPr>
          <w:ilvl w:val="0"/>
          <w:numId w:val="110"/>
        </w:numPr>
        <w:rPr>
          <w:rFonts w:ascii="MS PGothic" w:cs="MS PGothic" w:eastAsia="MS PGothic" w:hAnsi="MS PGothic"/>
          <w:sz w:val="18"/>
          <w:szCs w:val="18"/>
          <w:color w:val="auto"/>
        </w:rPr>
      </w:pPr>
      <w:r>
        <w:rPr>
          <w:rFonts w:ascii="Calibri" w:cs="Calibri" w:eastAsia="Calibri" w:hAnsi="Calibri"/>
          <w:sz w:val="18"/>
          <w:szCs w:val="18"/>
          <w:color w:val="auto"/>
        </w:rPr>
        <w:t>I am not an “afliate” of the Company and the transacton requested above does not involve the sale of “restricted securites” (as such terms are defned under Rule 144 under the Securites Act of 1933, as amended).</w:t>
      </w:r>
    </w:p>
    <w:p>
      <w:pPr>
        <w:spacing w:after="0" w:line="354" w:lineRule="exact"/>
        <w:rPr>
          <w:rFonts w:ascii="MS PGothic" w:cs="MS PGothic" w:eastAsia="MS PGothic" w:hAnsi="MS PGothic"/>
          <w:sz w:val="18"/>
          <w:szCs w:val="18"/>
          <w:color w:val="auto"/>
        </w:rPr>
      </w:pPr>
    </w:p>
    <w:p>
      <w:pPr>
        <w:ind w:left="549" w:hanging="549"/>
        <w:spacing w:after="0" w:line="235" w:lineRule="auto"/>
        <w:tabs>
          <w:tab w:leader="none" w:pos="549" w:val="left"/>
        </w:tabs>
        <w:numPr>
          <w:ilvl w:val="0"/>
          <w:numId w:val="110"/>
        </w:numPr>
        <w:rPr>
          <w:rFonts w:ascii="MS PGothic" w:cs="MS PGothic" w:eastAsia="MS PGothic" w:hAnsi="MS PGothic"/>
          <w:sz w:val="18"/>
          <w:szCs w:val="18"/>
          <w:color w:val="auto"/>
        </w:rPr>
      </w:pPr>
      <w:r>
        <w:rPr>
          <w:rFonts w:ascii="Calibri" w:cs="Calibri" w:eastAsia="Calibri" w:hAnsi="Calibri"/>
          <w:sz w:val="18"/>
          <w:szCs w:val="18"/>
          <w:color w:val="auto"/>
        </w:rPr>
        <w:t>To the best of my knowledge, the transacton requested above will meet all of the applicable conditons of Rule 144.</w:t>
      </w:r>
    </w:p>
    <w:p>
      <w:pPr>
        <w:spacing w:after="0" w:line="484" w:lineRule="exact"/>
        <w:rPr>
          <w:sz w:val="20"/>
          <w:szCs w:val="20"/>
          <w:color w:val="auto"/>
        </w:rPr>
      </w:pPr>
    </w:p>
    <w:p>
      <w:pPr>
        <w:sectPr>
          <w:pgSz w:w="11900" w:h="16838" w:orient="portrait"/>
          <w:cols w:equalWidth="0" w:num="2">
            <w:col w:w="4971" w:space="720"/>
            <w:col w:w="5309"/>
          </w:cols>
          <w:pgMar w:left="320" w:top="1440" w:right="579" w:bottom="1440" w:gutter="0" w:footer="0" w:header="0"/>
          <w:type w:val="continuous"/>
        </w:sectPr>
      </w:pPr>
    </w:p>
    <w:p>
      <w:pPr>
        <w:spacing w:after="0" w:line="85" w:lineRule="exact"/>
        <w:rPr>
          <w:sz w:val="20"/>
          <w:szCs w:val="20"/>
          <w:color w:val="auto"/>
        </w:rPr>
      </w:pPr>
    </w:p>
    <w:p>
      <w:pPr>
        <w:ind w:left="6240" w:right="100" w:hanging="549"/>
        <w:spacing w:after="0" w:line="235" w:lineRule="auto"/>
        <w:tabs>
          <w:tab w:leader="none" w:pos="6240" w:val="left"/>
        </w:tabs>
        <w:numPr>
          <w:ilvl w:val="0"/>
          <w:numId w:val="111"/>
        </w:numPr>
        <w:rPr>
          <w:rFonts w:ascii="MS PGothic" w:cs="MS PGothic" w:eastAsia="MS PGothic" w:hAnsi="MS PGothic"/>
          <w:sz w:val="18"/>
          <w:szCs w:val="18"/>
          <w:color w:val="auto"/>
        </w:rPr>
      </w:pPr>
      <w:r>
        <w:rPr>
          <w:rFonts w:ascii="Calibri" w:cs="Calibri" w:eastAsia="Calibri" w:hAnsi="Calibri"/>
          <w:sz w:val="18"/>
          <w:szCs w:val="18"/>
          <w:color w:val="auto"/>
        </w:rPr>
        <w:t>The transacton requested is being made pursuant to an efectve registraton statement covering such transacton.</w:t>
      </w:r>
    </w:p>
    <w:p>
      <w:pPr>
        <w:spacing w:after="0" w:line="200" w:lineRule="exact"/>
        <w:rPr>
          <w:rFonts w:ascii="MS PGothic" w:cs="MS PGothic" w:eastAsia="MS PGothic" w:hAnsi="MS PGothic"/>
          <w:sz w:val="18"/>
          <w:szCs w:val="18"/>
          <w:color w:val="auto"/>
        </w:rPr>
      </w:pPr>
    </w:p>
    <w:p>
      <w:pPr>
        <w:spacing w:after="0" w:line="336" w:lineRule="exact"/>
        <w:rPr>
          <w:rFonts w:ascii="MS PGothic" w:cs="MS PGothic" w:eastAsia="MS PGothic" w:hAnsi="MS PGothic"/>
          <w:sz w:val="18"/>
          <w:szCs w:val="18"/>
          <w:color w:val="auto"/>
        </w:rPr>
      </w:pPr>
    </w:p>
    <w:p>
      <w:pPr>
        <w:ind w:left="6240" w:hanging="549"/>
        <w:spacing w:after="0"/>
        <w:tabs>
          <w:tab w:leader="none" w:pos="6240" w:val="left"/>
        </w:tabs>
        <w:numPr>
          <w:ilvl w:val="0"/>
          <w:numId w:val="111"/>
        </w:numPr>
        <w:rPr>
          <w:rFonts w:ascii="MS PGothic" w:cs="MS PGothic" w:eastAsia="MS PGothic" w:hAnsi="MS PGothic"/>
          <w:sz w:val="18"/>
          <w:szCs w:val="18"/>
          <w:color w:val="auto"/>
        </w:rPr>
      </w:pPr>
      <w:r>
        <w:rPr>
          <w:rFonts w:ascii="Calibri" w:cs="Calibri" w:eastAsia="Calibri" w:hAnsi="Calibri"/>
          <w:sz w:val="18"/>
          <w:szCs w:val="18"/>
          <w:color w:val="auto"/>
        </w:rPr>
        <w:t>None of the above.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80"/>
        <w:spacing w:after="0"/>
        <w:rPr>
          <w:sz w:val="20"/>
          <w:szCs w:val="20"/>
          <w:color w:val="auto"/>
        </w:rPr>
      </w:pPr>
      <w:r>
        <w:rPr>
          <w:rFonts w:ascii="Calibri" w:cs="Calibri" w:eastAsia="Calibri" w:hAnsi="Calibri"/>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type w:val="continuous"/>
        </w:sectPr>
      </w:pPr>
    </w:p>
    <w:bookmarkStart w:id="145" w:name="page146"/>
    <w:bookmarkEnd w:id="145"/>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45020" cy="18084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3">
                      <a:extLst>
                        <a:ext uri="{28A0092B-C50C-407E-A947-70E740481C1C}"/>
                      </a:extLst>
                    </a:blip>
                    <a:srcRect/>
                    <a:stretch>
                      <a:fillRect/>
                    </a:stretch>
                  </pic:blipFill>
                  <pic:spPr bwMode="auto">
                    <a:xfrm>
                      <a:off x="0" y="0"/>
                      <a:ext cx="7145020" cy="1808480"/>
                    </a:xfrm>
                    <a:prstGeom prst="rect">
                      <a:avLst/>
                    </a:prstGeom>
                    <a:noFill/>
                  </pic:spPr>
                </pic:pic>
              </a:graphicData>
            </a:graphic>
          </wp:anchor>
        </w:drawing>
      </w:r>
    </w:p>
    <w:p>
      <w:pPr>
        <w:ind w:left="140"/>
        <w:spacing w:after="0"/>
        <w:rPr>
          <w:sz w:val="20"/>
          <w:szCs w:val="20"/>
          <w:color w:val="auto"/>
        </w:rPr>
      </w:pPr>
      <w:r>
        <w:rPr>
          <w:rFonts w:ascii="Calibri" w:cs="Calibri" w:eastAsia="Calibri" w:hAnsi="Calibri"/>
          <w:sz w:val="18"/>
          <w:szCs w:val="18"/>
          <w:b w:val="1"/>
          <w:bCs w:val="1"/>
          <w:u w:val="single" w:color="auto"/>
          <w:color w:val="auto"/>
        </w:rPr>
        <w:t>CERTIFICATION</w:t>
      </w:r>
    </w:p>
    <w:p>
      <w:pPr>
        <w:spacing w:after="0" w:line="55" w:lineRule="exact"/>
        <w:rPr>
          <w:sz w:val="20"/>
          <w:szCs w:val="20"/>
          <w:color w:val="auto"/>
        </w:rPr>
      </w:pPr>
    </w:p>
    <w:p>
      <w:pPr>
        <w:ind w:left="140" w:right="200"/>
        <w:spacing w:after="0" w:line="235" w:lineRule="auto"/>
        <w:rPr>
          <w:sz w:val="20"/>
          <w:szCs w:val="20"/>
          <w:color w:val="auto"/>
        </w:rPr>
      </w:pPr>
      <w:r>
        <w:rPr>
          <w:rFonts w:ascii="Calibri" w:cs="Calibri" w:eastAsia="Calibri" w:hAnsi="Calibri"/>
          <w:sz w:val="18"/>
          <w:szCs w:val="18"/>
          <w:color w:val="auto"/>
        </w:rPr>
        <w:t>I hereby certfy that I am not (1) in possession of any material, nonpublic informaton concerning the Company, as defned in the Company’s Insider Trading Policy and (2) purchasing any securites of the Company on margin in contraventon of the Company’s Trading Procedures. I understand that, if I trade while possessing such informaton or in violaton of such trading restrictons, I may be subject to severe civil and/or criminal penaltes, and may be subject to discipline by the Company including terminaton of my employment.</w:t>
      </w:r>
    </w:p>
    <w:p>
      <w:pPr>
        <w:spacing w:after="0" w:line="200" w:lineRule="exact"/>
        <w:rPr>
          <w:sz w:val="20"/>
          <w:szCs w:val="20"/>
          <w:color w:val="auto"/>
        </w:rPr>
      </w:pPr>
    </w:p>
    <w:p>
      <w:pPr>
        <w:spacing w:after="0" w:line="244" w:lineRule="exact"/>
        <w:rPr>
          <w:sz w:val="20"/>
          <w:szCs w:val="20"/>
          <w:color w:val="auto"/>
        </w:rPr>
      </w:pPr>
    </w:p>
    <w:p>
      <w:pPr>
        <w:ind w:left="260"/>
        <w:spacing w:after="0"/>
        <w:tabs>
          <w:tab w:leader="none" w:pos="6060" w:val="left"/>
        </w:tabs>
        <w:rPr>
          <w:sz w:val="20"/>
          <w:szCs w:val="20"/>
          <w:color w:val="auto"/>
        </w:rPr>
      </w:pPr>
      <w:r>
        <w:rPr>
          <w:rFonts w:ascii="Calibri" w:cs="Calibri" w:eastAsia="Calibri" w:hAnsi="Calibri"/>
          <w:sz w:val="18"/>
          <w:szCs w:val="18"/>
          <w:color w:val="auto"/>
        </w:rPr>
        <w:t>Insider’s Signature</w:t>
      </w:r>
      <w:r>
        <w:rPr>
          <w:sz w:val="20"/>
          <w:szCs w:val="20"/>
          <w:color w:val="auto"/>
        </w:rPr>
        <w:tab/>
      </w:r>
      <w:r>
        <w:rPr>
          <w:rFonts w:ascii="Calibri" w:cs="Calibri" w:eastAsia="Calibri" w:hAnsi="Calibri"/>
          <w:sz w:val="17"/>
          <w:szCs w:val="17"/>
          <w:color w:val="auto"/>
        </w:rPr>
        <w:t>Date</w:t>
      </w:r>
    </w:p>
    <w:p>
      <w:pPr>
        <w:spacing w:after="0" w:line="77" w:lineRule="exact"/>
        <w:rPr>
          <w:sz w:val="20"/>
          <w:szCs w:val="20"/>
          <w:color w:val="auto"/>
        </w:rPr>
      </w:pPr>
    </w:p>
    <w:p>
      <w:pPr>
        <w:ind w:left="140"/>
        <w:spacing w:after="0"/>
        <w:rPr>
          <w:sz w:val="20"/>
          <w:szCs w:val="20"/>
          <w:color w:val="auto"/>
        </w:rPr>
      </w:pPr>
      <w:r>
        <w:rPr>
          <w:rFonts w:ascii="Calibri" w:cs="Calibri" w:eastAsia="Calibri" w:hAnsi="Calibri"/>
          <w:sz w:val="18"/>
          <w:szCs w:val="18"/>
          <w:b w:val="1"/>
          <w:bCs w:val="1"/>
          <w:u w:val="single" w:color="auto"/>
          <w:color w:val="auto"/>
        </w:rPr>
        <w:t>APPROVAL</w:t>
      </w:r>
    </w:p>
    <w:p>
      <w:pPr>
        <w:spacing w:after="0" w:line="200" w:lineRule="exact"/>
        <w:rPr>
          <w:sz w:val="20"/>
          <w:szCs w:val="20"/>
          <w:color w:val="auto"/>
        </w:rPr>
      </w:pPr>
    </w:p>
    <w:p>
      <w:pPr>
        <w:spacing w:after="0" w:line="242" w:lineRule="exact"/>
        <w:rPr>
          <w:sz w:val="20"/>
          <w:szCs w:val="20"/>
          <w:color w:val="auto"/>
        </w:rPr>
      </w:pPr>
    </w:p>
    <w:p>
      <w:pPr>
        <w:ind w:left="260"/>
        <w:spacing w:after="0"/>
        <w:tabs>
          <w:tab w:leader="none" w:pos="6060" w:val="left"/>
        </w:tabs>
        <w:rPr>
          <w:sz w:val="20"/>
          <w:szCs w:val="20"/>
          <w:color w:val="auto"/>
        </w:rPr>
      </w:pPr>
      <w:r>
        <w:rPr>
          <w:rFonts w:ascii="Calibri" w:cs="Calibri" w:eastAsia="Calibri" w:hAnsi="Calibri"/>
          <w:sz w:val="18"/>
          <w:szCs w:val="18"/>
          <w:color w:val="auto"/>
        </w:rPr>
        <w:t>Signature of Compliance Ofcer (or designee)</w:t>
      </w:r>
      <w:r>
        <w:rPr>
          <w:sz w:val="20"/>
          <w:szCs w:val="20"/>
          <w:color w:val="auto"/>
        </w:rPr>
        <w:tab/>
      </w:r>
      <w:r>
        <w:rPr>
          <w:rFonts w:ascii="Calibri" w:cs="Calibri" w:eastAsia="Calibri" w:hAnsi="Calibri"/>
          <w:sz w:val="17"/>
          <w:szCs w:val="17"/>
          <w:color w:val="auto"/>
        </w:rPr>
        <w:t>Date</w:t>
      </w:r>
    </w:p>
    <w:p>
      <w:pPr>
        <w:spacing w:after="0" w:line="389"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*NOTE: Multple lots must be listed on separate forms or broken out.</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color w:val="auto"/>
        </w:rPr>
        <w:t>Please submit completed forms to tradeclearance@relaytx.com.</w:t>
      </w:r>
    </w:p>
    <w:p>
      <w:pPr>
        <w:spacing w:after="0" w:line="228" w:lineRule="exact"/>
        <w:rPr>
          <w:sz w:val="20"/>
          <w:szCs w:val="20"/>
          <w:color w:val="auto"/>
        </w:rPr>
      </w:pPr>
    </w:p>
    <w:p>
      <w:pPr>
        <w:spacing w:after="0" w:line="237" w:lineRule="auto"/>
        <w:rPr>
          <w:sz w:val="20"/>
          <w:szCs w:val="20"/>
          <w:color w:val="auto"/>
        </w:rPr>
      </w:pPr>
      <w:r>
        <w:rPr>
          <w:rFonts w:ascii="Calibri" w:cs="Calibri" w:eastAsia="Calibri" w:hAnsi="Calibri"/>
          <w:sz w:val="22"/>
          <w:szCs w:val="22"/>
          <w:color w:val="auto"/>
        </w:rPr>
        <w:t>If the proposed transacton is approved, the approval will be valid for two (2) business days upon receipt. If you have not completed the proposed transacton within two (2) business days of approval, you must submit a new stock transacton request prior to executng the transacton.</w:t>
      </w:r>
    </w:p>
    <w:p>
      <w:pPr>
        <w:spacing w:after="0" w:line="220" w:lineRule="exact"/>
        <w:rPr>
          <w:sz w:val="20"/>
          <w:szCs w:val="20"/>
          <w:color w:val="auto"/>
        </w:rPr>
      </w:pPr>
    </w:p>
    <w:p>
      <w:pPr>
        <w:ind w:left="5880"/>
        <w:spacing w:after="0"/>
        <w:rPr>
          <w:sz w:val="20"/>
          <w:szCs w:val="20"/>
          <w:color w:val="auto"/>
        </w:rPr>
      </w:pPr>
      <w:r>
        <w:rPr>
          <w:rFonts w:ascii="Calibri" w:cs="Calibri" w:eastAsia="Calibri" w:hAnsi="Calibri"/>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24" w:lineRule="exact"/>
        <w:rPr>
          <w:sz w:val="20"/>
          <w:szCs w:val="20"/>
          <w:color w:val="auto"/>
        </w:rPr>
      </w:pPr>
    </w:p>
    <w:p>
      <w:pPr>
        <w:jc w:val="center"/>
        <w:ind w:right="-59"/>
        <w:spacing w:after="0"/>
        <w:rPr>
          <w:sz w:val="20"/>
          <w:szCs w:val="20"/>
          <w:color w:val="auto"/>
        </w:rPr>
      </w:pPr>
      <w:r>
        <w:rPr>
          <w:rFonts w:ascii="Calibri" w:cs="Calibri" w:eastAsia="Calibri" w:hAnsi="Calibri"/>
          <w:sz w:val="22"/>
          <w:szCs w:val="22"/>
          <w:b w:val="1"/>
          <w:bCs w:val="1"/>
          <w:u w:val="single" w:color="auto"/>
          <w:color w:val="auto"/>
        </w:rPr>
        <w:t>EXHIBIT B</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ACKNOWLEDGMENT</w:t>
      </w:r>
    </w:p>
    <w:p>
      <w:pPr>
        <w:spacing w:after="0" w:line="230" w:lineRule="exact"/>
        <w:rPr>
          <w:sz w:val="20"/>
          <w:szCs w:val="20"/>
          <w:color w:val="auto"/>
        </w:rPr>
      </w:pPr>
    </w:p>
    <w:p>
      <w:pPr>
        <w:ind w:firstLine="749"/>
        <w:spacing w:after="0" w:line="239" w:lineRule="auto"/>
        <w:rPr>
          <w:sz w:val="20"/>
          <w:szCs w:val="20"/>
          <w:color w:val="auto"/>
        </w:rPr>
      </w:pPr>
      <w:r>
        <w:rPr>
          <w:rFonts w:ascii="Calibri" w:cs="Calibri" w:eastAsia="Calibri" w:hAnsi="Calibri"/>
          <w:sz w:val="22"/>
          <w:szCs w:val="22"/>
          <w:color w:val="auto"/>
        </w:rPr>
        <w:t>I hereby acknowledge that I have read, that I understand, and that I agree to comply with, the Insider Trading Policy of Relay Therapeutcs, Inc. (the “Company”). I further acknowledge and agree that I am responsible for ensuring compliance with the Insider Trading Policy and the Trading Procedures included therein by all of my “Afliated Persons” (including such persons listed below). I also understand and agree that I will be subject to sanctons, including terminaton of employment, that may be imposed by the Company, in its sole discreton, for violaton of the Insider Trading Policy, and that the Company may give stop-transfer and other instructons to the Company’s transfer agent or any brokerage frm managing the Company’s equity incentve plan(s) against the transfer of any Company securites in a transacton that the Company considers to be in contraventon of the Insider Trading Policy.</w:t>
      </w:r>
    </w:p>
    <w:p>
      <w:pPr>
        <w:spacing w:after="0" w:line="237" w:lineRule="exact"/>
        <w:rPr>
          <w:sz w:val="20"/>
          <w:szCs w:val="20"/>
          <w:color w:val="auto"/>
        </w:rPr>
      </w:pPr>
    </w:p>
    <w:p>
      <w:pPr>
        <w:ind w:right="280" w:firstLine="749"/>
        <w:spacing w:after="0" w:line="237" w:lineRule="auto"/>
        <w:rPr>
          <w:sz w:val="20"/>
          <w:szCs w:val="20"/>
          <w:color w:val="auto"/>
        </w:rPr>
      </w:pPr>
      <w:r>
        <w:rPr>
          <w:rFonts w:ascii="Calibri" w:cs="Calibri" w:eastAsia="Calibri" w:hAnsi="Calibri"/>
          <w:sz w:val="22"/>
          <w:szCs w:val="22"/>
          <w:color w:val="auto"/>
        </w:rPr>
        <w:t>This acknowledgement consttutes consent for the Company to impose sanctons for violaton of the Insider Trading Policy, including the Trading Procedures, and to issue any stop-transfer orders to the Company’s transfer agent that the Company, in its sole discreton, deems appropriate to ensure compliance.</w:t>
      </w:r>
    </w:p>
    <w:p>
      <w:pPr>
        <w:spacing w:after="0" w:line="272" w:lineRule="exact"/>
        <w:rPr>
          <w:sz w:val="20"/>
          <w:szCs w:val="20"/>
          <w:color w:val="auto"/>
        </w:rPr>
      </w:pPr>
    </w:p>
    <w:p>
      <w:pPr>
        <w:ind w:left="20"/>
        <w:spacing w:after="0"/>
        <w:tabs>
          <w:tab w:leader="none" w:pos="5420" w:val="left"/>
        </w:tabs>
        <w:rPr>
          <w:sz w:val="20"/>
          <w:szCs w:val="20"/>
          <w:color w:val="auto"/>
        </w:rPr>
      </w:pPr>
      <w:r>
        <w:rPr>
          <w:rFonts w:ascii="Calibri" w:cs="Calibri" w:eastAsia="Calibri" w:hAnsi="Calibri"/>
          <w:sz w:val="22"/>
          <w:szCs w:val="22"/>
          <w:color w:val="auto"/>
        </w:rPr>
        <w:t>Date:</w:t>
      </w:r>
      <w:r>
        <w:rPr>
          <w:sz w:val="20"/>
          <w:szCs w:val="20"/>
          <w:color w:val="auto"/>
        </w:rPr>
        <w:tab/>
      </w:r>
      <w:r>
        <w:rPr>
          <w:rFonts w:ascii="Calibri" w:cs="Calibri" w:eastAsia="Calibri" w:hAnsi="Calibri"/>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10160</wp:posOffset>
            </wp:positionV>
            <wp:extent cx="17913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5">
                      <a:extLst>
                        <a:ext uri="{28A0092B-C50C-407E-A947-70E740481C1C}"/>
                      </a:extLst>
                    </a:blip>
                    <a:srcRect/>
                    <a:stretch>
                      <a:fillRect/>
                    </a:stretch>
                  </pic:blipFill>
                  <pic:spPr bwMode="auto">
                    <a:xfrm>
                      <a:off x="0" y="0"/>
                      <a:ext cx="17913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10160</wp:posOffset>
            </wp:positionV>
            <wp:extent cx="28460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7" w:lineRule="exact"/>
        <w:rPr>
          <w:sz w:val="20"/>
          <w:szCs w:val="20"/>
          <w:color w:val="auto"/>
        </w:rPr>
      </w:pPr>
    </w:p>
    <w:p>
      <w:pPr>
        <w:ind w:left="5440"/>
        <w:spacing w:after="0"/>
        <w:rPr>
          <w:sz w:val="20"/>
          <w:szCs w:val="20"/>
          <w:color w:val="auto"/>
        </w:rPr>
      </w:pPr>
      <w:r>
        <w:rPr>
          <w:rFonts w:ascii="Calibri" w:cs="Calibri" w:eastAsia="Calibri" w:hAnsi="Calibri"/>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9525</wp:posOffset>
            </wp:positionV>
            <wp:extent cx="28460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7" w:lineRule="exact"/>
        <w:rPr>
          <w:sz w:val="20"/>
          <w:szCs w:val="20"/>
          <w:color w:val="auto"/>
        </w:rPr>
      </w:pPr>
    </w:p>
    <w:p>
      <w:pPr>
        <w:jc w:val="center"/>
        <w:ind w:right="-119"/>
        <w:spacing w:after="0"/>
        <w:rPr>
          <w:sz w:val="20"/>
          <w:szCs w:val="20"/>
          <w:color w:val="auto"/>
        </w:rPr>
      </w:pPr>
      <w:r>
        <w:rPr>
          <w:rFonts w:ascii="Calibri" w:cs="Calibri" w:eastAsia="Calibri" w:hAnsi="Calibri"/>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9525</wp:posOffset>
            </wp:positionV>
            <wp:extent cx="28460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80"/>
        <w:spacing w:after="0"/>
        <w:rPr>
          <w:sz w:val="20"/>
          <w:szCs w:val="20"/>
          <w:color w:val="auto"/>
        </w:rPr>
      </w:pPr>
      <w:r>
        <w:rPr>
          <w:rFonts w:ascii="Calibri" w:cs="Calibri" w:eastAsia="Calibri" w:hAnsi="Calibri"/>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85" w:lineRule="exact"/>
        <w:rPr>
          <w:sz w:val="20"/>
          <w:szCs w:val="20"/>
          <w:color w:val="auto"/>
        </w:rPr>
      </w:pPr>
    </w:p>
    <w:p>
      <w:pPr>
        <w:ind w:right="2500" w:firstLine="2449"/>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 w:lineRule="exact"/>
        <w:rPr>
          <w:sz w:val="20"/>
          <w:szCs w:val="20"/>
          <w:color w:val="auto"/>
        </w:rPr>
      </w:pPr>
    </w:p>
    <w:p>
      <w:pPr>
        <w:ind w:left="760" w:right="20" w:hanging="378"/>
        <w:spacing w:after="0" w:line="282" w:lineRule="auto"/>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333-239912) pertaining to the 2016 Stock Option and Grant Plan, 2020 Stock Option and Incentive Plan, and 2020 Employee Stock Purchase Plan of Relay Therapeutics, Inc.,</w:t>
      </w:r>
    </w:p>
    <w:p>
      <w:pPr>
        <w:spacing w:after="0" w:line="10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 333-254704, No. 333-262974, No. 333-269959, and No. 333-277278) pertaining to the 2020 Stock Option and Incentive Plan and 2020 Employee Stock Purchase Plan of Relay Therapeutics, Inc., and</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S-3ASR No. 333-258768 and No. 333-281308) of Relay Therapeutics, Inc.;</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February 26, 2025, with respect to the consolidated financial statements of Relay Therapeutics, Inc. and the effectiveness of internal control over financial reporting of Relay Therapeutics, Inc. included in this Annual Report (Form 10-K) of Relay Therapeutics, Inc. for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1253490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6"/>
          <w:szCs w:val="16"/>
          <w:b w:val="1"/>
          <w:bCs w:val="1"/>
          <w:color w:val="auto"/>
        </w:rPr>
        <w:t>CERTIFICATION OF PRINCIPAL EXECUTIVE OFFICER PURSUANT TO RULES 13a-14(a) OR 15d-14(a) UNDER THE SECURITIES EXCHANGE ACT OF 1934,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Sanjiv K. Patel, certify that:</w:t>
      </w:r>
    </w:p>
    <w:p>
      <w:pPr>
        <w:spacing w:after="0" w:line="235" w:lineRule="exact"/>
        <w:rPr>
          <w:sz w:val="20"/>
          <w:szCs w:val="20"/>
          <w:color w:val="auto"/>
        </w:rPr>
      </w:pPr>
    </w:p>
    <w:p>
      <w:pPr>
        <w:ind w:left="380" w:hanging="372"/>
        <w:spacing w:after="0"/>
        <w:tabs>
          <w:tab w:leader="none" w:pos="3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Relay Therapeutics, Inc.;</w:t>
      </w:r>
    </w:p>
    <w:p>
      <w:pPr>
        <w:spacing w:after="0" w:line="234" w:lineRule="exact"/>
        <w:rPr>
          <w:rFonts w:ascii="Times New Roman" w:cs="Times New Roman" w:eastAsia="Times New Roman" w:hAnsi="Times New Roman"/>
          <w:sz w:val="16"/>
          <w:szCs w:val="16"/>
          <w:color w:val="auto"/>
        </w:rPr>
      </w:pPr>
    </w:p>
    <w:p>
      <w:pPr>
        <w:ind w:left="380" w:right="100" w:hanging="372"/>
        <w:spacing w:after="0" w:line="298" w:lineRule="auto"/>
        <w:tabs>
          <w:tab w:leader="none" w:pos="3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380" w:right="100" w:hanging="372"/>
        <w:spacing w:after="0" w:line="298" w:lineRule="auto"/>
        <w:tabs>
          <w:tab w:leader="none" w:pos="3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760" w:right="80" w:hanging="378"/>
        <w:spacing w:after="0" w:line="281" w:lineRule="auto"/>
        <w:tabs>
          <w:tab w:leader="none" w:pos="760"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6"/>
          <w:szCs w:val="16"/>
          <w:color w:val="auto"/>
        </w:rPr>
      </w:pPr>
    </w:p>
    <w:p>
      <w:pPr>
        <w:ind w:left="760" w:right="20" w:hanging="378"/>
        <w:spacing w:after="0" w:line="281" w:lineRule="auto"/>
        <w:tabs>
          <w:tab w:leader="none" w:pos="760"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760" w:right="440" w:hanging="378"/>
        <w:spacing w:after="0" w:line="298" w:lineRule="auto"/>
        <w:tabs>
          <w:tab w:leader="none" w:pos="760"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ind w:left="760" w:right="80" w:hanging="378"/>
        <w:spacing w:after="0" w:line="281" w:lineRule="auto"/>
        <w:tabs>
          <w:tab w:leader="none" w:pos="760"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380" w:right="380" w:hanging="372"/>
        <w:spacing w:after="0" w:line="298" w:lineRule="auto"/>
        <w:tabs>
          <w:tab w:leader="none" w:pos="3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760" w:right="620" w:hanging="378"/>
        <w:spacing w:after="0" w:line="298" w:lineRule="auto"/>
        <w:tabs>
          <w:tab w:leader="none" w:pos="760"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760" w:right="220" w:hanging="378"/>
        <w:spacing w:after="0" w:line="298" w:lineRule="auto"/>
        <w:tabs>
          <w:tab w:leader="none" w:pos="760"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p>
      <w:pPr>
        <w:ind w:left="20"/>
        <w:spacing w:after="0"/>
        <w:tabs>
          <w:tab w:leader="none" w:pos="4620" w:val="left"/>
          <w:tab w:leader="none" w:pos="7420" w:val="left"/>
        </w:tabs>
        <w:rPr>
          <w:sz w:val="20"/>
          <w:szCs w:val="20"/>
          <w:color w:val="auto"/>
        </w:rPr>
      </w:pPr>
      <w:r>
        <w:rPr>
          <w:rFonts w:ascii="Times New Roman" w:cs="Times New Roman" w:eastAsia="Times New Roman" w:hAnsi="Times New Roman"/>
          <w:sz w:val="16"/>
          <w:szCs w:val="16"/>
          <w:color w:val="auto"/>
        </w:rPr>
        <w:t>Date: February 26,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SANJIV K. PATEL</w:t>
      </w:r>
    </w:p>
    <w:p>
      <w:pPr>
        <w:spacing w:after="0" w:line="7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6"/>
          <w:szCs w:val="16"/>
          <w:color w:val="auto"/>
        </w:rPr>
        <w:t>Sanjiv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-116205</wp:posOffset>
            </wp:positionV>
            <wp:extent cx="391731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1">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6"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826135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53"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6"/>
          <w:szCs w:val="16"/>
          <w:b w:val="1"/>
          <w:bCs w:val="1"/>
          <w:color w:val="auto"/>
        </w:rPr>
        <w:t>CERTIFICATION OF PRINCIPAL FINANCIAL OFFICER PURSUANT TO RULES 13a-14(a) OR 15d-14(a) UNDER THE SECURITIES EXCHANGE ACT OF 1934,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Thomas Catinazzo, certify that:</w:t>
      </w:r>
    </w:p>
    <w:p>
      <w:pPr>
        <w:spacing w:after="0" w:line="235" w:lineRule="exact"/>
        <w:rPr>
          <w:sz w:val="20"/>
          <w:szCs w:val="20"/>
          <w:color w:val="auto"/>
        </w:rPr>
      </w:pPr>
    </w:p>
    <w:p>
      <w:pPr>
        <w:ind w:left="380" w:hanging="372"/>
        <w:spacing w:after="0"/>
        <w:tabs>
          <w:tab w:leader="none" w:pos="3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Relay Therapeutics, Inc.;</w:t>
      </w:r>
    </w:p>
    <w:p>
      <w:pPr>
        <w:spacing w:after="0" w:line="234" w:lineRule="exact"/>
        <w:rPr>
          <w:rFonts w:ascii="Times New Roman" w:cs="Times New Roman" w:eastAsia="Times New Roman" w:hAnsi="Times New Roman"/>
          <w:sz w:val="16"/>
          <w:szCs w:val="16"/>
          <w:color w:val="auto"/>
        </w:rPr>
      </w:pPr>
    </w:p>
    <w:p>
      <w:pPr>
        <w:ind w:left="380" w:right="100" w:hanging="372"/>
        <w:spacing w:after="0" w:line="298" w:lineRule="auto"/>
        <w:tabs>
          <w:tab w:leader="none" w:pos="3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380" w:right="100" w:hanging="372"/>
        <w:spacing w:after="0" w:line="298" w:lineRule="auto"/>
        <w:tabs>
          <w:tab w:leader="none" w:pos="3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26" w:lineRule="exact"/>
        <w:rPr>
          <w:rFonts w:ascii="Times New Roman" w:cs="Times New Roman" w:eastAsia="Times New Roman" w:hAnsi="Times New Roman"/>
          <w:sz w:val="16"/>
          <w:szCs w:val="16"/>
          <w:color w:val="auto"/>
        </w:rPr>
      </w:pPr>
    </w:p>
    <w:p>
      <w:pPr>
        <w:ind w:left="760" w:right="80" w:hanging="378"/>
        <w:spacing w:after="0" w:line="281" w:lineRule="auto"/>
        <w:tabs>
          <w:tab w:leader="none" w:pos="76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6"/>
          <w:szCs w:val="16"/>
          <w:color w:val="auto"/>
        </w:rPr>
      </w:pPr>
    </w:p>
    <w:p>
      <w:pPr>
        <w:ind w:left="760" w:right="20" w:hanging="378"/>
        <w:spacing w:after="0" w:line="281" w:lineRule="auto"/>
        <w:tabs>
          <w:tab w:leader="none" w:pos="76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6"/>
          <w:szCs w:val="16"/>
          <w:color w:val="auto"/>
        </w:rPr>
      </w:pPr>
    </w:p>
    <w:p>
      <w:pPr>
        <w:ind w:left="760" w:right="440" w:hanging="378"/>
        <w:spacing w:after="0" w:line="298" w:lineRule="auto"/>
        <w:tabs>
          <w:tab w:leader="none" w:pos="76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ind w:left="760" w:right="80" w:hanging="378"/>
        <w:spacing w:after="0" w:line="281" w:lineRule="auto"/>
        <w:tabs>
          <w:tab w:leader="none" w:pos="76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380" w:right="380" w:hanging="372"/>
        <w:spacing w:after="0" w:line="298" w:lineRule="auto"/>
        <w:tabs>
          <w:tab w:leader="none" w:pos="3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Times New Roman" w:cs="Times New Roman" w:eastAsia="Times New Roman" w:hAnsi="Times New Roman"/>
          <w:sz w:val="16"/>
          <w:szCs w:val="16"/>
          <w:color w:val="auto"/>
        </w:rPr>
      </w:pPr>
    </w:p>
    <w:p>
      <w:pPr>
        <w:ind w:left="760" w:right="620" w:hanging="378"/>
        <w:spacing w:after="0" w:line="298" w:lineRule="auto"/>
        <w:tabs>
          <w:tab w:leader="none" w:pos="76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Times New Roman" w:cs="Times New Roman" w:eastAsia="Times New Roman" w:hAnsi="Times New Roman"/>
          <w:sz w:val="16"/>
          <w:szCs w:val="16"/>
          <w:color w:val="auto"/>
        </w:rPr>
      </w:pPr>
    </w:p>
    <w:p>
      <w:pPr>
        <w:ind w:left="760" w:right="220" w:hanging="378"/>
        <w:spacing w:after="0" w:line="298" w:lineRule="auto"/>
        <w:tabs>
          <w:tab w:leader="none" w:pos="760"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p>
      <w:pPr>
        <w:ind w:left="20"/>
        <w:spacing w:after="0"/>
        <w:tabs>
          <w:tab w:leader="none" w:pos="4620" w:val="left"/>
          <w:tab w:leader="none" w:pos="7260" w:val="left"/>
        </w:tabs>
        <w:rPr>
          <w:sz w:val="20"/>
          <w:szCs w:val="20"/>
          <w:color w:val="auto"/>
        </w:rPr>
      </w:pPr>
      <w:r>
        <w:rPr>
          <w:rFonts w:ascii="Times New Roman" w:cs="Times New Roman" w:eastAsia="Times New Roman" w:hAnsi="Times New Roman"/>
          <w:sz w:val="16"/>
          <w:szCs w:val="16"/>
          <w:color w:val="auto"/>
        </w:rPr>
        <w:t>Date: February 26,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THOMAS CATINAZZO</w:t>
      </w:r>
    </w:p>
    <w:p>
      <w:pPr>
        <w:spacing w:after="0" w:line="7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color w:val="auto"/>
        </w:rPr>
        <w:t>Thomas Catinazzo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-116205</wp:posOffset>
            </wp:positionV>
            <wp:extent cx="391731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3">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(Principal Accounting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826135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OF PRINCIPAL EXECUTIVE OFFICER AND PRINCIPAL FINANCIAL OFFICER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27"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6"/>
          <w:szCs w:val="16"/>
          <w:color w:val="auto"/>
        </w:rPr>
        <w:t>In connection with the Annual Report of Relay Therapeutics, Inc. (the “Company”) on Form 10-K for the year ended December 31, 2024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177" w:lineRule="exact"/>
        <w:rPr>
          <w:sz w:val="20"/>
          <w:szCs w:val="20"/>
          <w:color w:val="auto"/>
        </w:rPr>
      </w:pPr>
    </w:p>
    <w:p>
      <w:pPr>
        <w:ind w:left="760" w:hanging="378"/>
        <w:spacing w:after="0"/>
        <w:tabs>
          <w:tab w:leader="none" w:pos="76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3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February 26, 2025</w:t>
            </w:r>
          </w:p>
        </w:tc>
        <w:tc>
          <w:tcPr>
            <w:tcW w:w="258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50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rPr>
              <w:t>/S/ SANJIV K. PATEL</w:t>
            </w:r>
          </w:p>
        </w:tc>
      </w:tr>
      <w:tr>
        <w:trPr>
          <w:trHeight w:val="185"/>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Sanjiv K. Patel</w:t>
            </w:r>
          </w:p>
        </w:tc>
      </w:tr>
      <w:tr>
        <w:trPr>
          <w:trHeight w:val="203"/>
        </w:trPr>
        <w:tc>
          <w:tcPr>
            <w:tcW w:w="36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0"/>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435"/>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February 26, 2025</w:t>
            </w:r>
          </w:p>
        </w:tc>
        <w:tc>
          <w:tcPr>
            <w:tcW w:w="258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50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color w:val="auto"/>
              </w:rPr>
              <w:t>/S/ THOMAS CATINAZZO</w:t>
            </w:r>
          </w:p>
        </w:tc>
      </w:tr>
      <w:tr>
        <w:trPr>
          <w:trHeight w:val="185"/>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Thomas Catinazzo</w:t>
            </w:r>
          </w:p>
        </w:tc>
      </w:tr>
      <w:tr>
        <w:trPr>
          <w:trHeight w:val="203"/>
        </w:trPr>
        <w:tc>
          <w:tcPr>
            <w:tcW w:w="36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0"/>
        </w:trPr>
        <w:tc>
          <w:tcPr>
            <w:tcW w:w="36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Accounting Officer and Principal Financial Officer)</w:t>
            </w:r>
          </w:p>
        </w:tc>
      </w:tr>
      <w:tr>
        <w:trPr>
          <w:trHeight w:val="1309"/>
        </w:trPr>
        <w:tc>
          <w:tcPr>
            <w:tcW w:w="36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51" w:name="page152"/>
    <w:bookmarkEnd w:id="1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1."/>
      <w:numFmt w:val="decimal"/>
      <w:start w:val="1"/>
    </w:lvl>
  </w:abstractNum>
  <w:abstractNum w:abstractNumId="8">
    <w:nsid w:val="61574095"/>
    <w:multiLevelType w:val="hybridMultilevel"/>
    <w:lvl w:ilvl="0">
      <w:lvlJc w:val="left"/>
      <w:lvlText w:val="%1."/>
      <w:numFmt w:val="decimal"/>
      <w:start w:val="1"/>
    </w:lvl>
  </w:abstractNum>
  <w:abstractNum w:abstractNumId="9">
    <w:nsid w:val="7E0C57B1"/>
    <w:multiLevelType w:val="hybridMultilevel"/>
    <w:lvl w:ilvl="0">
      <w:lvlJc w:val="left"/>
      <w:lvlText w:val="%1."/>
      <w:numFmt w:val="decimal"/>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1)"/>
      <w:numFmt w:val="lowerRoman"/>
      <w:start w:val="2"/>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endash "/>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
      <w:numFmt w:val="bullet"/>
      <w:start w:val="1"/>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emdash "/>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
      <w:numFmt w:val="bullet"/>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1)"/>
      <w:numFmt w:val="decimal"/>
      <w:start w:val="1"/>
    </w:lvl>
  </w:abstractNum>
  <w:abstractNum w:abstractNumId="57">
    <w:nsid w:val="885E1B"/>
    <w:multiLevelType w:val="hybridMultilevel"/>
    <w:lvl w:ilvl="0">
      <w:lvlJc w:val="left"/>
      <w:lvlText w:val="%1."/>
      <w:numFmt w:val="decimal"/>
      <w:start w:val="2"/>
    </w:lvl>
  </w:abstractNum>
  <w:abstractNum w:abstractNumId="58">
    <w:nsid w:val="76272110"/>
    <w:multiLevelType w:val="hybridMultilevel"/>
    <w:lvl w:ilvl="0">
      <w:lvlJc w:val="left"/>
      <w:lvlText w:val="•"/>
      <w:numFmt w:val="bullet"/>
      <w:start w:val="1"/>
    </w:lvl>
  </w:abstractNum>
  <w:abstractNum w:abstractNumId="59">
    <w:nsid w:val="4C04A8AF"/>
    <w:multiLevelType w:val="hybridMultilevel"/>
    <w:lvl w:ilvl="0">
      <w:lvlJc w:val="left"/>
      <w:lvlText w:val="(%1)"/>
      <w:numFmt w:val="decimal"/>
      <w:start w:val="1"/>
    </w:lvl>
  </w:abstractNum>
  <w:abstractNum w:abstractNumId="60">
    <w:nsid w:val="1716703B"/>
    <w:multiLevelType w:val="hybridMultilevel"/>
    <w:lvl w:ilvl="0">
      <w:lvlJc w:val="left"/>
      <w:lvlText w:val="%1."/>
      <w:numFmt w:val="decimal"/>
      <w:start w:val="1"/>
    </w:lvl>
  </w:abstractNum>
  <w:abstractNum w:abstractNumId="61">
    <w:nsid w:val="14E17E33"/>
    <w:multiLevelType w:val="hybridMultilevel"/>
    <w:lvl w:ilvl="0">
      <w:lvlJc w:val="left"/>
      <w:lvlText w:val="%1."/>
      <w:numFmt w:val="decimal"/>
      <w:start w:val="2"/>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1."/>
      <w:numFmt w:val="decimal"/>
      <w:start w:val="3"/>
    </w:lvl>
  </w:abstractNum>
  <w:abstractNum w:abstractNumId="64">
    <w:nsid w:val="68EBC550"/>
    <w:multiLevelType w:val="hybridMultilevel"/>
    <w:lvl w:ilvl="0">
      <w:lvlJc w:val="left"/>
      <w:lvlText w:val="%1."/>
      <w:numFmt w:val="decimal"/>
      <w:start w:val="4"/>
    </w:lvl>
  </w:abstractNum>
  <w:abstractNum w:abstractNumId="65">
    <w:nsid w:val="2DF6D648"/>
    <w:multiLevelType w:val="hybridMultilevel"/>
    <w:lvl w:ilvl="0">
      <w:lvlJc w:val="left"/>
      <w:lvlText w:val="%1."/>
      <w:numFmt w:val="decimal"/>
      <w:start w:val="5"/>
    </w:lvl>
  </w:abstractNum>
  <w:abstractNum w:abstractNumId="66">
    <w:nsid w:val="46B7D447"/>
    <w:multiLevelType w:val="hybridMultilevel"/>
    <w:lvl w:ilvl="0">
      <w:lvlJc w:val="left"/>
      <w:lvlText w:val="•"/>
      <w:numFmt w:val="bullet"/>
      <w:start w:val="1"/>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1."/>
      <w:numFmt w:val="decimal"/>
      <w:start w:val="1"/>
    </w:lvl>
  </w:abstractNum>
  <w:abstractNum w:abstractNumId="69">
    <w:nsid w:val="57FC4FBB"/>
    <w:multiLevelType w:val="hybridMultilevel"/>
    <w:lvl w:ilvl="0">
      <w:lvlJc w:val="left"/>
      <w:lvlText w:val="%1."/>
      <w:numFmt w:val="decimal"/>
      <w:start w:val="2"/>
    </w:lvl>
  </w:abstractNum>
  <w:abstractNum w:abstractNumId="70">
    <w:nsid w:val="CC1016F"/>
    <w:multiLevelType w:val="hybridMultilevel"/>
    <w:lvl w:ilvl="0">
      <w:lvlJc w:val="left"/>
      <w:lvlText w:val="•"/>
      <w:numFmt w:val="bullet"/>
      <w:start w:val="1"/>
    </w:lvl>
  </w:abstractNum>
  <w:abstractNum w:abstractNumId="71">
    <w:nsid w:val="43F18422"/>
    <w:multiLevelType w:val="hybridMultilevel"/>
    <w:lvl w:ilvl="0">
      <w:lvlJc w:val="left"/>
      <w:lvlText w:val="%1."/>
      <w:numFmt w:val="decimal"/>
      <w:start w:val="3"/>
    </w:lvl>
  </w:abstractNum>
  <w:abstractNum w:abstractNumId="72">
    <w:nsid w:val="60EF0119"/>
    <w:multiLevelType w:val="hybridMultilevel"/>
    <w:lvl w:ilvl="0">
      <w:lvlJc w:val="left"/>
      <w:lvlText w:val="%1."/>
      <w:numFmt w:val="decimal"/>
      <w:start w:val="4"/>
    </w:lvl>
  </w:abstractNum>
  <w:abstractNum w:abstractNumId="73">
    <w:nsid w:val="26F324BA"/>
    <w:multiLevelType w:val="hybridMultilevel"/>
    <w:lvl w:ilvl="0">
      <w:lvlJc w:val="left"/>
      <w:lvlText w:val="%1."/>
      <w:numFmt w:val="decimal"/>
      <w:start w:val="5"/>
    </w:lvl>
  </w:abstractNum>
  <w:abstractNum w:abstractNumId="74">
    <w:nsid w:val="7F01579B"/>
    <w:multiLevelType w:val="hybridMultilevel"/>
    <w:lvl w:ilvl="0">
      <w:lvlJc w:val="left"/>
      <w:lvlText w:val="•"/>
      <w:numFmt w:val="bullet"/>
      <w:start w:val="1"/>
    </w:lvl>
  </w:abstractNum>
  <w:abstractNum w:abstractNumId="75">
    <w:nsid w:val="49DA307D"/>
    <w:multiLevelType w:val="hybridMultilevel"/>
    <w:lvl w:ilvl="0">
      <w:lvlJc w:val="left"/>
      <w:lvlText w:val="•"/>
      <w:numFmt w:val="bullet"/>
      <w:start w:val="1"/>
    </w:lvl>
  </w:abstractNum>
  <w:abstractNum w:abstractNumId="76">
    <w:nsid w:val="7055A5F5"/>
    <w:multiLevelType w:val="hybridMultilevel"/>
    <w:lvl w:ilvl="0">
      <w:lvlJc w:val="left"/>
      <w:lvlText w:val="%1."/>
      <w:numFmt w:val="decimal"/>
      <w:start w:val="12"/>
    </w:lvl>
  </w:abstractNum>
  <w:abstractNum w:abstractNumId="77">
    <w:nsid w:val="5FB8370B"/>
    <w:multiLevelType w:val="hybridMultilevel"/>
    <w:lvl w:ilvl="0">
      <w:lvlJc w:val="left"/>
      <w:lvlText w:val="%1"/>
      <w:numFmt w:val="decimal"/>
      <w:start w:val="399"/>
    </w:lvl>
  </w:abstractNum>
  <w:abstractNum w:abstractNumId="78">
    <w:nsid w:val="50801EE1"/>
    <w:multiLevelType w:val="hybridMultilevel"/>
    <w:lvl w:ilvl="0">
      <w:lvlJc w:val="left"/>
      <w:lvlText w:val="*"/>
      <w:numFmt w:val="bullet"/>
      <w:start w:val="1"/>
    </w:lvl>
    <w:lvl w:ilvl="1">
      <w:lvlJc w:val="left"/>
      <w:lvlText w:val="%2"/>
      <w:numFmt w:val="decimal"/>
      <w:start w:val="104"/>
    </w:lvl>
  </w:abstractNum>
  <w:abstractNum w:abstractNumId="79">
    <w:nsid w:val="488AC1A"/>
    <w:multiLevelType w:val="hybridMultilevel"/>
    <w:lvl w:ilvl="0">
      <w:lvlJc w:val="left"/>
      <w:lvlText w:val="**"/>
      <w:numFmt w:val="bullet"/>
      <w:start w:val="1"/>
    </w:lvl>
  </w:abstractNum>
  <w:abstractNum w:abstractNumId="80">
    <w:nsid w:val="5FB8011C"/>
    <w:multiLevelType w:val="hybridMultilevel"/>
    <w:lvl w:ilvl="0">
      <w:lvlJc w:val="left"/>
      <w:lvlText w:val="%1."/>
      <w:numFmt w:val="upperLetter"/>
      <w:start w:val="1"/>
    </w:lvl>
  </w:abstractNum>
  <w:abstractNum w:abstractNumId="81">
    <w:nsid w:val="6AA78F7F"/>
    <w:multiLevelType w:val="hybridMultilevel"/>
    <w:lvl w:ilvl="0">
      <w:lvlJc w:val="left"/>
      <w:lvlText w:val="•"/>
      <w:numFmt w:val="bullet"/>
      <w:start w:val="1"/>
    </w:lvl>
  </w:abstractNum>
  <w:abstractNum w:abstractNumId="82">
    <w:nsid w:val="7672BD23"/>
    <w:multiLevelType w:val="hybridMultilevel"/>
    <w:lvl w:ilvl="0">
      <w:lvlJc w:val="left"/>
      <w:lvlText w:val="%1."/>
      <w:numFmt w:val="upperLetter"/>
      <w:start w:val="2"/>
    </w:lvl>
  </w:abstractNum>
  <w:abstractNum w:abstractNumId="83">
    <w:nsid w:val="6FC75AF8"/>
    <w:multiLevelType w:val="hybridMultilevel"/>
    <w:lvl w:ilvl="0">
      <w:lvlJc w:val="left"/>
      <w:lvlText w:val="•"/>
      <w:numFmt w:val="bullet"/>
      <w:start w:val="1"/>
    </w:lvl>
  </w:abstractNum>
  <w:abstractNum w:abstractNumId="84">
    <w:nsid w:val="6A5F7029"/>
    <w:multiLevelType w:val="hybridMultilevel"/>
    <w:lvl w:ilvl="0">
      <w:lvlJc w:val="left"/>
      <w:lvlText w:val="%1."/>
      <w:numFmt w:val="upperLetter"/>
      <w:start w:val="3"/>
    </w:lvl>
  </w:abstractNum>
  <w:abstractNum w:abstractNumId="85">
    <w:nsid w:val="7D5E18F8"/>
    <w:multiLevelType w:val="hybridMultilevel"/>
    <w:lvl w:ilvl="0">
      <w:lvlJc w:val="left"/>
      <w:lvlText w:val="•"/>
      <w:numFmt w:val="bullet"/>
      <w:start w:val="1"/>
    </w:lvl>
  </w:abstractNum>
  <w:abstractNum w:abstractNumId="86">
    <w:nsid w:val="5F3534A4"/>
    <w:multiLevelType w:val="hybridMultilevel"/>
    <w:lvl w:ilvl="0">
      <w:lvlJc w:val="left"/>
      <w:lvlText w:val="•"/>
      <w:numFmt w:val="bullet"/>
      <w:start w:val="1"/>
    </w:lvl>
  </w:abstractNum>
  <w:abstractNum w:abstractNumId="87">
    <w:nsid w:val="73A1821B"/>
    <w:multiLevelType w:val="hybridMultilevel"/>
    <w:lvl w:ilvl="0">
      <w:lvlJc w:val="left"/>
      <w:lvlText w:val="%1."/>
      <w:numFmt w:val="upperLetter"/>
      <w:start w:val="4"/>
    </w:lvl>
  </w:abstractNum>
  <w:abstractNum w:abstractNumId="88">
    <w:nsid w:val="7DE67713"/>
    <w:multiLevelType w:val="hybridMultilevel"/>
    <w:lvl w:ilvl="0">
      <w:lvlJc w:val="left"/>
      <w:lvlText w:val="•"/>
      <w:numFmt w:val="bullet"/>
      <w:start w:val="1"/>
    </w:lvl>
  </w:abstractNum>
  <w:abstractNum w:abstractNumId="89">
    <w:nsid w:val="555C55B5"/>
    <w:multiLevelType w:val="hybridMultilevel"/>
    <w:lvl w:ilvl="0">
      <w:lvlJc w:val="left"/>
      <w:lvlText w:val="%1."/>
      <w:numFmt w:val="upperLetter"/>
      <w:start w:val="5"/>
    </w:lvl>
  </w:abstractNum>
  <w:abstractNum w:abstractNumId="90">
    <w:nsid w:val="3FA62ACA"/>
    <w:multiLevelType w:val="hybridMultilevel"/>
    <w:lvl w:ilvl="0">
      <w:lvlJc w:val="left"/>
      <w:lvlText w:val="%1."/>
      <w:numFmt w:val="upperLetter"/>
      <w:start w:val="1"/>
    </w:lvl>
  </w:abstractNum>
  <w:abstractNum w:abstractNumId="91">
    <w:nsid w:val="14FCE74E"/>
    <w:multiLevelType w:val="hybridMultilevel"/>
    <w:lvl w:ilvl="0">
      <w:lvlJc w:val="left"/>
      <w:lvlText w:val="%1."/>
      <w:numFmt w:val="decimal"/>
      <w:start w:val="1"/>
    </w:lvl>
  </w:abstractNum>
  <w:abstractNum w:abstractNumId="92">
    <w:nsid w:val="6A3DD3E8"/>
    <w:multiLevelType w:val="hybridMultilevel"/>
    <w:lvl w:ilvl="0">
      <w:lvlJc w:val="left"/>
      <w:lvlText w:val="%1."/>
      <w:numFmt w:val="decimal"/>
      <w:start w:val="2"/>
    </w:lvl>
    <w:lvl w:ilvl="1">
      <w:lvlJc w:val="left"/>
      <w:lvlText w:val="•"/>
      <w:numFmt w:val="bullet"/>
      <w:start w:val="1"/>
    </w:lvl>
  </w:abstractNum>
  <w:abstractNum w:abstractNumId="93">
    <w:nsid w:val="71C91298"/>
    <w:multiLevelType w:val="hybridMultilevel"/>
    <w:lvl w:ilvl="0">
      <w:lvlJc w:val="left"/>
      <w:lvlText w:val="%1."/>
      <w:numFmt w:val="decimal"/>
      <w:start w:val="2"/>
    </w:lvl>
    <w:lvl w:ilvl="1">
      <w:lvlJc w:val="left"/>
      <w:lvlText w:val="•"/>
      <w:numFmt w:val="bullet"/>
      <w:start w:val="1"/>
    </w:lvl>
  </w:abstractNum>
  <w:abstractNum w:abstractNumId="94">
    <w:nsid w:val="9DAF632"/>
    <w:multiLevelType w:val="hybridMultilevel"/>
    <w:lvl w:ilvl="0">
      <w:lvlJc w:val="left"/>
      <w:lvlText w:val="%1."/>
      <w:numFmt w:val="decimal"/>
      <w:start w:val="4"/>
    </w:lvl>
  </w:abstractNum>
  <w:abstractNum w:abstractNumId="95">
    <w:nsid w:val="53299938"/>
    <w:multiLevelType w:val="hybridMultilevel"/>
    <w:lvl w:ilvl="0">
      <w:lvlJc w:val="left"/>
      <w:lvlText w:val="%1."/>
      <w:numFmt w:val="upperLetter"/>
      <w:start w:val="2"/>
    </w:lvl>
  </w:abstractNum>
  <w:abstractNum w:abstractNumId="96">
    <w:nsid w:val="1FBFE8E0"/>
    <w:multiLevelType w:val="hybridMultilevel"/>
    <w:lvl w:ilvl="0">
      <w:lvlJc w:val="left"/>
      <w:lvlText w:val="%1."/>
      <w:numFmt w:val="decimal"/>
      <w:start w:val="1"/>
    </w:lvl>
    <w:lvl w:ilvl="1">
      <w:lvlJc w:val="left"/>
      <w:lvlText w:val="•"/>
      <w:numFmt w:val="bullet"/>
      <w:start w:val="1"/>
    </w:lvl>
  </w:abstractNum>
  <w:abstractNum w:abstractNumId="97">
    <w:nsid w:val="5092CA79"/>
    <w:multiLevelType w:val="hybridMultilevel"/>
    <w:lvl w:ilvl="0">
      <w:lvlJc w:val="left"/>
      <w:lvlText w:val="%1."/>
      <w:numFmt w:val="decimal"/>
      <w:start w:val="2"/>
    </w:lvl>
  </w:abstractNum>
  <w:abstractNum w:abstractNumId="98">
    <w:nsid w:val="1D545C4D"/>
    <w:multiLevelType w:val="hybridMultilevel"/>
    <w:lvl w:ilvl="0">
      <w:lvlJc w:val="left"/>
      <w:lvlText w:val="%1."/>
      <w:numFmt w:val="decimal"/>
      <w:start w:val="3"/>
    </w:lvl>
  </w:abstractNum>
  <w:abstractNum w:abstractNumId="99">
    <w:nsid w:val="59ADEA3D"/>
    <w:multiLevelType w:val="hybridMultilevel"/>
    <w:lvl w:ilvl="0">
      <w:lvlJc w:val="left"/>
      <w:lvlText w:val="%1."/>
      <w:numFmt w:val="decimal"/>
      <w:start w:val="4"/>
    </w:lvl>
  </w:abstractNum>
  <w:abstractNum w:abstractNumId="100">
    <w:nsid w:val="288F1A34"/>
    <w:multiLevelType w:val="hybridMultilevel"/>
    <w:lvl w:ilvl="0">
      <w:lvlJc w:val="left"/>
      <w:lvlText w:val="%1."/>
      <w:numFmt w:val="decimal"/>
      <w:start w:val="5"/>
    </w:lvl>
  </w:abstractNum>
  <w:abstractNum w:abstractNumId="101">
    <w:nsid w:val="2A155DBC"/>
    <w:multiLevelType w:val="hybridMultilevel"/>
    <w:lvl w:ilvl="0">
      <w:lvlJc w:val="left"/>
      <w:lvlText w:val="%1."/>
      <w:numFmt w:val="decimal"/>
      <w:start w:val="6"/>
    </w:lvl>
  </w:abstractNum>
  <w:abstractNum w:abstractNumId="102">
    <w:nsid w:val="1D9F6E5F"/>
    <w:multiLevelType w:val="hybridMultilevel"/>
    <w:lvl w:ilvl="0">
      <w:lvlJc w:val="left"/>
      <w:lvlText w:val="%1."/>
      <w:numFmt w:val="upperLetter"/>
      <w:start w:val="3"/>
    </w:lvl>
  </w:abstractNum>
  <w:abstractNum w:abstractNumId="103">
    <w:nsid w:val="97E1B4E"/>
    <w:multiLevelType w:val="hybridMultilevel"/>
    <w:lvl w:ilvl="0">
      <w:lvlJc w:val="left"/>
      <w:lvlText w:val="•"/>
      <w:numFmt w:val="bullet"/>
      <w:start w:val="1"/>
    </w:lvl>
  </w:abstractNum>
  <w:abstractNum w:abstractNumId="104">
    <w:nsid w:val="51088277"/>
    <w:multiLevelType w:val="hybridMultilevel"/>
    <w:lvl w:ilvl="0">
      <w:lvlJc w:val="left"/>
      <w:lvlText w:val="%1."/>
      <w:numFmt w:val="decimal"/>
      <w:start w:val="2"/>
    </w:lvl>
  </w:abstractNum>
  <w:abstractNum w:abstractNumId="105">
    <w:nsid w:val="1CA0C5FA"/>
    <w:multiLevelType w:val="hybridMultilevel"/>
    <w:lvl w:ilvl="0">
      <w:lvlJc w:val="left"/>
      <w:lvlText w:val="%1."/>
      <w:numFmt w:val="upperLetter"/>
      <w:start w:val="4"/>
    </w:lvl>
  </w:abstractNum>
  <w:abstractNum w:abstractNumId="106">
    <w:nsid w:val="53584BCB"/>
    <w:multiLevelType w:val="hybridMultilevel"/>
    <w:lvl w:ilvl="0">
      <w:lvlJc w:val="left"/>
      <w:lvlText w:val="☐"/>
      <w:numFmt w:val="bullet"/>
      <w:start w:val="1"/>
    </w:lvl>
  </w:abstractNum>
  <w:abstractNum w:abstractNumId="107">
    <w:nsid w:val="415E286C"/>
    <w:multiLevelType w:val="hybridMultilevel"/>
    <w:lvl w:ilvl="0">
      <w:lvlJc w:val="left"/>
      <w:lvlText w:val="☐"/>
      <w:numFmt w:val="bullet"/>
      <w:start w:val="1"/>
    </w:lvl>
  </w:abstractNum>
  <w:abstractNum w:abstractNumId="108">
    <w:nsid w:val="7C58FD05"/>
    <w:multiLevelType w:val="hybridMultilevel"/>
    <w:lvl w:ilvl="0">
      <w:lvlJc w:val="left"/>
      <w:lvlText w:val="☐"/>
      <w:numFmt w:val="bullet"/>
      <w:start w:val="1"/>
    </w:lvl>
  </w:abstractNum>
  <w:abstractNum w:abstractNumId="109">
    <w:nsid w:val="23D86AAC"/>
    <w:multiLevelType w:val="hybridMultilevel"/>
    <w:lvl w:ilvl="0">
      <w:lvlJc w:val="left"/>
      <w:lvlText w:val="☐"/>
      <w:numFmt w:val="bullet"/>
      <w:start w:val="1"/>
    </w:lvl>
  </w:abstractNum>
  <w:abstractNum w:abstractNumId="110">
    <w:nsid w:val="45E6D486"/>
    <w:multiLevelType w:val="hybridMultilevel"/>
    <w:lvl w:ilvl="0">
      <w:lvlJc w:val="left"/>
      <w:lvlText w:val="☐"/>
      <w:numFmt w:val="bullet"/>
      <w:start w:val="1"/>
    </w:lvl>
  </w:abstractNum>
  <w:abstractNum w:abstractNumId="111">
    <w:nsid w:val="5C10FE21"/>
    <w:multiLevelType w:val="hybridMultilevel"/>
    <w:lvl w:ilvl="0">
      <w:lvlJc w:val="left"/>
      <w:lvlText w:val="(%1)"/>
      <w:numFmt w:val="decimal"/>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lvl w:ilvl="1">
      <w:lvlJc w:val="left"/>
      <w:lvlText w:val="(%2)"/>
      <w:numFmt w:val="lowerLetter"/>
      <w:start w:val="1"/>
    </w:lvl>
  </w:abstractNum>
  <w:abstractNum w:abstractNumId="114">
    <w:nsid w:val="4BD859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51" Type="http://schemas.openxmlformats.org/officeDocument/2006/relationships/image" Target="media/image417.png"/><Relationship Id="rId452" Type="http://schemas.openxmlformats.org/officeDocument/2006/relationships/image" Target="media/image418.png"/><Relationship Id="rId453" Type="http://schemas.openxmlformats.org/officeDocument/2006/relationships/image" Target="media/image419.png"/><Relationship Id="rId454" Type="http://schemas.openxmlformats.org/officeDocument/2006/relationships/image" Target="media/image420.png"/><Relationship Id="rId455" Type="http://schemas.openxmlformats.org/officeDocument/2006/relationships/image" Target="media/image421.png"/><Relationship Id="rId456" Type="http://schemas.openxmlformats.org/officeDocument/2006/relationships/image" Target="media/image422.jpeg"/><Relationship Id="rId457" Type="http://schemas.openxmlformats.org/officeDocument/2006/relationships/image" Target="media/image423.png"/><Relationship Id="rId458" Type="http://schemas.openxmlformats.org/officeDocument/2006/relationships/image" Target="media/image424.png"/><Relationship Id="rId459" Type="http://schemas.openxmlformats.org/officeDocument/2006/relationships/image" Target="media/image425.png"/><Relationship Id="rId460" Type="http://schemas.openxmlformats.org/officeDocument/2006/relationships/image" Target="media/image426.png"/><Relationship Id="rId461" Type="http://schemas.openxmlformats.org/officeDocument/2006/relationships/image" Target="media/image427.pn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6"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png"/><Relationship Id="rId470" Type="http://schemas.openxmlformats.org/officeDocument/2006/relationships/image" Target="media/image436.png"/><Relationship Id="rId471" Type="http://schemas.openxmlformats.org/officeDocument/2006/relationships/image" Target="media/image437.png"/><Relationship Id="rId472" Type="http://schemas.openxmlformats.org/officeDocument/2006/relationships/image" Target="media/image438.png"/><Relationship Id="rId473" Type="http://schemas.openxmlformats.org/officeDocument/2006/relationships/image" Target="media/image439.png"/><Relationship Id="rId474" Type="http://schemas.openxmlformats.org/officeDocument/2006/relationships/image" Target="media/image440.png"/><Relationship Id="rId475" Type="http://schemas.openxmlformats.org/officeDocument/2006/relationships/image" Target="media/image441.png"/><Relationship Id="rId476" Type="http://schemas.openxmlformats.org/officeDocument/2006/relationships/image" Target="media/image442.png"/><Relationship Id="rId477" Type="http://schemas.openxmlformats.org/officeDocument/2006/relationships/image" Target="media/image443.png"/><Relationship Id="rId478" Type="http://schemas.openxmlformats.org/officeDocument/2006/relationships/image" Target="media/image444.png"/><Relationship Id="rId479" Type="http://schemas.openxmlformats.org/officeDocument/2006/relationships/image" Target="media/image445.png"/><Relationship Id="rId480" Type="http://schemas.openxmlformats.org/officeDocument/2006/relationships/image" Target="media/image446.png"/><Relationship Id="rId481" Type="http://schemas.openxmlformats.org/officeDocument/2006/relationships/image" Target="media/image447.png"/><Relationship Id="rId482" Type="http://schemas.openxmlformats.org/officeDocument/2006/relationships/image" Target="media/image448.png"/><Relationship Id="rId483" Type="http://schemas.openxmlformats.org/officeDocument/2006/relationships/image" Target="media/image449.png"/><Relationship Id="rId484" Type="http://schemas.openxmlformats.org/officeDocument/2006/relationships/image" Target="media/image450.png"/><Relationship Id="rId485" Type="http://schemas.openxmlformats.org/officeDocument/2006/relationships/image" Target="media/image451.png"/><Relationship Id="rId486" Type="http://schemas.openxmlformats.org/officeDocument/2006/relationships/image" Target="media/image452.png"/><Relationship Id="rId422" Type="http://schemas.openxmlformats.org/officeDocument/2006/relationships/hyperlink" Target="https://www.sec.gov/Archives/edgar/data/1812364/000119312521118438/d110953dex21.htm" TargetMode="External"/><Relationship Id="rId423" Type="http://schemas.openxmlformats.org/officeDocument/2006/relationships/hyperlink" Target="https://www.sec.gov/Archives/edgar/data/1812364/000095017023004123/rlay-ex3_1.htm" TargetMode="External"/><Relationship Id="rId424" Type="http://schemas.openxmlformats.org/officeDocument/2006/relationships/hyperlink" Target="https://www.sec.gov/Archives/edgar/data/0001812364/000119312520196383/d29076dex32.htm" TargetMode="External"/><Relationship Id="rId425" Type="http://schemas.openxmlformats.org/officeDocument/2006/relationships/hyperlink" Target="https://www.sec.gov/Archives/edgar/data/0001812364/000119312520190069/d924757dex41.htm" TargetMode="External"/><Relationship Id="rId426" Type="http://schemas.openxmlformats.org/officeDocument/2006/relationships/hyperlink" Target="https://www.sec.gov/Archives/edgar/data/1812364/000095017024018797/rlay-ex4_2.htm" TargetMode="External"/><Relationship Id="rId427" Type="http://schemas.openxmlformats.org/officeDocument/2006/relationships/hyperlink" Target="https://www.sec.gov/Archives/edgar/data/0001812364/000119312520177746/d924757dex101.htm" TargetMode="External"/><Relationship Id="rId428" Type="http://schemas.openxmlformats.org/officeDocument/2006/relationships/hyperlink" Target="https://www.sec.gov/Archives/edgar/data/1812364/000095017022001978/rlay-ex10_2.htm" TargetMode="External"/><Relationship Id="rId429" Type="http://schemas.openxmlformats.org/officeDocument/2006/relationships/hyperlink" Target="https://www.sec.gov/Archives/edgar/data/0001812364/000119312520190069/d924757dex103.htm" TargetMode="External"/><Relationship Id="rId430" Type="http://schemas.openxmlformats.org/officeDocument/2006/relationships/hyperlink" Target="https://www.sec.gov/Archives/edgar/data/0001812364/000119312520177746/d924757dex104.htm" TargetMode="External"/><Relationship Id="rId431" Type="http://schemas.openxmlformats.org/officeDocument/2006/relationships/hyperlink" Target="https://www.sec.gov/Archives/edgar/data/1812364/000095017023039874/rlay-ex10_2.htm" TargetMode="External"/><Relationship Id="rId432" Type="http://schemas.openxmlformats.org/officeDocument/2006/relationships/hyperlink" Target="https://www.sec.gov/Archives/edgar/data/0001812364/000119312520177746/d924757dex106.htm" TargetMode="External"/><Relationship Id="rId433" Type="http://schemas.openxmlformats.org/officeDocument/2006/relationships/hyperlink" Target="https://www.sec.gov/Archives/edgar/data/0001812364/000119312520190069/d924757dex108.htm" TargetMode="External"/><Relationship Id="rId434" Type="http://schemas.openxmlformats.org/officeDocument/2006/relationships/hyperlink" Target="https://www.sec.gov/Archives/edgar/data/0001812364/000119312520177746/d924757dex109.htm" TargetMode="External"/><Relationship Id="rId435" Type="http://schemas.openxmlformats.org/officeDocument/2006/relationships/hyperlink" Target="https://www.sec.gov/Archives/edgar/data/0001812364/000156459021043999/rlay-ex102_8.htm" TargetMode="External"/><Relationship Id="rId436" Type="http://schemas.openxmlformats.org/officeDocument/2006/relationships/hyperlink" Target="https://www.sec.gov/Archives/edgar/data/1812364/000095017023039874/rlay-ex10_3.htm" TargetMode="External"/><Relationship Id="rId437" Type="http://schemas.openxmlformats.org/officeDocument/2006/relationships/hyperlink" Target="https://www.sec.gov/Archives/edgar/data/0001812364/000119312520177746/d924757dex1010.htm" TargetMode="External"/><Relationship Id="rId438" Type="http://schemas.openxmlformats.org/officeDocument/2006/relationships/hyperlink" Target="https://www.sec.gov/Archives/edgar/data/0001812364/000119312521137130/d132252dex1010.htm" TargetMode="External"/><Relationship Id="rId441" Type="http://schemas.openxmlformats.org/officeDocument/2006/relationships/hyperlink" Target="https://www.sec.gov/Archives/edgar/data/0001812364/000156459021027601/rlay-ex104_188.htm" TargetMode="External"/><Relationship Id="rId442" Type="http://schemas.openxmlformats.org/officeDocument/2006/relationships/hyperlink" Target="https://www.sec.gov/Archives/edgar/data/1812364/000095017022007873/rlay-ex10_1.htm" TargetMode="External"/><Relationship Id="rId443" Type="http://schemas.openxmlformats.org/officeDocument/2006/relationships/hyperlink" Target="https://www.sec.gov/Archives/edgar/data/1812364/000095017023039874/rlay-ex10_1.htm" TargetMode="External"/><Relationship Id="rId444" Type="http://schemas.openxmlformats.org/officeDocument/2006/relationships/hyperlink" Target="https://www.sec.gov/Archives/edgar/data/1812364/000095017023058237/rlay-ex10_1.htm" TargetMode="External"/><Relationship Id="rId445" Type="http://schemas.openxmlformats.org/officeDocument/2006/relationships/hyperlink" Target="https://www.sec.gov/Archives/edgar/data/0001812364/000119312521137130/d132252dex1014.htm" TargetMode="External"/><Relationship Id="rId446" Type="http://schemas.openxmlformats.org/officeDocument/2006/relationships/hyperlink" Target="https://www.sec.gov/Archives/edgar/data/0001812364/000119312520177746/d924757dex107.htm" TargetMode="External"/><Relationship Id="rId447" Type="http://schemas.openxmlformats.org/officeDocument/2006/relationships/hyperlink" Target="https://www.sec.gov/Archives/edgar/data/0001812364/000119312520291681/d24902dex107.htm" TargetMode="External"/><Relationship Id="rId448" Type="http://schemas.openxmlformats.org/officeDocument/2006/relationships/hyperlink" Target="https://www.sec.gov/Archives/edgar/data/0001812364/000156459021043999/rlay-ex105_91.htm" TargetMode="External"/><Relationship Id="rId449" Type="http://schemas.openxmlformats.org/officeDocument/2006/relationships/hyperlink" Target="https://www.sec.gov/Archives/edgar/data/1812364/000095017022001978/rlay-ex21_1.htm" TargetMode="External"/><Relationship Id="rId450" Type="http://schemas.openxmlformats.org/officeDocument/2006/relationships/hyperlink" Target="https://www.sec.gov/Archives/edgar/data/1812364/000095017024018797/rlay-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2025-02-26T15:42:24Z</dcterms:created>
  <dcterms:modified xsi:type="dcterms:W3CDTF">2025-02-26T15:42:24Z</dcterms:modified>
</cp:coreProperties>
</file>