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Patel Sanjiv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8"/>
        <w:gridCol w:w="925"/>
        <w:gridCol w:w="793"/>
        <w:gridCol w:w="614"/>
        <w:gridCol w:w="346"/>
        <w:gridCol w:w="924"/>
        <w:gridCol w:w="434"/>
        <w:gridCol w:w="709"/>
        <w:gridCol w:w="1138"/>
        <w:gridCol w:w="983"/>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48,199</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w:t>
            </w:r>
            <w:r>
              <w:rPr>
                <w:rFonts w:ascii="Times;serif" w:hAnsi="Times;serif"/>
                <w:color w:val="008000"/>
                <w:position w:val="7"/>
                <w:sz w:val="16"/>
                <w:sz w:val="20"/>
                <w:shd w:fill="FFFFFF" w:val="clear"/>
              </w:rPr>
              <w:t>(2)</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471,301</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199,548</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Patel Family Irrevocable Trust of 2019</w:t>
            </w:r>
            <w:r>
              <w:rPr>
                <w:rFonts w:ascii="Times;serif" w:hAnsi="Times;serif"/>
                <w:color w:val="008000"/>
                <w:position w:val="7"/>
                <w:sz w:val="16"/>
                <w:sz w:val="20"/>
                <w:shd w:fill="FFFFFF" w:val="clear"/>
              </w:rPr>
              <w:t>(3)</w:t>
            </w:r>
          </w:p>
        </w:tc>
      </w:tr>
      <w:tr>
        <w:trPr/>
        <w:tc>
          <w:tcPr>
            <w:tcW w:w="21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687,355</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SSP Irrevocable Trust of 2020</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October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$17.87 to $18.46.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in irrevocable trusts for the benefit of the reporting person's family members. An independent trustee is trustee of the trusts. The reporting person disclaims beneficial ownership of these securities, and the filing of this report is not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6210"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748</Words>
  <Characters>4033</Characters>
  <CharactersWithSpaces>4703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