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Bergstrom Donald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407,660</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the reporting person's income tax withholding obligations upon the vesting of 5,012 shares of restricted stock units ("RSUs") on July 27, 2026. The reporting person had no discretion with respect to such sale, which was transacted in accordance with the Issuer's policies regarding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10,025 shares underlying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9772"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3415</Characters>
  <CharactersWithSpaces>3971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