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Bergstrom Donald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RELAY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HAMPSHIRE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Relay Therapeutics, Inc.</w:t>
              </w:r>
            </w:hyperlink>
            <w:r>
              <w:rPr/>
              <w:t xml:space="preserve"> [ </w:t>
            </w:r>
            <w:r>
              <w:rPr>
                <w:rFonts w:ascii="Times;serif" w:hAnsi="Times;serif"/>
                <w:color w:val="0000FF"/>
                <w:sz w:val="24"/>
                <w:shd w:fill="FFFFFF" w:val="clear"/>
              </w:rPr>
              <w:t>RLAY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R&amp;D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45"/>
        <w:gridCol w:w="454"/>
        <w:gridCol w:w="798"/>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8,660</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18.71</w:t>
            </w:r>
            <w:r>
              <w:rPr>
                <w:rFonts w:ascii="Times;serif" w:hAnsi="Times;serif"/>
                <w:color w:val="008000"/>
                <w:position w:val="7"/>
                <w:sz w:val="16"/>
                <w:sz w:val="20"/>
                <w:shd w:fill="FFFFFF" w:val="clear"/>
              </w:rPr>
              <w:t>(2)</w:t>
            </w:r>
            <w:r>
              <w:rPr/>
              <w:t xml:space="preserve"> </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409,897</w:t>
            </w:r>
            <w:r>
              <w:rPr>
                <w:rFonts w:ascii="Times;serif" w:hAnsi="Times;serif"/>
                <w:color w:val="008000"/>
                <w:position w:val="7"/>
                <w:sz w:val="16"/>
                <w:sz w:val="20"/>
                <w:shd w:fill="FFFFFF" w:val="clear"/>
              </w:rPr>
              <w:t>(3)</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by the reporting person on October 30,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$18.45 to $19.36. The price reported above reflects the weighted average sale price. The reporting person hereby undertakes to provide upon request by the staff of the Securities and Exchange Commission, the Issuer or a security holder of the Issuer,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15,037 shares underlying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Soo-Yeun Lim,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09772" TargetMode="External"/><Relationship Id="rId5" Type="http://schemas.openxmlformats.org/officeDocument/2006/relationships/hyperlink" Target="http://www.sec.gov/cgi-bin/browse-edgar?action=getcompany&amp;CIK=00018123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665</Words>
  <Characters>3625</Characters>
  <CharactersWithSpaces>4229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