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lay-20260331.htm"/>
      <w:bookmarkStart w:id="1" w:name="ksrlay20260331"/>
      <w:bookmarkEnd w:id="0"/>
      <w:bookmarkEnd w:id="1"/>
      <w:r>
        <w:rPr/>
        <w:t> </w:t>
      </w:r>
    </w:p>
    <w:p>
      <w:pPr>
        <w:pStyle w:val="TextBody"/>
        <w:pBdr>
          <w:bottom w:val="double" w:sz="4" w:space="1" w:color="000000"/>
        </w:pBdr>
        <w:bidi w:val="0"/>
        <w:jc w:val="left"/>
        <w:rPr/>
      </w:pPr>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7" w:space="1" w:color="000000"/>
        </w:pBdr>
        <w:bidi w:val="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For the quarterly period ended March 31, 2026</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Commission File Number: 001-39385</w:t>
      </w:r>
    </w:p>
    <w:p>
      <w:pPr>
        <w:pStyle w:val="TextBody"/>
        <w:pBdr>
          <w:bottom w:val="single" w:sz="7" w:space="1" w:color="000000"/>
        </w:pBdr>
        <w:bidi w:val="0"/>
        <w:jc w:val="center"/>
        <w:rPr/>
      </w:pPr>
      <w:r>
        <w:rPr/>
        <w:t> </w:t>
      </w:r>
    </w:p>
    <w:p>
      <w:pPr>
        <w:pStyle w:val="TextBody"/>
        <w:bidi w:val="0"/>
        <w:spacing w:before="80" w:after="283"/>
        <w:jc w:val="center"/>
        <w:rPr>
          <w:rFonts w:ascii="Times New Roman" w:hAnsi="Times New Roman"/>
          <w:b/>
          <w:color w:val="000000"/>
          <w:sz w:val="43"/>
        </w:rPr>
      </w:pPr>
      <w:r>
        <w:rPr>
          <w:rFonts w:ascii="Times New Roman" w:hAnsi="Times New Roman"/>
          <w:b/>
          <w:color w:val="000000"/>
          <w:sz w:val="43"/>
        </w:rPr>
        <w:t>RELAY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7" w:space="1" w:color="000000"/>
        </w:pBdr>
        <w:bidi w:val="0"/>
        <w:jc w:val="center"/>
        <w:rPr/>
      </w:pPr>
      <w:r>
        <w:rPr/>
        <w:t> </w:t>
      </w:r>
    </w:p>
    <w:p>
      <w:pPr>
        <w:pStyle w:val="TextBody"/>
        <w:bidi w:val="0"/>
        <w:jc w:val="left"/>
        <w:rPr/>
      </w:pPr>
      <w:r>
        <w:rPr/>
        <w:t> </w:t>
      </w:r>
    </w:p>
    <w:tbl>
      <w:tblPr>
        <w:tblW w:w="3966" w:type="dxa"/>
        <w:jc w:val="left"/>
        <w:tblInd w:w="0" w:type="dxa"/>
        <w:tblLayout w:type="fixed"/>
        <w:tblCellMar>
          <w:top w:w="28" w:type="dxa"/>
          <w:left w:w="28" w:type="dxa"/>
          <w:bottom w:w="28" w:type="dxa"/>
          <w:right w:w="28" w:type="dxa"/>
        </w:tblCellMar>
      </w:tblPr>
      <w:tblGrid>
        <w:gridCol w:w="2371"/>
        <w:gridCol w:w="109"/>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47-3923475</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w:t>
              <w:b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bl>
    <w:p>
      <w:pPr>
        <w:pStyle w:val="TextBody"/>
        <w:bidi w:val="0"/>
        <w:jc w:val="left"/>
        <w:rPr/>
      </w:pPr>
      <w:r>
        <w:rPr/>
        <w:t> </w:t>
      </w:r>
    </w:p>
    <w:tbl>
      <w:tblPr>
        <w:tblW w:w="3966" w:type="dxa"/>
        <w:jc w:val="left"/>
        <w:tblInd w:w="0" w:type="dxa"/>
        <w:tblLayout w:type="fixed"/>
        <w:tblCellMar>
          <w:top w:w="28" w:type="dxa"/>
          <w:left w:w="28" w:type="dxa"/>
          <w:bottom w:w="28" w:type="dxa"/>
          <w:right w:w="28" w:type="dxa"/>
        </w:tblCellMar>
      </w:tblPr>
      <w:tblGrid>
        <w:gridCol w:w="2926"/>
        <w:gridCol w:w="109"/>
        <w:gridCol w:w="931"/>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60 Hampshire Street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Cambridge, MA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02139</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(617) 370-8837</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pBdr>
          <w:bottom w:val="single" w:sz="7" w:space="1" w:color="000000"/>
        </w:pBdr>
        <w:bidi w:val="0"/>
        <w:jc w:val="center"/>
        <w:rPr/>
      </w:pPr>
      <w:r>
        <w:rPr/>
        <w:t> </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6401" w:type="dxa"/>
        <w:jc w:val="left"/>
        <w:tblInd w:w="0" w:type="dxa"/>
        <w:tblLayout w:type="fixed"/>
        <w:tblCellMar>
          <w:top w:w="28" w:type="dxa"/>
          <w:left w:w="28" w:type="dxa"/>
          <w:bottom w:w="28" w:type="dxa"/>
          <w:right w:w="28" w:type="dxa"/>
        </w:tblCellMar>
      </w:tblPr>
      <w:tblGrid>
        <w:gridCol w:w="3436"/>
        <w:gridCol w:w="109"/>
        <w:gridCol w:w="826"/>
        <w:gridCol w:w="109"/>
        <w:gridCol w:w="1921"/>
      </w:tblGrid>
      <w:tr>
        <w:trPr/>
        <w:tc>
          <w:tcPr>
            <w:tcW w:w="3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3436"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7"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1" w:type="dxa"/>
            <w:tcBorders>
              <w:bottom w:val="single" w:sz="7"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RLAY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Nasdaq Global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02" w:type="dxa"/>
        <w:jc w:val="left"/>
        <w:tblInd w:w="0" w:type="dxa"/>
        <w:tblLayout w:type="fixed"/>
        <w:tblCellMar>
          <w:top w:w="28" w:type="dxa"/>
          <w:left w:w="28" w:type="dxa"/>
          <w:bottom w:w="28" w:type="dxa"/>
          <w:right w:w="28" w:type="dxa"/>
        </w:tblCellMar>
      </w:tblPr>
      <w:tblGrid>
        <w:gridCol w:w="1666"/>
        <w:gridCol w:w="109"/>
        <w:gridCol w:w="316"/>
        <w:gridCol w:w="109"/>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11"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11"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May 1, 2026, the registrant had 191,586,165</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color w:val="000000"/>
          <w:sz w:val="18"/>
        </w:rPr>
      </w:pPr>
      <w:r>
        <w:rPr>
          <w:rFonts w:ascii="Times New Roman" w:hAnsi="Times New Roman"/>
          <w:b/>
          <w:color w:val="000000"/>
          <w:sz w:val="18"/>
        </w:rPr>
        <w:t>Table of Contents</w:t>
      </w:r>
    </w:p>
    <w:tbl>
      <w:tblPr>
        <w:tblW w:w="8275" w:type="dxa"/>
        <w:jc w:val="left"/>
        <w:tblInd w:w="0" w:type="dxa"/>
        <w:tblLayout w:type="fixed"/>
        <w:tblCellMar>
          <w:top w:w="28" w:type="dxa"/>
          <w:left w:w="28" w:type="dxa"/>
          <w:bottom w:w="28" w:type="dxa"/>
          <w:right w:w="28" w:type="dxa"/>
        </w:tblCellMar>
      </w:tblPr>
      <w:tblGrid>
        <w:gridCol w:w="856"/>
        <w:gridCol w:w="266"/>
        <w:gridCol w:w="6676"/>
        <w:gridCol w:w="146"/>
        <w:gridCol w:w="331"/>
      </w:tblGrid>
      <w:tr>
        <w:trPr/>
        <w:tc>
          <w:tcPr>
            <w:tcW w:w="85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Page</w:t>
            </w:r>
          </w:p>
        </w:tc>
      </w:tr>
      <w:tr>
        <w:trPr/>
        <w:tc>
          <w:tcPr>
            <w:tcW w:w="85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18"/>
              </w:rPr>
            </w:pPr>
            <w:r>
              <w:rPr>
                <w:rFonts w:ascii="Times New Roman" w:hAnsi="Times New Roman"/>
                <w:b/>
                <w:color w:val="000000"/>
                <w:sz w:val="18"/>
              </w:rPr>
              <w:t>PART I.</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120" w:after="283"/>
              <w:ind w:left="0" w:right="0" w:firstLine="180"/>
              <w:jc w:val="left"/>
              <w:rPr/>
            </w:pPr>
            <w:hyperlink w:anchor="part_ifinancial_information">
              <w:r>
                <w:rPr>
                  <w:rStyle w:val="InternetLink"/>
                  <w:rFonts w:ascii="Times New Roman" w:hAnsi="Times New Roman"/>
                  <w:color w:val="0563C1"/>
                  <w:sz w:val="18"/>
                  <w:u w:val="single"/>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Item 1.</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1_financial_statements">
              <w:r>
                <w:rPr>
                  <w:rStyle w:val="InternetLink"/>
                  <w:rFonts w:ascii="Times New Roman" w:hAnsi="Times New Roman"/>
                  <w:color w:val="0563C1"/>
                  <w:sz w:val="18"/>
                  <w:u w:val="single"/>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consolidated_balance_sheets">
              <w:r>
                <w:rPr>
                  <w:rStyle w:val="InternetLink"/>
                  <w:rFonts w:ascii="Times New Roman" w:hAnsi="Times New Roman"/>
                  <w:color w:val="0563C1"/>
                  <w:sz w:val="18"/>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consolidated_statements_operations_compr">
              <w:r>
                <w:rPr>
                  <w:rStyle w:val="InternetLink"/>
                  <w:rFonts w:ascii="Times New Roman" w:hAnsi="Times New Roman"/>
                  <w:color w:val="0563C1"/>
                  <w:sz w:val="18"/>
                  <w:u w:val="single"/>
                </w:rPr>
                <w:t>Condensed Consolidated Statements of Operations and Comprehensive Loss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consolidated_statements_convertible_pref">
              <w:r>
                <w:rPr>
                  <w:rStyle w:val="InternetLink"/>
                  <w:rFonts w:ascii="Times New Roman" w:hAnsi="Times New Roman"/>
                  <w:color w:val="0563C1"/>
                  <w:sz w:val="18"/>
                  <w:u w:val="single"/>
                </w:rPr>
                <w:t>Condensed Consolidated Statements of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consolidated_statements_cash_flows">
              <w:r>
                <w:rPr>
                  <w:rStyle w:val="InternetLink"/>
                  <w:rFonts w:ascii="Times New Roman" w:hAnsi="Times New Roman"/>
                  <w:color w:val="0563C1"/>
                  <w:sz w:val="18"/>
                  <w:u w:val="single"/>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notes_to_consolidated_financial_statemen">
              <w:r>
                <w:rPr>
                  <w:rStyle w:val="InternetLink"/>
                  <w:rFonts w:ascii="Times New Roman" w:hAnsi="Times New Roman"/>
                  <w:color w:val="0563C1"/>
                  <w:sz w:val="18"/>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Item 2.</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managements_discussion_and_analysis">
              <w:r>
                <w:rPr>
                  <w:rStyle w:val="InternetLink"/>
                  <w:rFonts w:ascii="Times New Roman" w:hAnsi="Times New Roman"/>
                  <w:color w:val="0563C1"/>
                  <w:sz w:val="18"/>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Item 3.</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3_quantitative_qualitative_disclosu">
              <w:r>
                <w:rPr>
                  <w:rStyle w:val="InternetLink"/>
                  <w:rFonts w:ascii="Times New Roman" w:hAnsi="Times New Roman"/>
                  <w:color w:val="0563C1"/>
                  <w:sz w:val="18"/>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Item 4.</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4_controls_and_procedure">
              <w:r>
                <w:rPr>
                  <w:rStyle w:val="InternetLink"/>
                  <w:rFonts w:ascii="Times New Roman" w:hAnsi="Times New Roman"/>
                  <w:color w:val="0563C1"/>
                  <w:sz w:val="18"/>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PART II.</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part_ii_or_information">
              <w:r>
                <w:rPr>
                  <w:rStyle w:val="InternetLink"/>
                  <w:rFonts w:ascii="Times New Roman" w:hAnsi="Times New Roman"/>
                  <w:color w:val="0563C1"/>
                  <w:sz w:val="18"/>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Item 1.</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1_legal_proceedings">
              <w:r>
                <w:rPr>
                  <w:rStyle w:val="InternetLink"/>
                  <w:rFonts w:ascii="Times New Roman" w:hAnsi="Times New Roman"/>
                  <w:color w:val="0563C1"/>
                  <w:sz w:val="18"/>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Item 1A.</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1a_risk_factors">
              <w:r>
                <w:rPr>
                  <w:rStyle w:val="InternetLink"/>
                  <w:rFonts w:ascii="Times New Roman" w:hAnsi="Times New Roman"/>
                  <w:color w:val="0563C1"/>
                  <w:sz w:val="18"/>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Item 2.</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2_unregistered_sales_equity_securit">
              <w:r>
                <w:rPr>
                  <w:rStyle w:val="InternetLink"/>
                  <w:rFonts w:ascii="Times New Roman" w:hAnsi="Times New Roman"/>
                  <w:color w:val="000080"/>
                  <w:sz w:val="18"/>
                  <w:u w:val="single"/>
                </w:rPr>
                <w:t>Unregistered Sales of Equity Securities and Use of Proceed</w:t>
              </w:r>
            </w:hyperlink>
            <w:r>
              <w:rPr>
                <w:rFonts w:ascii="Times New Roman" w:hAnsi="Times New Roman"/>
                <w:color w:val="0563C1"/>
                <w:sz w:val="18"/>
                <w:u w:val="single"/>
              </w:rPr>
              <w: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Item 5.</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5_other_information">
              <w:r>
                <w:rPr>
                  <w:rStyle w:val="InternetLink"/>
                  <w:rFonts w:ascii="Times New Roman" w:hAnsi="Times New Roman"/>
                  <w:color w:val="0563C1"/>
                  <w:sz w:val="18"/>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Item 6.</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exhibits">
              <w:r>
                <w:rPr>
                  <w:rStyle w:val="InternetLink"/>
                  <w:rFonts w:ascii="Times New Roman" w:hAnsi="Times New Roman"/>
                  <w:color w:val="0563C1"/>
                  <w:sz w:val="18"/>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r>
      <w:tr>
        <w:trPr/>
        <w:tc>
          <w:tcPr>
            <w:tcW w:w="7798"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563C1"/>
                  <w:sz w:val="18"/>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18"/>
        </w:rPr>
        <w:t>Summary of the Material Risks Associated with Our Business</w:t>
      </w:r>
      <w:r>
        <w:rPr>
          <w:rFonts w:ascii="Times New Roman" w:hAnsi="Times New Roman"/>
          <w:caps/>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have never successfully completed any large-scale, pivotal clinical trials, and we may be unable to do so for any product candidates we develop. Clinical product development involves a lengthy and expensive process, with an uncertain outcome. We may incur additional costs or experience delays in completing, or ultimately be unable to complete, the development and commercialization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If we experience delays or difficulties in the enrollment of patients in clinical trials, our receipt of necessary regulatory approvals could be delayed or prevented.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Positive data from preclinical or early clinical studies of our product candidates are not necessarily predictive of the results of later clinical studies and any future clinical trials of our product candidates. If we cannot replicate the positive data from our preclinical or early clinical studies of our product candidates in our future clinical trials, we will be unable to successfully develop, obtain regulatory approval for, and commercialize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current or future clinical trials or those of future collaborators or licensees may reveal significant adverse events not seen in our preclinical or nonclinical studies or early clinical data and may result in a safety profile that would inhibit regulatory approval or market acceptance of any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face substantial competition, which may result in others discovering, developing or commercializing products before or more successfully than we do.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If we are not able to obtain, or if delays occur in obtaining, required regulatory approvals for our product candidates, we will not be able to commercialize, or will be delayed in commercializing, our product candidates, and our ability to generate revenue will be materially impaired.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have relied on, and expect to continue to rely on, third parties to conduct our current and future clinical trials of our product candidates, as well as investigator-sponsored clinical trials of our product candidates and any investigational products.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are a biopharmaceutical company with a limited operating history. We have incurred significant operating losses since our inception and anticipate that we will incur continued losses for the foreseeable future. We have no products approved for commercial sale and have not generated any revenue from product sales.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will need to raise substantial additional funding. If we are unable to raise capital when needed, we would be forced to delay, reduce or eliminate some of our product development programs or commercialization efforts.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If we are unable to adequately protect our proprietary technology or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will be impaired.</w:t>
      </w:r>
    </w:p>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18"/>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This Quarterly Report on Form 10-Q contains express or implied "forward-looking statements," within the meaning of the Private Securities Litigation Reform Act of 1995,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on Form 10-Q include, but are not limited to, implied or express statements about:</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initiation, enrollment, timing, progress, results, and cost of our product candidates and research and development programs and our current and future preclinical and clinical studies, including statements regarding the timing of initiation and completion of studies or trials and related preparatory work, as well as the period during which the results of the trials will become available;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identification of research priorities, reallocation of resources among programs, and application of a risk-mitigated strategy to efficiently discover and develop product candidates, including by applying learnings from one program to other programs and from one modality to our other modalities, as well as the potential expected benefits therefrom;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potential safety and efficacy of our product candidates and the therapeutic implications of clinical and preclinical data;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manufacture of our drug substances, delivery vehicles, and product candidates for preclinical use, for clinical trials, and, on a larger scale, for commercial use, if approved;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relationships with our third-party strategic collaborators and licensees and their ability to continue research and development and commercialization activities relating to our development candidates and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funding for our operations necessary to complete further development and commercialization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plans to seek regulatory approval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pricing and reimbursement of our product candidates, if approved;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implementation of our business model and strategic plans for our business, product candidates, and technology;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of protection for intellectual property rights covering our product candidates and technology;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estimates of our future expenses, revenues, capital requirements, and our needs for additional financing;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potential benefits of strategic collaboration and/or license agreements with collaborators and/or licensees with development, regulatory, and commercialization expertise;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future agreements with third parties in connection with the commercialization of product candidates and any other approved product;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size and growth potential of the markets for our product candidates, and our ability to serve those markets;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financial performance;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rate and degree of market acceptance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regulatory developments in the United States and foreign countries;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contract with third-party suppliers and manufacturers and their ability to perform adequately;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produce our products or product candidates with advantages in turnaround times or manufacturing cost;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success of competing therapies that are or may become available;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attract and retain key scientific, clinical, or management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impact of laws and regulations on our business and programs;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developments relating to our competitors and our industry;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effect of public health epidemics or outbreaks of an infectious disease and ongoing geopolitical conflicts, including mitigation efforts and economic effects, on any of the foregoing or other aspects of our business operations, including, but not limited to, our preclinical studies and current and future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general economic and market conditions, including, among others, inflation, interest rates, tax rates, economic uncertainty, the actual or perceived failure or financial difficulties of additional financial institutions, and economic and trade sanctions, including their effect on our results of operations;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other risks and uncertainties, including those listed under the caption "Risk Factors."</w:t>
      </w:r>
    </w:p>
    <w:p>
      <w:pPr>
        <w:pStyle w:val="TextBody"/>
        <w:bidi w:val="0"/>
        <w:spacing w:before="240" w:after="283"/>
        <w:jc w:val="left"/>
        <w:rPr>
          <w:rFonts w:ascii="Times New Roman" w:hAnsi="Times New Roman"/>
          <w:sz w:val="20"/>
        </w:rPr>
      </w:pPr>
      <w:r>
        <w:rPr>
          <w:rFonts w:ascii="Times New Roman" w:hAnsi="Times New Roman"/>
          <w:color w:val="000000"/>
          <w:sz w:val="18"/>
        </w:rPr>
        <w:t>In some cases, you can identify forward-looking statements by terminology such as "may," "can," "should," "expects," "intends," "plans," "anticipates," "believes," "estimates," "forecasts," "goal," "likely," "predicts," "potential," "projects," "will," "might," "could," "continue," or the negative of these terms or other comparable terminology. These statements are only predictions. All statements other than statements of historical facts are statements that could be deemed forward-looking statements.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above under "Summary of the Material Risks Associated with Our Business," those listed below under the section titled "Risk Factors"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this Quarterly Report on Form 10-Q and have filed with the Securities and Exchange Commission, or the SEC, as exhibits hereto completely and with the understanding that our actual future results may be materially different from any future results expressed or implied by these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and elsewhere in this Quarterly Report on Form 10-Q.</w:t>
      </w:r>
    </w:p>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2" w:name="part_ifinancial_information"/>
      <w:bookmarkEnd w:id="2"/>
      <w:r>
        <w:rPr>
          <w:rFonts w:ascii="Times New Roman" w:hAnsi="Times New Roman"/>
          <w:b/>
          <w:color w:val="000000"/>
          <w:sz w:val="18"/>
        </w:rPr>
        <w:t>PART I—FINANCIAL INFORMATION</w:t>
      </w:r>
    </w:p>
    <w:p>
      <w:pPr>
        <w:pStyle w:val="TextBody"/>
        <w:bidi w:val="0"/>
        <w:spacing w:before="220" w:after="283"/>
        <w:jc w:val="left"/>
        <w:rPr>
          <w:rFonts w:ascii="Times New Roman" w:hAnsi="Times New Roman"/>
          <w:b/>
          <w:color w:val="000000"/>
          <w:sz w:val="18"/>
        </w:rPr>
      </w:pPr>
      <w:bookmarkStart w:id="3" w:name="item_1_financial_statements"/>
      <w:bookmarkEnd w:id="3"/>
      <w:r>
        <w:rPr>
          <w:rFonts w:ascii="Times New Roman" w:hAnsi="Times New Roman"/>
          <w:b/>
          <w:color w:val="000000"/>
          <w:sz w:val="18"/>
        </w:rPr>
        <w:t>Item 1. Financial Statements.</w:t>
      </w:r>
    </w:p>
    <w:p>
      <w:pPr>
        <w:pStyle w:val="TextBody"/>
        <w:bidi w:val="0"/>
        <w:jc w:val="center"/>
        <w:rPr>
          <w:rFonts w:ascii="Times New Roman" w:hAnsi="Times New Roman"/>
          <w:color w:val="000000"/>
          <w:sz w:val="18"/>
        </w:rPr>
      </w:pPr>
      <w:r>
        <w:rPr>
          <w:rFonts w:ascii="Times New Roman" w:hAnsi="Times New Roman"/>
          <w:color w:val="000000"/>
          <w:sz w:val="18"/>
        </w:rPr>
        <w:t>Relay Therapeutics, Inc.</w:t>
      </w:r>
    </w:p>
    <w:p>
      <w:pPr>
        <w:pStyle w:val="TextBody"/>
        <w:bidi w:val="0"/>
        <w:jc w:val="center"/>
        <w:rPr>
          <w:rFonts w:ascii="Times New Roman" w:hAnsi="Times New Roman"/>
          <w:color w:val="000000"/>
          <w:sz w:val="18"/>
        </w:rPr>
      </w:pPr>
      <w:bookmarkStart w:id="4" w:name="consolidated_balance_sheets"/>
      <w:bookmarkEnd w:id="4"/>
      <w:r>
        <w:rPr>
          <w:rFonts w:ascii="Times New Roman" w:hAnsi="Times New Roman"/>
          <w:color w:val="000000"/>
          <w:sz w:val="18"/>
        </w:rPr>
        <w:t>Condensed Consolidated Balance Sheets</w:t>
      </w:r>
    </w:p>
    <w:p>
      <w:pPr>
        <w:pStyle w:val="TextBody"/>
        <w:bidi w:val="0"/>
        <w:jc w:val="center"/>
        <w:rPr>
          <w:rFonts w:ascii="Times New Roman" w:hAnsi="Times New Roman"/>
          <w:color w:val="000000"/>
          <w:sz w:val="18"/>
        </w:rPr>
      </w:pPr>
      <w:r>
        <w:rPr>
          <w:rFonts w:ascii="Times New Roman" w:hAnsi="Times New Roman"/>
          <w:color w:val="000000"/>
          <w:sz w:val="18"/>
        </w:rPr>
        <w:t>(In thousands, except share and per share amounts)</w:t>
      </w:r>
    </w:p>
    <w:p>
      <w:pPr>
        <w:pStyle w:val="TextBody"/>
        <w:bidi w:val="0"/>
        <w:spacing w:before="0" w:after="240"/>
        <w:jc w:val="center"/>
        <w:rPr>
          <w:rFonts w:ascii="Times New Roman" w:hAnsi="Times New Roman"/>
          <w:color w:val="000000"/>
          <w:sz w:val="18"/>
        </w:rPr>
      </w:pPr>
      <w:r>
        <w:rPr>
          <w:rFonts w:ascii="Times New Roman" w:hAnsi="Times New Roman"/>
          <w:color w:val="000000"/>
          <w:sz w:val="18"/>
        </w:rPr>
        <w:t>(Unaudited)</w:t>
      </w:r>
    </w:p>
    <w:tbl>
      <w:tblPr>
        <w:tblW w:w="9392" w:type="dxa"/>
        <w:jc w:val="left"/>
        <w:tblInd w:w="0" w:type="dxa"/>
        <w:tblLayout w:type="fixed"/>
        <w:tblCellMar>
          <w:top w:w="28" w:type="dxa"/>
          <w:left w:w="28" w:type="dxa"/>
          <w:bottom w:w="28" w:type="dxa"/>
          <w:right w:w="28" w:type="dxa"/>
        </w:tblCellMar>
      </w:tblPr>
      <w:tblGrid>
        <w:gridCol w:w="6246"/>
        <w:gridCol w:w="146"/>
        <w:gridCol w:w="196"/>
        <w:gridCol w:w="886"/>
        <w:gridCol w:w="166"/>
        <w:gridCol w:w="146"/>
        <w:gridCol w:w="220"/>
        <w:gridCol w:w="995"/>
        <w:gridCol w:w="391"/>
      </w:tblGrid>
      <w:tr>
        <w:trPr/>
        <w:tc>
          <w:tcPr>
            <w:tcW w:w="6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470,500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578,279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699,613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621,331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28,693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Undesignated preferred stock, $0.001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as of</w:t>
              <w:br/>
              <w:t>   March 31, 2026 and December 31, 2025; no</w:t>
            </w:r>
            <w:r>
              <w:rPr>
                <w:rFonts w:ascii="Times New Roman" w:hAnsi="Times New Roman"/>
                <w:color w:val="000000"/>
                <w:sz w:val="20"/>
              </w:rPr>
              <w:t> </w:t>
            </w:r>
            <w:r>
              <w:rPr>
                <w:rFonts w:ascii="Times New Roman" w:hAnsi="Times New Roman"/>
                <w:color w:val="000000"/>
                <w:sz w:val="18"/>
              </w:rPr>
              <w:t>shares issued and outstanding as of</w:t>
              <w:br/>
              <w:t>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$0.001</w:t>
            </w:r>
            <w:r>
              <w:rPr>
                <w:rFonts w:ascii="Times New Roman" w:hAnsi="Times New Roman"/>
                <w:color w:val="000000"/>
                <w:sz w:val="20"/>
              </w:rPr>
              <w:t> </w:t>
            </w:r>
            <w:r>
              <w:rPr>
                <w:rFonts w:ascii="Times New Roman" w:hAnsi="Times New Roman"/>
                <w:color w:val="000000"/>
                <w:sz w:val="18"/>
              </w:rPr>
              <w:t>par value; 300,000,000</w:t>
            </w:r>
            <w:r>
              <w:rPr>
                <w:rFonts w:ascii="Times New Roman" w:hAnsi="Times New Roman"/>
                <w:color w:val="000000"/>
                <w:sz w:val="20"/>
              </w:rPr>
              <w:t> </w:t>
            </w:r>
            <w:r>
              <w:rPr>
                <w:rFonts w:ascii="Times New Roman" w:hAnsi="Times New Roman"/>
                <w:color w:val="000000"/>
                <w:sz w:val="18"/>
              </w:rPr>
              <w:t>shares authorized as of March 31</w:t>
              <w:br/>
              <w:t>   2026, and December 31, 2025; 189,209,453</w:t>
            </w:r>
            <w:r>
              <w:rPr>
                <w:rFonts w:ascii="Times New Roman" w:hAnsi="Times New Roman"/>
                <w:color w:val="000000"/>
                <w:sz w:val="20"/>
              </w:rPr>
              <w:t> </w:t>
            </w:r>
            <w:r>
              <w:rPr>
                <w:rFonts w:ascii="Times New Roman" w:hAnsi="Times New Roman"/>
                <w:color w:val="000000"/>
                <w:sz w:val="18"/>
              </w:rPr>
              <w:t>and 173,868,949</w:t>
            </w:r>
            <w:r>
              <w:rPr>
                <w:rFonts w:ascii="Times New Roman" w:hAnsi="Times New Roman"/>
                <w:color w:val="000000"/>
                <w:sz w:val="20"/>
              </w:rPr>
              <w:t> </w:t>
            </w:r>
            <w:r>
              <w:rPr>
                <w:rFonts w:ascii="Times New Roman" w:hAnsi="Times New Roman"/>
                <w:color w:val="000000"/>
                <w:sz w:val="18"/>
              </w:rPr>
              <w:t xml:space="preserve">shares issued </w:t>
              <w:br/>
              <w:t>   and outstanding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2,730,233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2,580,928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(2,088,060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(2,014,769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567,060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699,613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621,331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Relay Therapeutics, Inc.</w:t>
      </w:r>
    </w:p>
    <w:p>
      <w:pPr>
        <w:pStyle w:val="TextBody"/>
        <w:bidi w:val="0"/>
        <w:jc w:val="center"/>
        <w:rPr>
          <w:rFonts w:ascii="Times New Roman" w:hAnsi="Times New Roman"/>
          <w:color w:val="000000"/>
          <w:sz w:val="18"/>
        </w:rPr>
      </w:pPr>
      <w:bookmarkStart w:id="5" w:name="consolidated_statements_operations_compr"/>
      <w:bookmarkEnd w:id="5"/>
      <w:r>
        <w:rPr>
          <w:rFonts w:ascii="Times New Roman" w:hAnsi="Times New Roman"/>
          <w:color w:val="000000"/>
          <w:sz w:val="18"/>
        </w:rPr>
        <w:t>Condensed Consolidated Statements of Operations and Comprehensive Loss</w:t>
      </w:r>
    </w:p>
    <w:p>
      <w:pPr>
        <w:pStyle w:val="TextBody"/>
        <w:bidi w:val="0"/>
        <w:jc w:val="center"/>
        <w:rPr>
          <w:rFonts w:ascii="Times New Roman" w:hAnsi="Times New Roman"/>
          <w:color w:val="000000"/>
          <w:sz w:val="18"/>
        </w:rPr>
      </w:pPr>
      <w:r>
        <w:rPr>
          <w:rFonts w:ascii="Times New Roman" w:hAnsi="Times New Roman"/>
          <w:color w:val="000000"/>
          <w:sz w:val="18"/>
        </w:rPr>
        <w:t>(In thousands, except share and per share data)</w:t>
      </w:r>
    </w:p>
    <w:p>
      <w:pPr>
        <w:pStyle w:val="TextBody"/>
        <w:bidi w:val="0"/>
        <w:spacing w:before="0" w:after="240"/>
        <w:jc w:val="center"/>
        <w:rPr>
          <w:rFonts w:ascii="Times New Roman" w:hAnsi="Times New Roman"/>
          <w:color w:val="000000"/>
          <w:sz w:val="18"/>
        </w:rPr>
      </w:pPr>
      <w:r>
        <w:rPr>
          <w:rFonts w:ascii="Times New Roman" w:hAnsi="Times New Roman"/>
          <w:color w:val="000000"/>
          <w:sz w:val="18"/>
        </w:rPr>
        <w:t>(Unaudited)</w:t>
      </w:r>
    </w:p>
    <w:tbl>
      <w:tblPr>
        <w:tblW w:w="7879" w:type="dxa"/>
        <w:jc w:val="left"/>
        <w:tblInd w:w="0" w:type="dxa"/>
        <w:tblLayout w:type="fixed"/>
        <w:tblCellMar>
          <w:top w:w="28" w:type="dxa"/>
          <w:left w:w="28" w:type="dxa"/>
          <w:bottom w:w="28" w:type="dxa"/>
          <w:right w:w="28" w:type="dxa"/>
        </w:tblCellMar>
      </w:tblPr>
      <w:tblGrid>
        <w:gridCol w:w="4426"/>
        <w:gridCol w:w="146"/>
        <w:gridCol w:w="196"/>
        <w:gridCol w:w="1006"/>
        <w:gridCol w:w="166"/>
        <w:gridCol w:w="146"/>
        <w:gridCol w:w="196"/>
        <w:gridCol w:w="1006"/>
        <w:gridCol w:w="5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92,548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(84,869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of common stock,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179,849,137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169,233,155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holding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(76,036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Relay Therapeutics, Inc.</w:t>
      </w:r>
    </w:p>
    <w:p>
      <w:pPr>
        <w:pStyle w:val="TextBody"/>
        <w:bidi w:val="0"/>
        <w:jc w:val="center"/>
        <w:rPr>
          <w:rFonts w:ascii="Times New Roman" w:hAnsi="Times New Roman"/>
          <w:sz w:val="20"/>
        </w:rPr>
      </w:pPr>
      <w:bookmarkStart w:id="6" w:name="consolidated_statements_convertible_pref"/>
      <w:bookmarkEnd w:id="6"/>
      <w:r>
        <w:rPr>
          <w:rFonts w:ascii="Times New Roman" w:hAnsi="Times New Roman"/>
          <w:color w:val="000000"/>
          <w:sz w:val="18"/>
        </w:rPr>
        <w:t>Condensed Consolidated Statements of</w:t>
      </w:r>
      <w:r>
        <w:rPr>
          <w:rFonts w:ascii="Times New Roman" w:hAnsi="Times New Roman"/>
          <w:color w:val="000000"/>
          <w:sz w:val="20"/>
        </w:rPr>
        <w:t xml:space="preserve"> </w:t>
      </w:r>
      <w:r>
        <w:rPr>
          <w:rFonts w:ascii="Times New Roman" w:hAnsi="Times New Roman"/>
          <w:color w:val="000000"/>
          <w:sz w:val="18"/>
        </w:rPr>
        <w:t>Stockholders’ Equity</w:t>
      </w:r>
      <w:r>
        <w:rPr>
          <w:rFonts w:ascii="Times New Roman" w:hAnsi="Times New Roman"/>
          <w:color w:val="000000"/>
          <w:sz w:val="20"/>
        </w:rPr>
        <w:t xml:space="preserve"> </w:t>
      </w:r>
    </w:p>
    <w:p>
      <w:pPr>
        <w:pStyle w:val="TextBody"/>
        <w:bidi w:val="0"/>
        <w:jc w:val="center"/>
        <w:rPr>
          <w:rFonts w:ascii="Times New Roman" w:hAnsi="Times New Roman"/>
          <w:color w:val="000000"/>
          <w:sz w:val="18"/>
        </w:rPr>
      </w:pPr>
      <w:r>
        <w:rPr>
          <w:rFonts w:ascii="Times New Roman" w:hAnsi="Times New Roman"/>
          <w:color w:val="000000"/>
          <w:sz w:val="18"/>
        </w:rPr>
        <w:t>(In thousands, except share and per share data)</w:t>
      </w:r>
    </w:p>
    <w:p>
      <w:pPr>
        <w:pStyle w:val="TextBody"/>
        <w:bidi w:val="0"/>
        <w:spacing w:before="0" w:after="240"/>
        <w:jc w:val="center"/>
        <w:rPr>
          <w:rFonts w:ascii="Times New Roman" w:hAnsi="Times New Roman"/>
          <w:color w:val="000000"/>
          <w:sz w:val="18"/>
        </w:rPr>
      </w:pPr>
      <w:r>
        <w:rPr>
          <w:rFonts w:ascii="Times New Roman" w:hAnsi="Times New Roman"/>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541"/>
        <w:gridCol w:w="146"/>
        <w:gridCol w:w="146"/>
        <w:gridCol w:w="1006"/>
        <w:gridCol w:w="146"/>
        <w:gridCol w:w="146"/>
        <w:gridCol w:w="213"/>
        <w:gridCol w:w="410"/>
        <w:gridCol w:w="146"/>
        <w:gridCol w:w="146"/>
        <w:gridCol w:w="196"/>
        <w:gridCol w:w="826"/>
        <w:gridCol w:w="146"/>
        <w:gridCol w:w="146"/>
        <w:gridCol w:w="316"/>
        <w:gridCol w:w="705"/>
        <w:gridCol w:w="166"/>
        <w:gridCol w:w="146"/>
        <w:gridCol w:w="196"/>
        <w:gridCol w:w="886"/>
        <w:gridCol w:w="166"/>
        <w:gridCol w:w="146"/>
        <w:gridCol w:w="199"/>
        <w:gridCol w:w="705"/>
        <w:gridCol w:w="214"/>
      </w:tblGrid>
      <w:tr>
        <w:trPr/>
        <w:tc>
          <w:tcPr>
            <w:tcW w:w="2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173,868,949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567,060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via at-the-market offerings,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14,141,569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137,090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through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(73,291</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189,209,453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2,730,233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(2,088,060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642,183</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125" w:type="dxa"/>
        <w:jc w:val="left"/>
        <w:tblInd w:w="0" w:type="dxa"/>
        <w:tblLayout w:type="fixed"/>
        <w:tblCellMar>
          <w:top w:w="28" w:type="dxa"/>
          <w:left w:w="28" w:type="dxa"/>
          <w:bottom w:w="28" w:type="dxa"/>
          <w:right w:w="28" w:type="dxa"/>
        </w:tblCellMar>
      </w:tblPr>
      <w:tblGrid>
        <w:gridCol w:w="2371"/>
        <w:gridCol w:w="146"/>
        <w:gridCol w:w="146"/>
        <w:gridCol w:w="1006"/>
        <w:gridCol w:w="146"/>
        <w:gridCol w:w="146"/>
        <w:gridCol w:w="236"/>
        <w:gridCol w:w="454"/>
        <w:gridCol w:w="146"/>
        <w:gridCol w:w="146"/>
        <w:gridCol w:w="196"/>
        <w:gridCol w:w="826"/>
        <w:gridCol w:w="146"/>
        <w:gridCol w:w="146"/>
        <w:gridCol w:w="283"/>
        <w:gridCol w:w="738"/>
        <w:gridCol w:w="166"/>
        <w:gridCol w:w="146"/>
        <w:gridCol w:w="196"/>
        <w:gridCol w:w="886"/>
        <w:gridCol w:w="166"/>
        <w:gridCol w:w="146"/>
        <w:gridCol w:w="205"/>
        <w:gridCol w:w="725"/>
        <w:gridCol w:w="21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167,755,715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2,516,905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777,792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2,728,157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170,483,872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2,536,230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(1,815,355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721,081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Relay Therapeutics, Inc.</w:t>
      </w:r>
    </w:p>
    <w:p>
      <w:pPr>
        <w:pStyle w:val="TextBody"/>
        <w:bidi w:val="0"/>
        <w:jc w:val="center"/>
        <w:rPr>
          <w:rFonts w:ascii="Times New Roman" w:hAnsi="Times New Roman"/>
          <w:color w:val="000000"/>
          <w:sz w:val="18"/>
        </w:rPr>
      </w:pPr>
      <w:bookmarkStart w:id="7" w:name="consolidated_statements_cash_flows"/>
      <w:bookmarkEnd w:id="7"/>
      <w:r>
        <w:rPr>
          <w:rFonts w:ascii="Times New Roman" w:hAnsi="Times New Roman"/>
          <w:color w:val="000000"/>
          <w:sz w:val="18"/>
        </w:rPr>
        <w:t>Condensed Consolidated Statements of Cash Flows</w:t>
      </w:r>
    </w:p>
    <w:p>
      <w:pPr>
        <w:pStyle w:val="TextBody"/>
        <w:bidi w:val="0"/>
        <w:jc w:val="center"/>
        <w:rPr>
          <w:rFonts w:ascii="Times New Roman" w:hAnsi="Times New Roman"/>
          <w:color w:val="000000"/>
          <w:sz w:val="18"/>
        </w:rPr>
      </w:pPr>
      <w:r>
        <w:rPr>
          <w:rFonts w:ascii="Times New Roman" w:hAnsi="Times New Roman"/>
          <w:color w:val="000000"/>
          <w:sz w:val="18"/>
        </w:rPr>
        <w:t>(In thousands)</w:t>
      </w:r>
    </w:p>
    <w:p>
      <w:pPr>
        <w:pStyle w:val="TextBody"/>
        <w:bidi w:val="0"/>
        <w:spacing w:before="0" w:after="240"/>
        <w:jc w:val="center"/>
        <w:rPr>
          <w:rFonts w:ascii="Times New Roman" w:hAnsi="Times New Roman"/>
          <w:color w:val="000000"/>
          <w:sz w:val="18"/>
        </w:rPr>
      </w:pPr>
      <w:r>
        <w:rPr>
          <w:rFonts w:ascii="Times New Roman" w:hAnsi="Times New Roman"/>
          <w:color w:val="000000"/>
          <w:sz w:val="18"/>
        </w:rPr>
        <w:t>(Unaudited)</w:t>
      </w:r>
    </w:p>
    <w:tbl>
      <w:tblPr>
        <w:tblW w:w="8589" w:type="dxa"/>
        <w:jc w:val="left"/>
        <w:tblInd w:w="0" w:type="dxa"/>
        <w:tblLayout w:type="fixed"/>
        <w:tblCellMar>
          <w:top w:w="28" w:type="dxa"/>
          <w:left w:w="28" w:type="dxa"/>
          <w:bottom w:w="28" w:type="dxa"/>
          <w:right w:w="28" w:type="dxa"/>
        </w:tblCellMar>
      </w:tblPr>
      <w:tblGrid>
        <w:gridCol w:w="5946"/>
        <w:gridCol w:w="146"/>
        <w:gridCol w:w="196"/>
        <w:gridCol w:w="691"/>
        <w:gridCol w:w="166"/>
        <w:gridCol w:w="146"/>
        <w:gridCol w:w="196"/>
        <w:gridCol w:w="691"/>
        <w:gridCol w:w="411"/>
      </w:tblGrid>
      <w:tr>
        <w:trPr/>
        <w:tc>
          <w:tcPr>
            <w:tcW w:w="5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amortization of premiums and discounts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(21,971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maturities and sales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via at-the-market offerings,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through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Periodic change in additions of property and equipment within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Periodic change in costs to obtain license agreement within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40"/>
        <w:jc w:val="left"/>
        <w:rPr>
          <w:rFonts w:ascii="Times New Roman" w:hAnsi="Times New Roman"/>
          <w:b/>
          <w:color w:val="000000"/>
          <w:sz w:val="18"/>
        </w:rPr>
      </w:pPr>
      <w:r>
        <w:rPr>
          <w:rFonts w:ascii="Times New Roman" w:hAnsi="Times New Roman"/>
          <w:b/>
          <w:color w:val="000000"/>
          <w:sz w:val="18"/>
        </w:rPr>
        <w:t>Reconciliation of Cash, Cash Equivalents, and Restricted Cash from Balance Sheets to Statement of Cash Flows</w:t>
      </w:r>
    </w:p>
    <w:tbl>
      <w:tblPr>
        <w:tblW w:w="7489" w:type="dxa"/>
        <w:jc w:val="left"/>
        <w:tblInd w:w="0" w:type="dxa"/>
        <w:tblLayout w:type="fixed"/>
        <w:tblCellMar>
          <w:top w:w="28" w:type="dxa"/>
          <w:left w:w="28" w:type="dxa"/>
          <w:bottom w:w="28" w:type="dxa"/>
          <w:right w:w="28" w:type="dxa"/>
        </w:tblCellMar>
      </w:tblPr>
      <w:tblGrid>
        <w:gridCol w:w="5176"/>
        <w:gridCol w:w="146"/>
        <w:gridCol w:w="196"/>
        <w:gridCol w:w="691"/>
        <w:gridCol w:w="146"/>
        <w:gridCol w:w="146"/>
        <w:gridCol w:w="196"/>
        <w:gridCol w:w="601"/>
        <w:gridCol w:w="19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per statements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205,925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95,661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Relay Therapeutics, Inc.</w:t>
      </w:r>
    </w:p>
    <w:p>
      <w:pPr>
        <w:pStyle w:val="TextBody"/>
        <w:bidi w:val="0"/>
        <w:jc w:val="center"/>
        <w:rPr>
          <w:rFonts w:ascii="Times New Roman" w:hAnsi="Times New Roman"/>
          <w:sz w:val="20"/>
        </w:rPr>
      </w:pPr>
      <w:bookmarkStart w:id="8" w:name="notes_to_consolidated_financial_statemen"/>
      <w:bookmarkEnd w:id="8"/>
      <w:r>
        <w:rPr>
          <w:rFonts w:ascii="Times New Roman" w:hAnsi="Times New Roman"/>
          <w:color w:val="000000"/>
          <w:sz w:val="18"/>
        </w:rPr>
        <w:t>Notes to Condensed Consolidated</w:t>
      </w:r>
      <w:r>
        <w:rPr>
          <w:rFonts w:ascii="Times New Roman" w:hAnsi="Times New Roman"/>
          <w:color w:val="000000"/>
          <w:sz w:val="20"/>
        </w:rPr>
        <w:t xml:space="preserve"> </w:t>
      </w:r>
      <w:r>
        <w:rPr>
          <w:rFonts w:ascii="Times New Roman" w:hAnsi="Times New Roman"/>
          <w:color w:val="000000"/>
          <w:sz w:val="18"/>
        </w:rPr>
        <w:t>Financial Statements</w:t>
      </w:r>
    </w:p>
    <w:p>
      <w:pPr>
        <w:pStyle w:val="TextBody"/>
        <w:bidi w:val="0"/>
        <w:jc w:val="center"/>
        <w:rPr>
          <w:rFonts w:ascii="Times New Roman" w:hAnsi="Times New Roman"/>
          <w:color w:val="000000"/>
          <w:sz w:val="18"/>
        </w:rPr>
      </w:pPr>
      <w:r>
        <w:rPr>
          <w:rFonts w:ascii="Times New Roman" w:hAnsi="Times New Roman"/>
          <w:color w:val="000000"/>
          <w:sz w:val="18"/>
        </w:rPr>
        <w:t>(In thousands, except share and per share data)</w:t>
      </w:r>
    </w:p>
    <w:p>
      <w:pPr>
        <w:pStyle w:val="TextBody"/>
        <w:bidi w:val="0"/>
        <w:jc w:val="center"/>
        <w:rPr>
          <w:rFonts w:ascii="Times New Roman" w:hAnsi="Times New Roman"/>
          <w:color w:val="000000"/>
          <w:sz w:val="18"/>
        </w:rPr>
      </w:pPr>
      <w:r>
        <w:rPr>
          <w:rFonts w:ascii="Times New Roman" w:hAnsi="Times New Roman"/>
          <w:color w:val="000000"/>
          <w:sz w:val="18"/>
        </w:rPr>
        <w:t>(Unaudited)</w:t>
      </w:r>
    </w:p>
    <w:p>
      <w:pPr>
        <w:pStyle w:val="TextBody"/>
        <w:bidi w:val="0"/>
        <w:spacing w:before="240" w:after="240"/>
        <w:jc w:val="left"/>
        <w:rPr>
          <w:rFonts w:ascii="Times New Roman" w:hAnsi="Times New Roman"/>
          <w:b/>
          <w:color w:val="000000"/>
          <w:sz w:val="18"/>
        </w:rPr>
      </w:pPr>
      <w:r>
        <w:rPr>
          <w:rFonts w:ascii="Times New Roman" w:hAnsi="Times New Roman"/>
          <w:b/>
          <w:color w:val="000000"/>
          <w:sz w:val="18"/>
        </w:rPr>
        <w:t>1. Nature of Business and Basis of Presentation</w:t>
      </w:r>
    </w:p>
    <w:p>
      <w:pPr>
        <w:pStyle w:val="TextBody"/>
        <w:bidi w:val="0"/>
        <w:jc w:val="left"/>
        <w:rPr>
          <w:rFonts w:ascii="Times New Roman" w:hAnsi="Times New Roman"/>
          <w:sz w:val="20"/>
        </w:rPr>
      </w:pPr>
      <w:r>
        <w:rPr>
          <w:rFonts w:ascii="Times New Roman" w:hAnsi="Times New Roman"/>
          <w:color w:val="000000"/>
          <w:sz w:val="18"/>
        </w:rPr>
        <w:t>Relay Therapeutics, Inc. (the "Company") was incorporated in Delaware on May 4, 2015 and is headquartered in Cambridge, Massachusetts. The Company is a clinical-stage, small molecule precision medicine company developing potentially life-changing therapies for patients living with cancer and genetic disease. The Company’s Dynamo® platform integrates an array of leading-edge computational and experimental approaches designed to drug protein targets that have previously been intractable or inadequately addressed. The Company’s initial focus is on enhancing small molecule therapeutic discovery in targeted oncology and genetic disease indications. The Company’s lead product candidate, zovegalisib (RLY-2608), is in clinical development. The Company has also initiated a clinical trial studying its NRAS-selective inhibitor, RLY-8161, in patients with NRAS-mutant melanoma and other NRAS-mutant solid tumors. Additionally, the Company is advancing its non-inhibitory chaperone for Fabry disease as well as early-stage discovery programs across both precision oncology and genetic diseases.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 has devoted substantially all of its resources to developing its product candidates by integrating its computational and experimental approaches, building its intellectual property portfolio, business planning, raising capital and providing general and administrative support for these operations.</w:t>
      </w:r>
    </w:p>
    <w:p>
      <w:pPr>
        <w:pStyle w:val="TextBody"/>
        <w:bidi w:val="0"/>
        <w:spacing w:before="240" w:after="283"/>
        <w:jc w:val="left"/>
        <w:rPr>
          <w:rFonts w:ascii="Times New Roman" w:hAnsi="Times New Roman"/>
          <w:sz w:val="20"/>
        </w:rPr>
      </w:pPr>
      <w:r>
        <w:rPr>
          <w:rFonts w:ascii="Times New Roman" w:hAnsi="Times New Roman"/>
          <w:color w:val="000000"/>
          <w:sz w:val="18"/>
        </w:rPr>
        <w:t>The Company has incurred net operating losses since inception and had an accumulated deficit of $2.1</w:t>
      </w:r>
      <w:r>
        <w:rPr>
          <w:rFonts w:ascii="Times New Roman" w:hAnsi="Times New Roman"/>
          <w:color w:val="000000"/>
          <w:sz w:val="20"/>
        </w:rPr>
        <w:t xml:space="preserve"> </w:t>
      </w:r>
      <w:r>
        <w:rPr>
          <w:rFonts w:ascii="Times New Roman" w:hAnsi="Times New Roman"/>
          <w:color w:val="000000"/>
          <w:sz w:val="18"/>
        </w:rPr>
        <w:t>billion as of March 31, 2026. The Company expects that its existing cash, cash equivalents, and investments as of March 31, 2026</w:t>
      </w:r>
      <w:r>
        <w:rPr>
          <w:rFonts w:ascii="Times New Roman" w:hAnsi="Times New Roman"/>
          <w:color w:val="000000"/>
          <w:sz w:val="20"/>
        </w:rPr>
        <w:t xml:space="preserve"> </w:t>
      </w:r>
      <w:r>
        <w:rPr>
          <w:rFonts w:ascii="Times New Roman" w:hAnsi="Times New Roman"/>
          <w:color w:val="000000"/>
          <w:sz w:val="18"/>
        </w:rPr>
        <w:t>will enable it to fund its planned operating expenses and capital expenditures for at least one year from the date of the issuance of these condensed consolidated financial statements. The future viability of the Company is dependent on its ability to generate cash from operating activities or to raise additional capital to finance its operations. The Company’s failure to raise capital as and when needed could have a material adverse effect on its financial condition and ability to pursue its business strategies. The Company may not be able to obtain financing on acceptable terms, or at all, and the Company may not be able to enter into license or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portfolio expansion, or commercialization efforts, which could adversely affect its business prospects. In the event the Company requires additional funding, there can be no assurance that it will be successful in obtaining sufficient funding on terms acceptable to the Company to fund its continuing operations, if at all.</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2. Significant Accounting Policies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Basis of Presentation</w:t>
      </w:r>
    </w:p>
    <w:p>
      <w:pPr>
        <w:pStyle w:val="TextBody"/>
        <w:bidi w:val="0"/>
        <w:spacing w:before="240" w:after="283"/>
        <w:jc w:val="left"/>
        <w:rPr>
          <w:rFonts w:ascii="Times New Roman" w:hAnsi="Times New Roman"/>
          <w:sz w:val="20"/>
        </w:rPr>
      </w:pPr>
      <w:r>
        <w:rPr>
          <w:rFonts w:ascii="Times New Roman" w:hAnsi="Times New Roman"/>
          <w:color w:val="000000"/>
          <w:sz w:val="18"/>
        </w:rPr>
        <w:t>The accompanying condensed consolidated financial statements have been prepared in conformity with accounting principles generally accepted in the United States of America ("GAAP") and pursuant to the rules and regulations of the U.S. Securities and Exchange Commission ("SEC") for reporting on Form 10-Q.</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Company’s condensed consolidated financial statements include the accounts of Relay Therapeutics, Inc. and its wholly-owned subsidiary, Relay Therapeutics Securities Corporation.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intercompany balances and transactions have been eliminated.</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Unaudited Interim Financial Information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accompanying condensed consolidated balance sheet as of March 31, 2026, the condensed consolidated statements of operations and comprehensive loss for the three months ended March 31, 2026 and 2025, the condensed consolidated statements of stockholders’ equity for the three months ended March 31, 2026 and 2025, and the condensed consolidated statements of cash flows for the three months ended March 31, 2026 and 2025 are unaudited. The unaudited condensed consolidated interim financial statements have been prepared on the same basis as the audited annual consolidated financial statements and, in the opinion of management, reflect all adjustments, which include only normal recurring adjustments, necessary for the fair presentation of the Company’s condensed consolidated financial position as of March 31, 2026, the condensed consolidated results of its operations for the three months ended March 31, 2026 and 2025, and condensed consolidated cash flows for the three months ended March 31, 2026 and 2025. The condensed consolidated financial data and other information disclosed in these notes related to the three months ended March 31, 2026 and 2025 are unaudited. The condensed consolidated results for the three months ended March 31, 2026 are not necessarily indicative of results to be expected for the year ending December 31, 2026, any other interim periods, or any future year or period.</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Use of Estimates</w:t>
      </w:r>
    </w:p>
    <w:p>
      <w:pPr>
        <w:pStyle w:val="TextBody"/>
        <w:bidi w:val="0"/>
        <w:spacing w:before="240" w:after="283"/>
        <w:jc w:val="left"/>
        <w:rPr>
          <w:rFonts w:ascii="Times New Roman" w:hAnsi="Times New Roman"/>
          <w:sz w:val="20"/>
        </w:rPr>
      </w:pPr>
      <w:r>
        <w:rPr>
          <w:rFonts w:ascii="Times New Roman" w:hAnsi="Times New Roman"/>
          <w:color w:val="000000"/>
          <w:sz w:val="18"/>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the determination of the transaction price and standalone selling price of performance obligations under Financial Accounting Standards Board ("FASB") Accounting Standards Codification ("ASC") Topic 606, Revenue from Contracts with Customers ("ASC 606"), the accrual of research and development expenses, the valuation of equity instruments, and the incremental borrowing rate for determining operating lease assets and liabilities. Estimates are periodically reviewed in light of changes in circumstances, facts, and experience.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Recently Issued Accounting Pronouncements Not Yet Adopted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November 2024, the FASB issued ASU 2024-03, Income Statement - Reporting Comprehensive Income - Expense Disaggregation Disclosures (Subtopic 220-40), the objective of which is to improve disclosures around an entity's expenses. In particular, the standard will require disclosure of additional information about specific expense categories in the notes to the financial statements on an annual and interim basis. ASU 2024-03 is effective for years beginning after December 15, 2026, as well as for interim periods beginning after December 15, 2027, with early adoption permitted. The Company is currently evaluating the impact of the standard on the presentation of its condensed consolidated financial statements and footnotes.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3. Segment Information</w:t>
      </w:r>
    </w:p>
    <w:p>
      <w:pPr>
        <w:pStyle w:val="TextBody"/>
        <w:bidi w:val="0"/>
        <w:spacing w:before="240" w:after="283"/>
        <w:jc w:val="left"/>
        <w:rPr>
          <w:rFonts w:ascii="Times New Roman" w:hAnsi="Times New Roman"/>
          <w:sz w:val="20"/>
        </w:rPr>
      </w:pPr>
      <w:r>
        <w:rPr>
          <w:rFonts w:ascii="Times New Roman" w:hAnsi="Times New Roman"/>
          <w:color w:val="000000"/>
          <w:sz w:val="18"/>
        </w:rPr>
        <w:t>The Company’s chief operating decision maker (the "CODM") is the President and Chief Executive Officer</w:t>
      </w:r>
      <w:r>
        <w:rPr>
          <w:rFonts w:ascii="Times New Roman" w:hAnsi="Times New Roman"/>
          <w:color w:val="000000"/>
          <w:sz w:val="20"/>
        </w:rPr>
        <w:t xml:space="preserve"> </w:t>
      </w:r>
      <w:r>
        <w:rPr>
          <w:rFonts w:ascii="Times New Roman" w:hAnsi="Times New Roman"/>
          <w:color w:val="000000"/>
          <w:sz w:val="18"/>
        </w:rPr>
        <w:t>and the Company views its operations as one segment, which is using innovative experimental and computational approaches on protein motion for making medicines to drug protein targets that have previously been intractable or inadequately addressed. The factors used in determining the Company’s segments include the nature of the Company’s operating activities, the organizational and reporting structure, and the type of information provided to and reviewed by the Company’s CODM to allocate resources and evaluate financial performance.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measure of segment assets is reported on the Company’s condensed consolidated balance sheets as total condensed consolidated assets. The Company only operates in the United States and all tangible assets, consisting of property and equipment and operating lease right-of-use assets, are held in the United States.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Company’s CODM uses condensed consolidated net loss to evaluate the Company’s expenditures and monitor budget-to-actual results. In connection therewith, the review of budget-to-actual results is used in assessing performance of the Company’s one operating segment, as well as in establishing resource allocations across the Company.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illustrates information about segment revenue, significant segment expenses, and segment net loss.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04" w:type="dxa"/>
        <w:jc w:val="left"/>
        <w:tblInd w:w="0" w:type="dxa"/>
        <w:tblLayout w:type="fixed"/>
        <w:tblCellMar>
          <w:top w:w="28" w:type="dxa"/>
          <w:left w:w="28" w:type="dxa"/>
          <w:bottom w:w="28" w:type="dxa"/>
          <w:right w:w="28" w:type="dxa"/>
        </w:tblCellMar>
      </w:tblPr>
      <w:tblGrid>
        <w:gridCol w:w="5321"/>
        <w:gridCol w:w="146"/>
        <w:gridCol w:w="196"/>
        <w:gridCol w:w="661"/>
        <w:gridCol w:w="166"/>
        <w:gridCol w:w="146"/>
        <w:gridCol w:w="196"/>
        <w:gridCol w:w="661"/>
        <w:gridCol w:w="611"/>
      </w:tblGrid>
      <w:tr>
        <w:trPr/>
        <w:tc>
          <w:tcPr>
            <w:tcW w:w="5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External costs for programs in clinical trials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External costs for platform technologies and preclinical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Employee related expenses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expenses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 expenses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segment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 compensation expense in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11,689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 compensation expense in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Reconciliation to 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or reconciling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(77,065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expense categories and amounts in the table above align with the segment-level information regularly provided to the CODM.</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 "Employee related expenses" within research and development expenses excludes stock compensation expense.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 "Other expenses" within research and development expenses excludes depreciation expense.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(3) "General and administrative expenses" excludes stock compensation expense and depreciation expense.</w:t>
      </w:r>
    </w:p>
    <w:p>
      <w:pPr>
        <w:pStyle w:val="TextBody"/>
        <w:bidi w:val="0"/>
        <w:spacing w:before="240" w:after="283"/>
        <w:jc w:val="left"/>
        <w:rPr>
          <w:rFonts w:ascii="Times New Roman" w:hAnsi="Times New Roman"/>
          <w:sz w:val="20"/>
        </w:rPr>
      </w:pPr>
      <w:r>
        <w:rPr>
          <w:rFonts w:ascii="Times New Roman" w:hAnsi="Times New Roman"/>
          <w:b/>
          <w:color w:val="000000"/>
          <w:sz w:val="18"/>
        </w:rPr>
        <w:t>4. Fair Value Measurements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tables present information about the Company’s financial assets measured at fair value on a recurring basis and indicate the level of the fair value hierarchy utilized to determine such fair values:</w:t>
      </w:r>
    </w:p>
    <w:tbl>
      <w:tblPr>
        <w:tblW w:w="6512" w:type="dxa"/>
        <w:jc w:val="left"/>
        <w:tblInd w:w="0" w:type="dxa"/>
        <w:tblLayout w:type="fixed"/>
        <w:tblCellMar>
          <w:top w:w="28" w:type="dxa"/>
          <w:left w:w="28" w:type="dxa"/>
          <w:bottom w:w="28" w:type="dxa"/>
          <w:right w:w="28" w:type="dxa"/>
        </w:tblCellMar>
      </w:tblPr>
      <w:tblGrid>
        <w:gridCol w:w="1896"/>
        <w:gridCol w:w="146"/>
        <w:gridCol w:w="196"/>
        <w:gridCol w:w="691"/>
        <w:gridCol w:w="146"/>
        <w:gridCol w:w="146"/>
        <w:gridCol w:w="196"/>
        <w:gridCol w:w="691"/>
        <w:gridCol w:w="146"/>
        <w:gridCol w:w="146"/>
        <w:gridCol w:w="196"/>
        <w:gridCol w:w="346"/>
        <w:gridCol w:w="146"/>
        <w:gridCol w:w="146"/>
        <w:gridCol w:w="196"/>
        <w:gridCol w:w="691"/>
        <w:gridCol w:w="391"/>
      </w:tblGrid>
      <w:tr>
        <w:trPr/>
        <w:tc>
          <w:tcPr>
            <w:tcW w:w="1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Measurements as of</w:t>
              <w:b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186,682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186,682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186,682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186,682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368,065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437,476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437,476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422" w:type="dxa"/>
        <w:jc w:val="left"/>
        <w:tblInd w:w="0" w:type="dxa"/>
        <w:tblLayout w:type="fixed"/>
        <w:tblCellMar>
          <w:top w:w="28" w:type="dxa"/>
          <w:left w:w="28" w:type="dxa"/>
          <w:bottom w:w="28" w:type="dxa"/>
          <w:right w:w="28" w:type="dxa"/>
        </w:tblCellMar>
      </w:tblPr>
      <w:tblGrid>
        <w:gridCol w:w="1896"/>
        <w:gridCol w:w="146"/>
        <w:gridCol w:w="196"/>
        <w:gridCol w:w="601"/>
        <w:gridCol w:w="146"/>
        <w:gridCol w:w="146"/>
        <w:gridCol w:w="196"/>
        <w:gridCol w:w="691"/>
        <w:gridCol w:w="146"/>
        <w:gridCol w:w="146"/>
        <w:gridCol w:w="196"/>
        <w:gridCol w:w="346"/>
        <w:gridCol w:w="146"/>
        <w:gridCol w:w="146"/>
        <w:gridCol w:w="196"/>
        <w:gridCol w:w="691"/>
        <w:gridCol w:w="391"/>
      </w:tblGrid>
      <w:tr>
        <w:trPr/>
        <w:tc>
          <w:tcPr>
            <w:tcW w:w="1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Measurements as of</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401,184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470,500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In determining the fair value of its investments at each date presented above, the Company relied on quoted prices for similar securities in active markets or using other inputs that are observable or can be corroborated by observable market data.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5. Investments</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fair value of available-for-sale investments by type of security was as follows:</w:t>
      </w:r>
    </w:p>
    <w:tbl>
      <w:tblPr>
        <w:tblW w:w="8795" w:type="dxa"/>
        <w:jc w:val="left"/>
        <w:tblInd w:w="0" w:type="dxa"/>
        <w:tblLayout w:type="fixed"/>
        <w:tblCellMar>
          <w:top w:w="28" w:type="dxa"/>
          <w:left w:w="28" w:type="dxa"/>
          <w:bottom w:w="28" w:type="dxa"/>
          <w:right w:w="28" w:type="dxa"/>
        </w:tblCellMar>
      </w:tblPr>
      <w:tblGrid>
        <w:gridCol w:w="4086"/>
        <w:gridCol w:w="146"/>
        <w:gridCol w:w="196"/>
        <w:gridCol w:w="691"/>
        <w:gridCol w:w="146"/>
        <w:gridCol w:w="146"/>
        <w:gridCol w:w="257"/>
        <w:gridCol w:w="494"/>
        <w:gridCol w:w="146"/>
        <w:gridCol w:w="146"/>
        <w:gridCol w:w="232"/>
        <w:gridCol w:w="519"/>
        <w:gridCol w:w="166"/>
        <w:gridCol w:w="146"/>
        <w:gridCol w:w="196"/>
        <w:gridCol w:w="691"/>
        <w:gridCol w:w="391"/>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296,966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 with a maturity of one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349,421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 with a maturity of one to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437,648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437,476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795" w:type="dxa"/>
        <w:jc w:val="left"/>
        <w:tblInd w:w="0" w:type="dxa"/>
        <w:tblLayout w:type="fixed"/>
        <w:tblCellMar>
          <w:top w:w="28" w:type="dxa"/>
          <w:left w:w="28" w:type="dxa"/>
          <w:bottom w:w="28" w:type="dxa"/>
          <w:right w:w="28" w:type="dxa"/>
        </w:tblCellMar>
      </w:tblPr>
      <w:tblGrid>
        <w:gridCol w:w="4086"/>
        <w:gridCol w:w="146"/>
        <w:gridCol w:w="196"/>
        <w:gridCol w:w="691"/>
        <w:gridCol w:w="146"/>
        <w:gridCol w:w="146"/>
        <w:gridCol w:w="257"/>
        <w:gridCol w:w="494"/>
        <w:gridCol w:w="146"/>
        <w:gridCol w:w="146"/>
        <w:gridCol w:w="271"/>
        <w:gridCol w:w="480"/>
        <w:gridCol w:w="166"/>
        <w:gridCol w:w="146"/>
        <w:gridCol w:w="196"/>
        <w:gridCol w:w="691"/>
        <w:gridCol w:w="391"/>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358,363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 with a maturity of one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407,839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 with a maturity of one to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469,767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470,500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tables summarize the Company's available-for-sale debt securities in an unrealized loss position, aggregated by major security type and length of time in a continuous unrealized loss position:</w:t>
      </w:r>
    </w:p>
    <w:tbl>
      <w:tblPr>
        <w:tblW w:w="8495" w:type="dxa"/>
        <w:jc w:val="left"/>
        <w:tblInd w:w="0" w:type="dxa"/>
        <w:tblLayout w:type="fixed"/>
        <w:tblCellMar>
          <w:top w:w="28" w:type="dxa"/>
          <w:left w:w="28" w:type="dxa"/>
          <w:bottom w:w="28" w:type="dxa"/>
          <w:right w:w="28" w:type="dxa"/>
        </w:tblCellMar>
      </w:tblPr>
      <w:tblGrid>
        <w:gridCol w:w="1696"/>
        <w:gridCol w:w="146"/>
        <w:gridCol w:w="196"/>
        <w:gridCol w:w="691"/>
        <w:gridCol w:w="146"/>
        <w:gridCol w:w="146"/>
        <w:gridCol w:w="232"/>
        <w:gridCol w:w="519"/>
        <w:gridCol w:w="166"/>
        <w:gridCol w:w="146"/>
        <w:gridCol w:w="266"/>
        <w:gridCol w:w="469"/>
        <w:gridCol w:w="146"/>
        <w:gridCol w:w="146"/>
        <w:gridCol w:w="271"/>
        <w:gridCol w:w="480"/>
        <w:gridCol w:w="146"/>
        <w:gridCol w:w="146"/>
        <w:gridCol w:w="196"/>
        <w:gridCol w:w="691"/>
        <w:gridCol w:w="146"/>
        <w:gridCol w:w="146"/>
        <w:gridCol w:w="232"/>
        <w:gridCol w:w="519"/>
        <w:gridCol w:w="41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31,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12 Months or Longer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tbl>
      <w:tblPr>
        <w:tblW w:w="8335" w:type="dxa"/>
        <w:jc w:val="left"/>
        <w:tblInd w:w="0" w:type="dxa"/>
        <w:tblLayout w:type="fixed"/>
        <w:tblCellMar>
          <w:top w:w="28" w:type="dxa"/>
          <w:left w:w="28" w:type="dxa"/>
          <w:bottom w:w="28" w:type="dxa"/>
          <w:right w:w="28" w:type="dxa"/>
        </w:tblCellMar>
      </w:tblPr>
      <w:tblGrid>
        <w:gridCol w:w="1696"/>
        <w:gridCol w:w="146"/>
        <w:gridCol w:w="196"/>
        <w:gridCol w:w="601"/>
        <w:gridCol w:w="146"/>
        <w:gridCol w:w="146"/>
        <w:gridCol w:w="325"/>
        <w:gridCol w:w="426"/>
        <w:gridCol w:w="166"/>
        <w:gridCol w:w="146"/>
        <w:gridCol w:w="204"/>
        <w:gridCol w:w="531"/>
        <w:gridCol w:w="146"/>
        <w:gridCol w:w="146"/>
        <w:gridCol w:w="271"/>
        <w:gridCol w:w="480"/>
        <w:gridCol w:w="166"/>
        <w:gridCol w:w="146"/>
        <w:gridCol w:w="196"/>
        <w:gridCol w:w="601"/>
        <w:gridCol w:w="146"/>
        <w:gridCol w:w="146"/>
        <w:gridCol w:w="325"/>
        <w:gridCol w:w="426"/>
        <w:gridCol w:w="41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12 Months or Longer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40"/>
        <w:jc w:val="left"/>
        <w:rPr>
          <w:rFonts w:ascii="Times New Roman" w:hAnsi="Times New Roman"/>
          <w:sz w:val="20"/>
        </w:rPr>
      </w:pPr>
      <w:r>
        <w:rPr>
          <w:rFonts w:ascii="Times New Roman" w:hAnsi="Times New Roman"/>
          <w:color w:val="000000"/>
          <w:sz w:val="18"/>
        </w:rPr>
        <w:t>As summarized in the tables immediately above, the Company held 56</w:t>
      </w:r>
      <w:r>
        <w:rPr>
          <w:rFonts w:ascii="Times New Roman" w:hAnsi="Times New Roman"/>
          <w:color w:val="000000"/>
          <w:sz w:val="20"/>
        </w:rPr>
        <w:t xml:space="preserve"> </w:t>
      </w:r>
      <w:r>
        <w:rPr>
          <w:rFonts w:ascii="Times New Roman" w:hAnsi="Times New Roman"/>
          <w:color w:val="000000"/>
          <w:sz w:val="18"/>
        </w:rPr>
        <w:t>and 8</w:t>
      </w:r>
      <w:r>
        <w:rPr>
          <w:rFonts w:ascii="Times New Roman" w:hAnsi="Times New Roman"/>
          <w:color w:val="000000"/>
          <w:sz w:val="20"/>
        </w:rPr>
        <w:t xml:space="preserve"> </w:t>
      </w:r>
      <w:r>
        <w:rPr>
          <w:rFonts w:ascii="Times New Roman" w:hAnsi="Times New Roman"/>
          <w:color w:val="000000"/>
          <w:sz w:val="18"/>
        </w:rPr>
        <w:t>debt securities that were in an unrealized loss position as of March 31, 2026 and December 31, 2025, respectively. The unrealized losses at March 31, 2026 and December 31, 2025</w:t>
      </w:r>
      <w:r>
        <w:rPr>
          <w:rFonts w:ascii="Times New Roman" w:hAnsi="Times New Roman"/>
          <w:color w:val="000000"/>
          <w:sz w:val="20"/>
        </w:rPr>
        <w:t xml:space="preserve"> </w:t>
      </w:r>
      <w:r>
        <w:rPr>
          <w:rFonts w:ascii="Times New Roman" w:hAnsi="Times New Roman"/>
          <w:color w:val="000000"/>
          <w:sz w:val="18"/>
        </w:rPr>
        <w:t>were attributable to changes in interest rates and do not represent credit losses. The Company does not intend to sell these securities and it is not more likely than not that it will be required to sell them before recovery of their amortized cost basis.</w:t>
      </w:r>
    </w:p>
    <w:p>
      <w:pPr>
        <w:pStyle w:val="TextBody"/>
        <w:bidi w:val="0"/>
        <w:jc w:val="left"/>
        <w:rPr>
          <w:rFonts w:ascii="Times New Roman" w:hAnsi="Times New Roman"/>
          <w:b/>
          <w:color w:val="000000"/>
          <w:sz w:val="18"/>
        </w:rPr>
      </w:pPr>
      <w:r>
        <w:rPr>
          <w:rFonts w:ascii="Times New Roman" w:hAnsi="Times New Roman"/>
          <w:b/>
          <w:color w:val="000000"/>
          <w:sz w:val="18"/>
        </w:rPr>
        <w:t>6. Common Stock</w:t>
      </w:r>
    </w:p>
    <w:p>
      <w:pPr>
        <w:pStyle w:val="TextBody"/>
        <w:bidi w:val="0"/>
        <w:spacing w:before="240" w:after="283"/>
        <w:jc w:val="left"/>
        <w:rPr>
          <w:rFonts w:ascii="Times New Roman" w:hAnsi="Times New Roman"/>
          <w:sz w:val="20"/>
        </w:rPr>
      </w:pPr>
      <w:r>
        <w:rPr>
          <w:rFonts w:ascii="Times New Roman" w:hAnsi="Times New Roman"/>
          <w:color w:val="000000"/>
          <w:sz w:val="18"/>
        </w:rPr>
        <w:t>Each share of common stock entitles the stockholder to one vote on all matters submitted to a vote of the Company’s stockholders.</w:t>
      </w:r>
      <w:r>
        <w:rPr>
          <w:rFonts w:ascii="Times New Roman" w:hAnsi="Times New Roman"/>
          <w:color w:val="000000"/>
          <w:sz w:val="20"/>
        </w:rPr>
        <w:t xml:space="preserve"> </w:t>
      </w:r>
      <w:r>
        <w:rPr>
          <w:rFonts w:ascii="Times New Roman" w:hAnsi="Times New Roman"/>
          <w:color w:val="000000"/>
          <w:sz w:val="18"/>
        </w:rPr>
        <w:t>Common stockholders are entitled to receive dividends, as may be declared by the Company’s board of directors. As of March 31, 2026, no</w:t>
      </w:r>
      <w:r>
        <w:rPr>
          <w:rFonts w:ascii="Times New Roman" w:hAnsi="Times New Roman"/>
          <w:color w:val="000000"/>
          <w:sz w:val="20"/>
        </w:rPr>
        <w:t xml:space="preserve"> </w:t>
      </w:r>
      <w:r>
        <w:rPr>
          <w:rFonts w:ascii="Times New Roman" w:hAnsi="Times New Roman"/>
          <w:color w:val="000000"/>
          <w:sz w:val="18"/>
        </w:rPr>
        <w:t>dividends had been declared.</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At-the-Market Offerings</w:t>
      </w:r>
    </w:p>
    <w:p>
      <w:pPr>
        <w:pStyle w:val="TextBody"/>
        <w:bidi w:val="0"/>
        <w:spacing w:before="240" w:after="283"/>
        <w:jc w:val="left"/>
        <w:rPr>
          <w:rFonts w:ascii="Times New Roman" w:hAnsi="Times New Roman"/>
          <w:sz w:val="20"/>
        </w:rPr>
      </w:pPr>
      <w:r>
        <w:rPr>
          <w:rFonts w:ascii="Times New Roman" w:hAnsi="Times New Roman"/>
          <w:color w:val="000000"/>
          <w:sz w:val="18"/>
        </w:rPr>
        <w:t>In August 2024, the Company entered into a</w:t>
      </w:r>
      <w:r>
        <w:rPr>
          <w:rFonts w:ascii="Times New Roman" w:hAnsi="Times New Roman"/>
          <w:color w:val="000000"/>
          <w:sz w:val="20"/>
        </w:rPr>
        <w:t xml:space="preserve"> </w:t>
      </w:r>
      <w:r>
        <w:rPr>
          <w:rFonts w:ascii="Times New Roman" w:hAnsi="Times New Roman"/>
          <w:color w:val="000000"/>
          <w:sz w:val="18"/>
        </w:rPr>
        <w:t>sales agreement (the “2024 Sales Agreement”) with TD Securities (USA) LLC (“TD Securities”), pursuant to which the Company may offer and sell shares of its common stock having aggregate gross proceeds of up to $250.0</w:t>
      </w:r>
      <w:r>
        <w:rPr>
          <w:rFonts w:ascii="Times New Roman" w:hAnsi="Times New Roman"/>
          <w:color w:val="000000"/>
          <w:sz w:val="20"/>
        </w:rPr>
        <w:t xml:space="preserve"> </w:t>
      </w:r>
      <w:r>
        <w:rPr>
          <w:rFonts w:ascii="Times New Roman" w:hAnsi="Times New Roman"/>
          <w:color w:val="000000"/>
          <w:sz w:val="18"/>
        </w:rPr>
        <w:t>million from time to time in “at-the-market” offerings through TD Securities, as the Company’s sales agent.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no</w:t>
      </w:r>
      <w:r>
        <w:rPr>
          <w:rFonts w:ascii="Times New Roman" w:hAnsi="Times New Roman"/>
          <w:color w:val="000000"/>
          <w:sz w:val="20"/>
        </w:rPr>
        <w:t xml:space="preserve"> </w:t>
      </w:r>
      <w:r>
        <w:rPr>
          <w:rFonts w:ascii="Times New Roman" w:hAnsi="Times New Roman"/>
          <w:color w:val="000000"/>
          <w:sz w:val="18"/>
        </w:rPr>
        <w:t>shares of common stock had been sold under the 2024 Sales Agreement.</w:t>
      </w:r>
    </w:p>
    <w:p>
      <w:pPr>
        <w:pStyle w:val="TextBody"/>
        <w:bidi w:val="0"/>
        <w:spacing w:before="240" w:after="283"/>
        <w:jc w:val="left"/>
        <w:rPr>
          <w:rFonts w:ascii="Times New Roman" w:hAnsi="Times New Roman"/>
          <w:sz w:val="20"/>
        </w:rPr>
      </w:pPr>
      <w:r>
        <w:rPr>
          <w:rFonts w:ascii="Times New Roman" w:hAnsi="Times New Roman"/>
          <w:color w:val="000000"/>
          <w:sz w:val="18"/>
        </w:rPr>
        <w:t>During the three months ended March 31, 2026, the Company</w:t>
      </w:r>
      <w:r>
        <w:rPr>
          <w:rFonts w:ascii="Times New Roman" w:hAnsi="Times New Roman"/>
          <w:color w:val="000000"/>
          <w:sz w:val="20"/>
        </w:rPr>
        <w:t xml:space="preserve"> </w:t>
      </w:r>
      <w:r>
        <w:rPr>
          <w:rFonts w:ascii="Times New Roman" w:hAnsi="Times New Roman"/>
          <w:color w:val="000000"/>
          <w:sz w:val="18"/>
        </w:rPr>
        <w:t>sold 14,141,569</w:t>
      </w:r>
      <w:r>
        <w:rPr>
          <w:rFonts w:ascii="Times New Roman" w:hAnsi="Times New Roman"/>
          <w:color w:val="000000"/>
          <w:sz w:val="20"/>
        </w:rPr>
        <w:t xml:space="preserve"> </w:t>
      </w:r>
      <w:r>
        <w:rPr>
          <w:rFonts w:ascii="Times New Roman" w:hAnsi="Times New Roman"/>
          <w:color w:val="000000"/>
          <w:sz w:val="18"/>
        </w:rPr>
        <w:t>shares of common stock under the 2024 Sales Agreement, from which we received $140.4</w:t>
      </w:r>
      <w:r>
        <w:rPr>
          <w:rFonts w:ascii="Times New Roman" w:hAnsi="Times New Roman"/>
          <w:color w:val="000000"/>
          <w:sz w:val="20"/>
        </w:rPr>
        <w:t xml:space="preserve"> </w:t>
      </w:r>
      <w:r>
        <w:rPr>
          <w:rFonts w:ascii="Times New Roman" w:hAnsi="Times New Roman"/>
          <w:color w:val="000000"/>
          <w:sz w:val="18"/>
        </w:rPr>
        <w:t>million in gross proceeds. In connection therewith, we paid $3.3</w:t>
      </w:r>
      <w:r>
        <w:rPr>
          <w:rFonts w:ascii="Times New Roman" w:hAnsi="Times New Roman"/>
          <w:color w:val="000000"/>
          <w:sz w:val="20"/>
        </w:rPr>
        <w:t xml:space="preserve"> </w:t>
      </w:r>
      <w:r>
        <w:rPr>
          <w:rFonts w:ascii="Times New Roman" w:hAnsi="Times New Roman"/>
          <w:color w:val="000000"/>
          <w:sz w:val="18"/>
        </w:rPr>
        <w:t>million in commissions to TD Securities, yielding $137.1</w:t>
      </w:r>
      <w:r>
        <w:rPr>
          <w:rFonts w:ascii="Times New Roman" w:hAnsi="Times New Roman"/>
          <w:color w:val="000000"/>
          <w:sz w:val="20"/>
        </w:rPr>
        <w:t xml:space="preserve"> </w:t>
      </w:r>
      <w:r>
        <w:rPr>
          <w:rFonts w:ascii="Times New Roman" w:hAnsi="Times New Roman"/>
          <w:color w:val="000000"/>
          <w:sz w:val="18"/>
        </w:rPr>
        <w:t>million in net proceeds. In April 2026, we sold an additional 1,865,000 shares of common stock under the 2024 Sales Agreement, from which we received an additional $22.6 million in gross proceeds and paid an additional $0.5 million in commissions to TD Securities, yielding an additional $22.1 million in net proceeds.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7. Net Loss per Share</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the computation of basic and diluted net loss per share of the Company:</w:t>
      </w:r>
    </w:p>
    <w:tbl>
      <w:tblPr>
        <w:tblW w:w="7675" w:type="dxa"/>
        <w:jc w:val="left"/>
        <w:tblInd w:w="0" w:type="dxa"/>
        <w:tblLayout w:type="fixed"/>
        <w:tblCellMar>
          <w:top w:w="28" w:type="dxa"/>
          <w:left w:w="28" w:type="dxa"/>
          <w:bottom w:w="28" w:type="dxa"/>
          <w:right w:w="28" w:type="dxa"/>
        </w:tblCellMar>
      </w:tblPr>
      <w:tblGrid>
        <w:gridCol w:w="4426"/>
        <w:gridCol w:w="146"/>
        <w:gridCol w:w="208"/>
        <w:gridCol w:w="1072"/>
        <w:gridCol w:w="177"/>
        <w:gridCol w:w="155"/>
        <w:gridCol w:w="208"/>
        <w:gridCol w:w="1072"/>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 except share and per share data)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(73,291</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(0.41</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of common stock,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179,849,137</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169,233,155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18"/>
        </w:rPr>
      </w:pPr>
      <w:r>
        <w:rPr>
          <w:rFonts w:ascii="Times New Roman" w:hAnsi="Times New Roman"/>
          <w:color w:val="000000"/>
          <w:sz w:val="18"/>
        </w:rPr>
        <w:t>For the three months ended March 31, 2026 and 2025, the weighted-average number of shares of common stock outstanding used to calculate both basic and diluted net loss per share is the same. In computing diluted net loss per share for the three months ended March 31, 2026 and 2025, the Company excluded the following potentially dilutive securities, as the effect would be anti-dilutive and reduce the net loss per share calculated for each period.</w:t>
      </w:r>
    </w:p>
    <w:tbl>
      <w:tblPr>
        <w:tblW w:w="6249" w:type="dxa"/>
        <w:jc w:val="left"/>
        <w:tblInd w:w="0" w:type="dxa"/>
        <w:tblLayout w:type="fixed"/>
        <w:tblCellMar>
          <w:top w:w="28" w:type="dxa"/>
          <w:left w:w="28" w:type="dxa"/>
          <w:bottom w:w="28" w:type="dxa"/>
          <w:right w:w="28" w:type="dxa"/>
        </w:tblCellMar>
      </w:tblPr>
      <w:tblGrid>
        <w:gridCol w:w="3496"/>
        <w:gridCol w:w="146"/>
        <w:gridCol w:w="146"/>
        <w:gridCol w:w="916"/>
        <w:gridCol w:w="146"/>
        <w:gridCol w:w="146"/>
        <w:gridCol w:w="146"/>
        <w:gridCol w:w="916"/>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outstanding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25,148,617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19,973,563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and outstanding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3,021,051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6,151,535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28,169,668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26,125,098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amounts in the table above are presented based on amounts outstanding at each period end.</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8. License Agreements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Elevar Therapeutics, Inc.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December 2024, the Company and Elevar Therapeutics, Inc. ("Elevar") entered into the Exclusive License Agreement (as amended from time to time, the "Elevar Agreement"), pursuant to which Elevar was granted exclusive global development and commercialization rights for lirafugratinib (RLY-4008), the Company's selective oral small molecule inhibitor of fibroblast growth factor receptor 2 ("FGFR2"). Upon execution of the Elevar Agreement, Elevar is responsible for all further development activities and global commercialization for lirafugratinib in FGFR2-driven cholangiocarcinoma and FGFR2-altered other solid tumors.</w:t>
      </w:r>
    </w:p>
    <w:p>
      <w:pPr>
        <w:pStyle w:val="TextBody"/>
        <w:bidi w:val="0"/>
        <w:spacing w:before="240" w:after="283"/>
        <w:jc w:val="left"/>
        <w:rPr>
          <w:rFonts w:ascii="Times New Roman" w:hAnsi="Times New Roman"/>
          <w:sz w:val="20"/>
        </w:rPr>
      </w:pPr>
      <w:r>
        <w:rPr>
          <w:rFonts w:ascii="Times New Roman" w:hAnsi="Times New Roman"/>
          <w:color w:val="000000"/>
          <w:sz w:val="18"/>
        </w:rPr>
        <w:t>As of March 31, 2026, consideration under the Elevar Agreement totaled $18.4</w:t>
      </w:r>
      <w:r>
        <w:rPr>
          <w:rFonts w:ascii="Times New Roman" w:hAnsi="Times New Roman"/>
          <w:color w:val="000000"/>
          <w:sz w:val="20"/>
        </w:rPr>
        <w:t xml:space="preserve"> </w:t>
      </w:r>
      <w:r>
        <w:rPr>
          <w:rFonts w:ascii="Times New Roman" w:hAnsi="Times New Roman"/>
          <w:color w:val="000000"/>
          <w:sz w:val="18"/>
        </w:rPr>
        <w:t>million, consisting of:</w:t>
      </w:r>
      <w:r>
        <w:rPr>
          <w:rFonts w:ascii="Times New Roman" w:hAnsi="Times New Roman"/>
          <w:color w:val="000000"/>
          <w:sz w:val="20"/>
        </w:rPr>
        <w:t xml:space="preserve"> </w:t>
      </w:r>
    </w:p>
    <w:p>
      <w:pPr>
        <w:pStyle w:val="TextBody"/>
        <w:bidi w:val="0"/>
        <w:spacing w:before="240" w:after="120"/>
        <w:jc w:val="left"/>
        <w:rPr>
          <w:color w:val="000000"/>
        </w:rPr>
      </w:pPr>
      <w:r>
        <w:rPr>
          <w:color w:val="000000"/>
        </w:rPr>
        <w:t>•</w:t>
      </w:r>
    </w:p>
    <w:p>
      <w:pPr>
        <w:pStyle w:val="TextBody"/>
        <w:bidi w:val="0"/>
        <w:spacing w:before="240" w:after="120"/>
        <w:jc w:val="left"/>
        <w:rPr/>
      </w:pPr>
      <w:r>
        <w:rPr>
          <w:rFonts w:ascii="Times New Roman" w:hAnsi="Times New Roman"/>
          <w:color w:val="000000"/>
          <w:sz w:val="18"/>
        </w:rPr>
        <w:t>$5.0</w:t>
      </w:r>
      <w:r>
        <w:rPr>
          <w:color w:val="000000"/>
        </w:rPr>
        <w:t xml:space="preserve"> </w:t>
      </w:r>
      <w:r>
        <w:rPr>
          <w:rFonts w:ascii="Times New Roman" w:hAnsi="Times New Roman"/>
          <w:color w:val="000000"/>
          <w:sz w:val="18"/>
        </w:rPr>
        <w:t>million upon execution;</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color w:val="000000"/>
          <w:sz w:val="18"/>
        </w:rPr>
        <w:t>$3.4</w:t>
      </w:r>
      <w:r>
        <w:rPr>
          <w:color w:val="000000"/>
        </w:rPr>
        <w:t xml:space="preserve"> </w:t>
      </w:r>
      <w:r>
        <w:rPr>
          <w:rFonts w:ascii="Times New Roman" w:hAnsi="Times New Roman"/>
          <w:color w:val="000000"/>
          <w:sz w:val="18"/>
        </w:rPr>
        <w:t>million upon transfer of active pharmaceutical ingredient and other materials; and</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color w:val="000000"/>
          <w:sz w:val="18"/>
        </w:rPr>
        <w:t>$10.0</w:t>
      </w:r>
      <w:r>
        <w:rPr>
          <w:color w:val="000000"/>
        </w:rPr>
        <w:t xml:space="preserve"> </w:t>
      </w:r>
      <w:r>
        <w:rPr>
          <w:rFonts w:ascii="Times New Roman" w:hAnsi="Times New Roman"/>
          <w:color w:val="000000"/>
          <w:sz w:val="18"/>
        </w:rPr>
        <w:t>million in milestone payments.</w:t>
      </w:r>
    </w:p>
    <w:p>
      <w:pPr>
        <w:pStyle w:val="TextBody"/>
        <w:bidi w:val="0"/>
        <w:spacing w:before="120" w:after="283"/>
        <w:jc w:val="left"/>
        <w:rPr>
          <w:rFonts w:ascii="Times New Roman" w:hAnsi="Times New Roman"/>
          <w:sz w:val="20"/>
        </w:rPr>
      </w:pPr>
      <w:r>
        <w:rPr>
          <w:rFonts w:ascii="Times New Roman" w:hAnsi="Times New Roman"/>
          <w:color w:val="000000"/>
          <w:sz w:val="18"/>
        </w:rPr>
        <w:t>The Company is also eligible to receive up to $485.0</w:t>
      </w:r>
      <w:r>
        <w:rPr>
          <w:rFonts w:ascii="Times New Roman" w:hAnsi="Times New Roman"/>
          <w:color w:val="000000"/>
          <w:sz w:val="20"/>
        </w:rPr>
        <w:t xml:space="preserve"> </w:t>
      </w:r>
      <w:r>
        <w:rPr>
          <w:rFonts w:ascii="Times New Roman" w:hAnsi="Times New Roman"/>
          <w:color w:val="000000"/>
          <w:sz w:val="18"/>
        </w:rPr>
        <w:t>million in regulatory and commercial milestone payments, as well as tiered royalties.</w:t>
      </w:r>
    </w:p>
    <w:p>
      <w:pPr>
        <w:pStyle w:val="TextBody"/>
        <w:bidi w:val="0"/>
        <w:spacing w:before="240" w:after="283"/>
        <w:jc w:val="left"/>
        <w:rPr>
          <w:rFonts w:ascii="Times New Roman" w:hAnsi="Times New Roman"/>
          <w:sz w:val="20"/>
        </w:rPr>
      </w:pPr>
      <w:r>
        <w:rPr>
          <w:rFonts w:ascii="Times New Roman" w:hAnsi="Times New Roman"/>
          <w:color w:val="000000"/>
          <w:sz w:val="18"/>
        </w:rPr>
        <w:t>During the three months ended March 31, 2026, the Company recognized $3.0</w:t>
      </w:r>
      <w:r>
        <w:rPr>
          <w:rFonts w:ascii="Times New Roman" w:hAnsi="Times New Roman"/>
          <w:color w:val="000000"/>
          <w:sz w:val="20"/>
        </w:rPr>
        <w:t xml:space="preserve"> </w:t>
      </w:r>
      <w:r>
        <w:rPr>
          <w:rFonts w:ascii="Times New Roman" w:hAnsi="Times New Roman"/>
          <w:color w:val="000000"/>
          <w:sz w:val="18"/>
        </w:rPr>
        <w:t>million of revenue from the Elevar Agreement, specifically upon receipt of certain milestone payments.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During the three months ended March 31, 2025, the Company recognized $7.7</w:t>
      </w:r>
      <w:r>
        <w:rPr>
          <w:rFonts w:ascii="Times New Roman" w:hAnsi="Times New Roman"/>
          <w:color w:val="000000"/>
          <w:sz w:val="20"/>
        </w:rPr>
        <w:t xml:space="preserve"> </w:t>
      </w:r>
      <w:r>
        <w:rPr>
          <w:rFonts w:ascii="Times New Roman" w:hAnsi="Times New Roman"/>
          <w:color w:val="000000"/>
          <w:sz w:val="18"/>
        </w:rPr>
        <w:t>million of revenue from the Elevar Agreement, specifically in connection with the completion of each of the Company's performance obligations thereunder in the period.</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9. Commitments and Contingencies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Intellectual Property License</w:t>
      </w:r>
    </w:p>
    <w:p>
      <w:pPr>
        <w:pStyle w:val="TextBody"/>
        <w:bidi w:val="0"/>
        <w:spacing w:before="240" w:after="283"/>
        <w:jc w:val="left"/>
        <w:rPr>
          <w:rFonts w:ascii="Times New Roman" w:hAnsi="Times New Roman"/>
          <w:sz w:val="20"/>
        </w:rPr>
      </w:pPr>
      <w:r>
        <w:rPr>
          <w:rFonts w:ascii="Times New Roman" w:hAnsi="Times New Roman"/>
          <w:color w:val="000000"/>
          <w:sz w:val="18"/>
        </w:rPr>
        <w:t>The Company has a Collaboration and License Agreement with D. E. Shaw Research, LLC ("D. E. Shaw Research"), pursuant to which the Company and D.E. Shaw Research jointly conducted research efforts with the goal of identifying and developing product candidates (as amended from time to time, the “DESRES Agreement”). The initial research term of the DESRES Agreement expired on August 16, 2025. The DESRES Agreement continues on a target-by-target basis until all payment obligations have expired.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For the three months ended March 31, 2026 and 2025, the Company recorded research and development expenses of $0.1</w:t>
      </w:r>
      <w:r>
        <w:rPr>
          <w:rFonts w:ascii="Times New Roman" w:hAnsi="Times New Roman"/>
          <w:color w:val="000000"/>
          <w:sz w:val="20"/>
        </w:rPr>
        <w:t xml:space="preserve"> </w:t>
      </w:r>
      <w:r>
        <w:rPr>
          <w:rFonts w:ascii="Times New Roman" w:hAnsi="Times New Roman"/>
          <w:color w:val="000000"/>
          <w:sz w:val="18"/>
        </w:rPr>
        <w:t>million and $5.1</w:t>
      </w:r>
      <w:r>
        <w:rPr>
          <w:rFonts w:ascii="Times New Roman" w:hAnsi="Times New Roman"/>
          <w:color w:val="000000"/>
          <w:sz w:val="20"/>
        </w:rPr>
        <w:t xml:space="preserve"> </w:t>
      </w:r>
      <w:r>
        <w:rPr>
          <w:rFonts w:ascii="Times New Roman" w:hAnsi="Times New Roman"/>
          <w:color w:val="000000"/>
          <w:sz w:val="18"/>
        </w:rPr>
        <w:t>million, respectively, under the DESRES Agreement on its condensed consolidated statement of operations and comprehensive loss.</w:t>
      </w:r>
    </w:p>
    <w:p>
      <w:pPr>
        <w:pStyle w:val="TextBody"/>
        <w:bidi w:val="0"/>
        <w:spacing w:before="240" w:after="283"/>
        <w:jc w:val="left"/>
        <w:rPr>
          <w:rFonts w:ascii="Times New Roman" w:hAnsi="Times New Roman"/>
          <w:sz w:val="20"/>
        </w:rPr>
      </w:pPr>
      <w:r>
        <w:rPr>
          <w:rFonts w:ascii="Times New Roman" w:hAnsi="Times New Roman"/>
          <w:color w:val="000000"/>
          <w:sz w:val="18"/>
        </w:rPr>
        <w:t>As of March 31, 2026 and December 31, 2025, the Company had accrued expense and accounts payable balances of $0.1</w:t>
      </w:r>
      <w:r>
        <w:rPr>
          <w:rFonts w:ascii="Times New Roman" w:hAnsi="Times New Roman"/>
          <w:color w:val="000000"/>
          <w:sz w:val="20"/>
        </w:rPr>
        <w:t xml:space="preserve"> </w:t>
      </w:r>
      <w:r>
        <w:rPr>
          <w:rFonts w:ascii="Times New Roman" w:hAnsi="Times New Roman"/>
          <w:color w:val="000000"/>
          <w:sz w:val="18"/>
        </w:rPr>
        <w:t>million and $0.6</w:t>
      </w:r>
      <w:r>
        <w:rPr>
          <w:rFonts w:ascii="Times New Roman" w:hAnsi="Times New Roman"/>
          <w:color w:val="000000"/>
          <w:sz w:val="20"/>
        </w:rPr>
        <w:t xml:space="preserve"> </w:t>
      </w:r>
      <w:r>
        <w:rPr>
          <w:rFonts w:ascii="Times New Roman" w:hAnsi="Times New Roman"/>
          <w:color w:val="000000"/>
          <w:sz w:val="18"/>
        </w:rPr>
        <w:t>million, respectively, under the DESRES Agreement on its condensed consolidated balance sheets.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Other Arrangements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 has certain other research and license arrangements and other collaborations with third parties, which provide the Company with specified research and/or development services.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10. Subsequent Events</w:t>
      </w:r>
    </w:p>
    <w:p>
      <w:pPr>
        <w:pStyle w:val="TextBody"/>
        <w:bidi w:val="0"/>
        <w:spacing w:before="240" w:after="283"/>
        <w:jc w:val="left"/>
        <w:rPr>
          <w:rFonts w:ascii="Times New Roman" w:hAnsi="Times New Roman"/>
          <w:sz w:val="20"/>
        </w:rPr>
      </w:pPr>
      <w:r>
        <w:rPr>
          <w:rFonts w:ascii="Times New Roman" w:hAnsi="Times New Roman"/>
          <w:color w:val="000000"/>
          <w:sz w:val="18"/>
        </w:rPr>
        <w:t>In preparing the condensed consolidated interim financial statements as of March 31, 2026</w:t>
      </w:r>
      <w:r>
        <w:rPr>
          <w:rFonts w:ascii="Times New Roman" w:hAnsi="Times New Roman"/>
          <w:color w:val="000000"/>
          <w:sz w:val="20"/>
        </w:rPr>
        <w:t xml:space="preserve"> </w:t>
      </w:r>
      <w:r>
        <w:rPr>
          <w:rFonts w:ascii="Times New Roman" w:hAnsi="Times New Roman"/>
          <w:color w:val="000000"/>
          <w:sz w:val="18"/>
        </w:rPr>
        <w:t>and for the three months then ended, the Company evaluated subsequent events for recognition and measurement purposes. The Company concluded that no events or transactions have occurred that require disclosure in the accompanying condensed consolidated financial statements, except as otherwise described in the notes above.</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managements_discussion_and_analysis"/>
      <w:bookmarkEnd w:id="9"/>
      <w:r>
        <w:rPr>
          <w:rFonts w:ascii="Times New Roman" w:hAnsi="Times New Roman"/>
          <w:b/>
          <w:color w:val="000000"/>
          <w:sz w:val="18"/>
        </w:rPr>
        <w:t>Item 2.</w:t>
      </w:r>
      <w:r>
        <w:rPr>
          <w:rFonts w:ascii="Times New Roman" w:hAnsi="Times New Roman"/>
          <w:color w:val="000000"/>
          <w:sz w:val="20"/>
        </w:rPr>
        <w:t xml:space="preserve"> </w:t>
      </w:r>
      <w:r>
        <w:rPr>
          <w:rFonts w:ascii="Times New Roman" w:hAnsi="Times New Roman"/>
          <w:b/>
          <w:color w:val="000000"/>
          <w:sz w:val="18"/>
        </w:rPr>
        <w:t>Management’s Discussion and Analysis of Financial Condition and Results of Operations</w:t>
      </w:r>
      <w:r>
        <w:rPr>
          <w:rFonts w:ascii="Times New Roman" w:hAnsi="Times New Roman"/>
          <w:i/>
          <w:color w:val="000000"/>
          <w:sz w:val="18"/>
        </w:rPr>
        <w:t>.</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You should read the following discussion and analysis of our financial condition and results of operations together with our condensed consolidated financial statements and the related notes included elsewhere in this Quarterly Report on Form 10-Q. This discussion and other parts of this Quarterly Report on Form 10-Q contain forward-looking statements that involve risks and uncertainties, such as statements of our plans, objectives, expectations, and intentions.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pStyle w:val="TextBody"/>
        <w:bidi w:val="0"/>
        <w:spacing w:before="240" w:after="283"/>
        <w:jc w:val="left"/>
        <w:rPr>
          <w:rFonts w:ascii="Times New Roman" w:hAnsi="Times New Roman"/>
          <w:sz w:val="20"/>
        </w:rPr>
      </w:pPr>
      <w:r>
        <w:rPr>
          <w:rFonts w:ascii="Times New Roman" w:hAnsi="Times New Roman"/>
          <w:b/>
          <w:color w:val="000000"/>
          <w:sz w:val="18"/>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We are a clinical-stage, small molecule precision medicine company developing potentially life-changing therapies for patients living with cancer and genetic disease. Our Dynamo® platform integrates an array of leading-edge computational and experimental approaches designed to drug protein targets that have previously been intractable or inadequately addressed.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have deployed our technology platform to build a pipeline of product candidates to address targets in precision medicine where there is clear evidence linking target proteins to disease and where molecular diagnostics can unambiguously identify relevant patients for treatment. We believe this approach will increase the likelihood of successfully translating a specific pharmacological mechanism into clinical benefit.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advancing a pipeline of medicine candidates to address targets in precision oncology and genetic disease, including zovegalisib (RLY-2608), our lead product candidate discussed below.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8"/>
        </w:rPr>
        <w:t>Zovegalisib (RLY-2608).</w:t>
      </w:r>
      <w:r>
        <w:rPr>
          <w:rFonts w:ascii="Times New Roman" w:hAnsi="Times New Roman"/>
          <w:color w:val="000000"/>
          <w:sz w:val="20"/>
        </w:rPr>
        <w:t xml:space="preserve"> </w:t>
      </w:r>
      <w:r>
        <w:rPr>
          <w:rFonts w:ascii="Times New Roman" w:hAnsi="Times New Roman"/>
          <w:color w:val="000000"/>
          <w:sz w:val="18"/>
        </w:rPr>
        <w:t>Zovegalisib is the first known allosteric, pan-mutant and isoform-selective phosphoinostide 3 kinase alpha, or PI3Kα, inhibitor in clinical development. It is the lead program in our efforts to discover and develop mutant selective inhibitors of PI3Kα.</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Breast Cancer and Solid Tumors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18"/>
          <w:u w:val="single"/>
        </w:rPr>
        <w:t>ReDiscover Trial</w:t>
      </w:r>
      <w:r>
        <w:rPr>
          <w:rFonts w:ascii="Times New Roman" w:hAnsi="Times New Roman"/>
          <w:color w:val="000000"/>
          <w:sz w:val="18"/>
        </w:rPr>
        <w:t>. In December 2021, we dosed the first patient in a first-in-human clinical trial for zovegalisib, or the ReDiscover Trial. Since then, we have predominantly focused on evaluating zovegalisib in combination with fulvestrant for patients with HR+, HER2–, PI3Kα-mutated, locally advanced or metastatic breast cancer. We are also advancing triplet combination arms with zovegalisib, fulvestrant and cyclin dependent kinase 4/6, or CDK 4/6, inhibitors, or atirmociclib, the investigative selective-CDK4 inhibitor from Pfizer Inc., or Pfizer. In the second quarter of 2025, we initiated a global Phase 3 registrational study, or the ReDiscover-2 Trial, which is designed to evaluate the safety and efficacy of zovegalisib plus fulvestrant in PI3Kα-mutated, HR+/HER2- advanced breast cancer patients previously treated with a CDK4/6 inhibitor. The comparator arm in the ReDiscover-2 Trial is capivasertib plus fulvestrant. In February 2026, we announced that the FDA granted Breakthrough Therapy designation to zovegalisib in combination with fulvestrant for the treatment of adults with PIK3CA mutant HR+/HER2- locally advanced or metastatic breast cancer following recurrence or progression on or after treatment with a CDK4/6 inhibitor.</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240" w:after="283"/>
        <w:jc w:val="left"/>
        <w:rPr/>
      </w:pPr>
      <w:r>
        <w:rPr>
          <w:rFonts w:ascii="Times New Roman" w:hAnsi="Times New Roman"/>
          <w:color w:val="000000"/>
          <w:sz w:val="18"/>
          <w:u w:val="single"/>
        </w:rPr>
        <w:t>Clinical Data</w:t>
      </w:r>
      <w:r>
        <w:rPr>
          <w:rFonts w:ascii="Times New Roman" w:hAnsi="Times New Roman"/>
          <w:color w:val="000000"/>
          <w:sz w:val="18"/>
        </w:rPr>
        <w:t>. In June 2025, we announced updated interim clinical data for the zovegalisib plus fulvestrant arm of the ReDiscover Trial from patients receiving the 600mg twice daily, or BID, fasted dose and in December 2025, we announced an efficacy subset analysis of interim clinical data for zovegalisib at the same dose. In March 2026, we announced interim clinical data from the ReDiscover Trial of zovegalisib in combination with fulvestrant at the 400mg BID fed dose, which is the recommended Phase 3 dose in the ReDiscover-2 Trial. In April 2026, we announced interim clinical data for the zovegalisib plus atirmociclib triplet combination. We believe that while the clinical data from the ReDiscover Trial disclosed to date are preliminary, the data suggest differentiated interim efficacy signals in the specified patient population and support selective target engagement across doses and mutation types with an encouraging interim safety and tolerability profile.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Vascular Anomalies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240" w:after="283"/>
        <w:jc w:val="left"/>
        <w:rPr/>
      </w:pPr>
      <w:r>
        <w:rPr>
          <w:rFonts w:ascii="Times New Roman" w:hAnsi="Times New Roman"/>
          <w:color w:val="000000"/>
          <w:sz w:val="18"/>
          <w:u w:val="single"/>
        </w:rPr>
        <w:t>ReInspire Trial</w:t>
      </w:r>
      <w:r>
        <w:rPr>
          <w:rFonts w:ascii="Times New Roman" w:hAnsi="Times New Roman"/>
          <w:color w:val="000000"/>
          <w:sz w:val="18"/>
        </w:rPr>
        <w:t>. In the first quarter of 2025, we initiated the global Phase 1/2 clinical trial for zovegalisib in patients with PIK3CA-related overgrowth spectrum, or PROS, and vascular anomalies driven by PIK3CA mutations, or the ReInspire Trial. Enrollment is continuing in this clinical trial.</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to the programs mentioned above, we have initiated a clinical trial studying RLY-8161, our NRAS-selective inhibitor, in patients with NRAS-mutant melanoma and other NRAS-mutant solid tumors. In our research pipeline, we are advancing our non-inhibitory chaperone for Fabry disease, as well as early-stage discovery programs across both precision oncology and genetic diseases.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were incorporated in May 2015. We have devoted substantially all of our resources to developing our product candidates, developing our innovative computational and experimental approaches on protein motion, building our intellectual property portfolio, business planning, raising capital, and providing general and administrative support for these operations. To date, we have principally financed our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operations through private placements of preferred stock and common stock, convertible debt, and proceeds from public offerings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December 2024, we and Elevar Therapeutics, Inc., or Elevar, entered into an exclusive global licensing agreement, or the Elevar Agreement, pursuant to which Elevar was granted global development and commercialization rights for lirafugratinib. Under the terms of the Elevar Agreement, we received $5.0 million upon execution, $3.4 million upon transfer of active pharmaceutical ingredient and other materials, and $10.0 million in milestone payments as of March 31, 2026. We are eligible to receive up to $485.0 million in regulatory and commercial milestone payments, as well as tiered royalties.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September 2024, we completed a public offering, or the September 2024 Offering, of 32,857,143 shares of common stock, including the exercise in full of the underwriters’ option to purchase an additional 4,285,714 shares, at an offering price of $7.00 per share. We received proceeds of $218.2 million, which was net of $11.8 million in underwriting discounts and other offering expenses.</w:t>
      </w:r>
    </w:p>
    <w:p>
      <w:pPr>
        <w:pStyle w:val="TextBody"/>
        <w:bidi w:val="0"/>
        <w:spacing w:before="240" w:after="283"/>
        <w:jc w:val="left"/>
        <w:rPr>
          <w:rFonts w:ascii="Times New Roman" w:hAnsi="Times New Roman"/>
          <w:sz w:val="20"/>
        </w:rPr>
      </w:pPr>
      <w:r>
        <w:rPr>
          <w:rFonts w:ascii="Times New Roman" w:hAnsi="Times New Roman"/>
          <w:color w:val="000000"/>
          <w:sz w:val="18"/>
        </w:rPr>
        <w:t>In August 2024, we entered into a sales agreement, or the 2024 Sales Agreement, with TD Securities (USA) LLC, or TD Securities, pursuant to which we may offer and sell shares of our common stock having aggregate gross proceeds of up to $250.0 million from time to time in “at-the-market” offerings through TD Securities, as our sales agent. As of March 31, 2026, we have sold 14,141,569 shares of common stock under the 2024 Sales Agreement, from which we received $140.4 million in gross proceeds. In connection therewith, we paid $3.3 million in commissions to TD Securities, yielding $137.1 million in net proceeds. In April 2026, we sold an additional 1,865,000 shares of common stock under the 2024 Sales Agreement, from which we received an additional $22.6 million in gross proceeds and paid an additional $0.5 million in commissions to TD Securities, yielding an additional $22.1 million in net proceeds.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Inflation generally affects us by increasing our employee-related costs and clinical trial expenses, as well as other operating expenses. Our financial condition and results of operations may also be impacted by other factors we may not be able to control, such as public health crises, global supply chain disruptions, uncertain global economic conditions, global trade disputes or political instability as further discussed in the section "Risk Factors" in this Quarterly Report on Form 10-Q. We do not believe that such factors had a material adverse impact on our results of operations during the three months ended March 31, 2026 and 2025.</w:t>
      </w:r>
    </w:p>
    <w:p>
      <w:pPr>
        <w:pStyle w:val="TextBody"/>
        <w:bidi w:val="0"/>
        <w:jc w:val="left"/>
        <w:rPr>
          <w:rFonts w:ascii="Times New Roman" w:hAnsi="Times New Roman"/>
          <w:sz w:val="20"/>
        </w:rPr>
      </w:pPr>
      <w:r>
        <w:rPr>
          <w:rFonts w:ascii="Times New Roman" w:hAnsi="Times New Roman"/>
          <w:color w:val="000000"/>
          <w:sz w:val="18"/>
        </w:rPr>
        <w:t>Since our inception, we have incurred significant operating losses on an aggregate basis. Our ability to generate product revenue sufficient to achieve profitability will depend on the successful development and eventual commercialization of one or more of our current or future product candidates. Our net losses were $73.3 million and $77.1 million for the three months ended March 31, 2026 and 2025, respectively. As of March 31, 2026 we had an accumulated deficit of $2.1 billion. These losses have resulted primarily from costs incurred in connection with research and development activities, licensing and patent investment, and general and administrative costs associated with our operations. We expect to continue to incur significant expenses</w:t>
      </w:r>
      <w:r>
        <w:rPr>
          <w:rFonts w:ascii="Times New Roman" w:hAnsi="Times New Roman"/>
          <w:color w:val="231F20"/>
          <w:sz w:val="18"/>
        </w:rPr>
        <w:t>, including the costs of operating as a public company,</w:t>
      </w:r>
      <w:r>
        <w:rPr>
          <w:rFonts w:ascii="Times New Roman" w:hAnsi="Times New Roman"/>
          <w:color w:val="000000"/>
          <w:sz w:val="20"/>
        </w:rPr>
        <w:t xml:space="preserve"> </w:t>
      </w:r>
      <w:r>
        <w:rPr>
          <w:rFonts w:ascii="Times New Roman" w:hAnsi="Times New Roman"/>
          <w:color w:val="000000"/>
          <w:sz w:val="18"/>
        </w:rPr>
        <w:t xml:space="preserve">and </w:t>
      </w:r>
      <w:r>
        <w:rPr>
          <w:rFonts w:ascii="Times New Roman" w:hAnsi="Times New Roman"/>
          <w:color w:val="231F20"/>
          <w:sz w:val="18"/>
        </w:rPr>
        <w:t xml:space="preserve">generate significant </w:t>
      </w:r>
      <w:r>
        <w:rPr>
          <w:rFonts w:ascii="Times New Roman" w:hAnsi="Times New Roman"/>
          <w:color w:val="000000"/>
          <w:sz w:val="18"/>
        </w:rPr>
        <w:t>operating losses for at least the next several years.</w:t>
      </w:r>
    </w:p>
    <w:p>
      <w:pPr>
        <w:pStyle w:val="TextBody"/>
        <w:bidi w:val="0"/>
        <w:spacing w:before="240" w:after="283"/>
        <w:jc w:val="left"/>
        <w:rPr>
          <w:rFonts w:ascii="Times New Roman" w:hAnsi="Times New Roman"/>
          <w:sz w:val="20"/>
        </w:rPr>
      </w:pPr>
      <w:r>
        <w:rPr>
          <w:rFonts w:ascii="Times New Roman" w:hAnsi="Times New Roman"/>
          <w:color w:val="000000"/>
          <w:sz w:val="18"/>
        </w:rPr>
        <w:t>We anticipate that our expenses will increase substantially if and as we: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conduct our current and future clinical trials of our lead product candidate;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conduct additional preclinical research and development of our early-stage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initiate and continue research and preclinical and clinical development of our other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seek to identify additional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pursue marketing approvals for any of our product candidates that successfully complete clinical trials, if 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establish a sales, marketing, and distribution infrastructure to commercialize any products for which we may obtain marketing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require the manufacture of larger quantities of our product candidates for clinical development and potentially commercialization;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obtain, maintain, expand, and protect our intellectual property portfolio;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acquire or in-license other drugs and technologies;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hire and retain additional clinical, regulatory, quality, and scientific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build out new facilities or expand existing facilities to support our ongoing development activity;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add operational, financial, and management information systems and personnel, including personnel to support our drug development, any future commercialization efforts, and our operations as a public company.</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if we obtain marketing approval for any of our product candidates, we expect to incur significant commercialization expenses related to product manufacturing, marketing, sales and distribution.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color w:val="000000"/>
          <w:sz w:val="18"/>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or commercialization of one or more of our product candidates.</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18"/>
        </w:rPr>
        <w:t>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may be forced to reduce or terminate our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We believe our cash, cash equivalents, and investments of $642.1 million as of March 31, 2026 will enable us to fund our operating expenses and capital expenditure requirements into 2029. We have based this estimate on assumptions that may prove to be wrong, and we could exhaust our available capital resources sooner than we expect. We will need to raise additional capital in the future to continue developing the drugs in our pipeline and to commercialize any approved drug. We may seek to obtain additional financing in the future through the issuance of our common stock, through other equity or debt financings, or through collaborations or partnerships with other companies. We may not be able to raise additional capital on terms acceptable to us, or at all, and any failure to raise capital as and when needed could compromise our ability to execute on our business plan.</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Components of our Results of Operations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Revenue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To date, our revenue primarily consists of amounts recognized under license agreements with third parties.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Operating Expenses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Research and Development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Research and Development Expenses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salaries, benefits, and other employee costs, including stock compensation expense, for personnel engaged in research and development functions;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costs of outside consultants, including their fees, stock compensation, and related travel expenses;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expenses incurred under agreements with contract research organizations, or CROs, contract manufacturing organizations, or CMOs, and other vendors that conduct our clinical trials and preclinical activities;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costs of acquiring, developing, and manufacturing clinical trial materials, and lab supplies;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costs related to compliance with regulatory requirements;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impairment of any intangible assets capitalized upon the acquisition of in-process research and development assets;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facility costs, depreciation, and other expenses, which include direct and allocated expenses for rent and maintenance of facilities, insurance, and other supplies.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do not allocate certain internal costs, facilities, or overhead costs to specific development programs.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expense research and development costs as the services are performed or the goods are received. We recognize costs for certain development activities, such as clinical trials, based on an evaluation of the progress to completion of specific tasks using data, such as patient enrollment, clinical site activations, or other information provided to us by our vendors and our clinical investigative sites. Payments for these activities are based on the terms of the individual agreements, which may differ from the pattern of costs incurred, and are reflected in our financial statements as prepaid expenses or accrued research and development expenses.</w:t>
      </w:r>
    </w:p>
    <w:p>
      <w:pPr>
        <w:pStyle w:val="TextBody"/>
        <w:bidi w:val="0"/>
        <w:spacing w:before="240" w:after="283"/>
        <w:jc w:val="left"/>
        <w:rPr>
          <w:rFonts w:ascii="Times New Roman" w:hAnsi="Times New Roman"/>
          <w:sz w:val="20"/>
        </w:rPr>
      </w:pPr>
      <w:r>
        <w:rPr>
          <w:rFonts w:ascii="Times New Roman" w:hAnsi="Times New Roman"/>
          <w:color w:val="000000"/>
          <w:sz w:val="18"/>
        </w:rPr>
        <w:t>Our lead product candidate is in clinical development. We also have earlier stage programs across both precision oncology and genetic diseases. Costs incurred for these programs include costs incurred to support our discovery research and translational science efforts up to</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initiation of first-in-human clinical development. Platform research and other research and development activities include costs that are not specifically allocated to active product candidates, including facilities costs, depreciation expense, and other costs. Employee expenses include salary, wages, stock compensation, and other costs related to our personnel, which are not allocated to specific programs or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cannot determine with certainty the duration and costs of future clinical trials and future development costs, if, when, or to what extent we will generate revenue from the commercialization and sale of any of our product candidates for which we obtain marketing approval or our other research and development costs. We may never succeed in obtaining marketing approval for any of our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duration, costs, and timing of clinical trials and development of our product candidates will depend on a variety of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rate of progress, expense, and results of our preclinical development activities, any future clinical trials of our lead product candidate, or other product candidates and other research and development activities that we may conduct;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uncertainties in clinical trial design and patient enrollment or drop out or discontinuation rates;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establishing an appropriate safety and efficacy profile with IND-enabling studies;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initiation and completion of future clinical trial results;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timing, receipt, and terms of any approvals from applicable regulatory authorities including the FDA and non-U.S. regulators;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significant and changing government regulation and regulatory guidance;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potential additional studies requested by regulatory agencies;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establishing clinical and commercial manufacturing capabilities or making arrangements with third-party manufacturers in order to ensure that we or our third-party manufacturers are able to make product successfully;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impact of any business interruptions to our operations, including the timing and enrollment of patients in our planned clinical trials, or to those of our manufacturers, suppliers, or other vendors resulting from any public health crisis or ongoing geopolitical conflicts and related global economic sanctions;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expense of filing, prosecuting, defending, and enforcing any patent claims and other intellectual property rights;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maintaining a continued acceptable safety profile of our product candidates following approval, if any, of our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to continue to incur significant research and development expenses for the foreseeable future as we continue to conduct clinical trials of our lead product candidate, initiate clinical trials for our other product candidates, as well as identify and develop additional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trial delays due to patient enrollment or other reasons, we would be required to expend significant additional financial resources and time on the completion of clinical development.</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General and Administrative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General and Administrative Expenses primarily consist of salaries and other employee costs, including stock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other expenses associated with operating as a public company, including compliance with exchange listing and Securities and Exchange Commission, or SEC, requirements, director and officer insurance costs, and investor and public relations costs; travel expenses; and facility-related expenses, which include depreciation costs and allocated expenses for rent and maintenance of facilities.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expect to continue to incur significant general and administrative expenses in the future and as we continue our research and development activities, as well as other activities related to the potential commercialization of our product candidates.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Other Income, Net</w:t>
      </w:r>
    </w:p>
    <w:p>
      <w:pPr>
        <w:pStyle w:val="TextBody"/>
        <w:bidi w:val="0"/>
        <w:spacing w:before="240" w:after="283"/>
        <w:jc w:val="left"/>
        <w:rPr>
          <w:rFonts w:ascii="Times New Roman" w:hAnsi="Times New Roman"/>
          <w:sz w:val="20"/>
        </w:rPr>
      </w:pPr>
      <w:r>
        <w:rPr>
          <w:rFonts w:ascii="Times New Roman" w:hAnsi="Times New Roman"/>
          <w:color w:val="000000"/>
          <w:sz w:val="18"/>
        </w:rPr>
        <w:t>Other Income, Net primarily consists of interest income related to interest earned on our cash, cash equivalents, and investments.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Since our inception in 2015, we have not recorded any U.S. federal or state income tax benefits for the net losses we have incurred in any year or for our earned research and development tax credits, due to our uncertainty of realizing a benefit from such items.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Results of Operations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Comparison of the three months ended March 31, 2026 and 2025</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our results of operations for the three months ended March 31, 2026 and 2025:</w:t>
      </w:r>
    </w:p>
    <w:tbl>
      <w:tblPr>
        <w:tblW w:w="6853" w:type="dxa"/>
        <w:jc w:val="left"/>
        <w:tblInd w:w="0" w:type="dxa"/>
        <w:tblLayout w:type="fixed"/>
        <w:tblCellMar>
          <w:top w:w="28" w:type="dxa"/>
          <w:left w:w="28" w:type="dxa"/>
          <w:bottom w:w="28" w:type="dxa"/>
          <w:right w:w="28" w:type="dxa"/>
        </w:tblCellMar>
      </w:tblPr>
      <w:tblGrid>
        <w:gridCol w:w="2901"/>
        <w:gridCol w:w="146"/>
        <w:gridCol w:w="196"/>
        <w:gridCol w:w="661"/>
        <w:gridCol w:w="166"/>
        <w:gridCol w:w="146"/>
        <w:gridCol w:w="196"/>
        <w:gridCol w:w="661"/>
        <w:gridCol w:w="166"/>
        <w:gridCol w:w="146"/>
        <w:gridCol w:w="196"/>
        <w:gridCol w:w="661"/>
        <w:gridCol w:w="61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Revenue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three months ended March 31, 2026 the Company recognized $3.0 million of revenue from the Elevar Agreement, specifically upon receipt of certain milestone payments.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three months ended March 31, 2025, the Company recognized $7.7 million of revenue from the Elevar Agreement, specifically in connection with the completion of each of our performance obligations thereunder in the period.</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Research and Development Expenses</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summarizes our research and development expenses for the three months ended March 31, 2026 and 2025:</w:t>
      </w:r>
    </w:p>
    <w:tbl>
      <w:tblPr>
        <w:tblW w:w="8196" w:type="dxa"/>
        <w:jc w:val="left"/>
        <w:tblInd w:w="0" w:type="dxa"/>
        <w:tblLayout w:type="fixed"/>
        <w:tblCellMar>
          <w:top w:w="28" w:type="dxa"/>
          <w:left w:w="28" w:type="dxa"/>
          <w:bottom w:w="28" w:type="dxa"/>
          <w:right w:w="28" w:type="dxa"/>
        </w:tblCellMar>
      </w:tblPr>
      <w:tblGrid>
        <w:gridCol w:w="4726"/>
        <w:gridCol w:w="146"/>
        <w:gridCol w:w="204"/>
        <w:gridCol w:w="626"/>
        <w:gridCol w:w="152"/>
        <w:gridCol w:w="152"/>
        <w:gridCol w:w="204"/>
        <w:gridCol w:w="626"/>
        <w:gridCol w:w="146"/>
        <w:gridCol w:w="146"/>
        <w:gridCol w:w="196"/>
        <w:gridCol w:w="661"/>
        <w:gridCol w:w="21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costs for programs in clinical trials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41,383</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costs for platform technologies and preclinical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21,029</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4,460</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70,563</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18"/>
        </w:rPr>
      </w:pPr>
      <w:r>
        <w:rPr>
          <w:rFonts w:ascii="Times New Roman" w:hAnsi="Times New Roman"/>
          <w:color w:val="000000"/>
          <w:sz w:val="18"/>
        </w:rPr>
        <w:t>Research and development expenses were $70.6 million for the three months ended March 31, 2026 compared to $73.8 million for the three months ended March 31, 2025. The decrease of $3.2 million was primarily due to the series of strategic choices made to streamline the research organization prior to 2026, offset by increases in costs related to the ReDiscover-2 Trial.</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General and Administrative Expenses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General and administrative expenses were $11.0 million for the three months ended March 31, 2026 compared to $18.7 million for the three months ended March 31, 2025. The decrease of $7.7 million was primarily due to decreases in employee compensation costs, including stock compensation expense, and costs to obtain the Elevar Agreement, which were expensed during the three months ended March 31, 2025.</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Other Income, Net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Other income, net, was $5.3 million for the three months ended March 31, 2026 compared to $7.8 million for the three months ended March 31, 2025. The decrease of $2.5 million was primarily a result of changes in the amounts invested between periods, as well as fluctuations in interest rates.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Liquidity and Capital Resources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March 31, 2026, we had cash, cash equivalents, and investments of $642.1 million.</w:t>
      </w:r>
    </w:p>
    <w:p>
      <w:pPr>
        <w:pStyle w:val="TextBody"/>
        <w:bidi w:val="0"/>
        <w:spacing w:before="240" w:after="283"/>
        <w:jc w:val="left"/>
        <w:rPr>
          <w:rFonts w:ascii="Times New Roman" w:hAnsi="Times New Roman"/>
          <w:sz w:val="20"/>
        </w:rPr>
      </w:pPr>
      <w:r>
        <w:rPr>
          <w:rFonts w:ascii="Times New Roman" w:hAnsi="Times New Roman"/>
          <w:color w:val="000000"/>
          <w:sz w:val="18"/>
        </w:rPr>
        <w:t>Since our inception, we have not generated any revenue from product sales and have incurred significant operating losses. We have not yet commercialized any products and we do not expect to generate revenue from sales of any product candidates for several years, if ever. To date, we have principally financed our operations through private placements of preferred stock and common stock, convertible debt, and proceeds from public offerings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December 2024, we entered into the Elevar Agreement, pursuant to which Elevar was granted global development and commercialization rights for lirafugratinib. As of March 31, 2026, we had received $5.0 million in upfront consideration, $3.4 million in conjunction with transfer of active pharmaceutical ingredient and other materials, and $10.0 million in milestone payments pursuant to the Elevar Agreement.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September 2024, we completed a public offering, or the September 2024 Offering, of 32,857,143 shares of common stock, including the exercise in full of the underwriters’ option to purchase an additional 4,285,714 shares, at an offering price of $7.00 per share. We received proceeds of $218.2 million, which was net of $11.8 million in underwriting discounts and other offering expenses.</w:t>
      </w:r>
    </w:p>
    <w:p>
      <w:pPr>
        <w:pStyle w:val="TextBody"/>
        <w:bidi w:val="0"/>
        <w:spacing w:before="240" w:after="283"/>
        <w:jc w:val="left"/>
        <w:rPr>
          <w:rFonts w:ascii="Times New Roman" w:hAnsi="Times New Roman"/>
          <w:sz w:val="20"/>
        </w:rPr>
      </w:pPr>
      <w:r>
        <w:rPr>
          <w:rFonts w:ascii="Times New Roman" w:hAnsi="Times New Roman"/>
          <w:color w:val="000000"/>
          <w:sz w:val="18"/>
        </w:rPr>
        <w:t>In August 2024, we filed a universal shelf registration statement on Form S-3ASR with the SEC, or the 2024 Shelf, to register for sale an amount of our common stock, preferred stock, debt securities, warrants and/or units in one or more offerings, which became effective upon filing with the SEC (File No. 333-281308).</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August 2024, we entered into the 2024 Sales Agreement with TD Securities, pursuant to which we may offer and sell shares of our common stock having aggregate gross proceeds of up to $250.0 million from time to time in “at-the-market” offerings through TD Securities, as our sales agent. As of March 31, 2026, we sold 14,141,569 shares of common stock under the 2024 Sales Agreement, from which we received $140.4 million in gross proceeds. In connection therewith, we paid $3.3 million in commissions to TD Securities, yielding $137.1 million in net proceeds. In April 2026, we sold an additional 1,865,000 shares of common stock under the 2024 Sales Agreement, from which we received an additional $22.6 million in gross proceeds and paid an additional $0.5 million in commissions to TD Securities, yielding an additional $22.1 million in net proceeds.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Cash Flows</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18"/>
        </w:rPr>
        <w:t>The following table summarizes our sources and uses of cash for each of the periods presented:</w:t>
      </w:r>
      <w:r>
        <w:rPr>
          <w:rFonts w:ascii="Times New Roman" w:hAnsi="Times New Roman"/>
          <w:color w:val="000000"/>
          <w:sz w:val="20"/>
        </w:rPr>
        <w:t xml:space="preserve"> </w:t>
      </w:r>
    </w:p>
    <w:tbl>
      <w:tblPr>
        <w:tblW w:w="7349" w:type="dxa"/>
        <w:jc w:val="left"/>
        <w:tblInd w:w="0" w:type="dxa"/>
        <w:tblLayout w:type="fixed"/>
        <w:tblCellMar>
          <w:top w:w="28" w:type="dxa"/>
          <w:left w:w="28" w:type="dxa"/>
          <w:bottom w:w="28" w:type="dxa"/>
          <w:right w:w="28" w:type="dxa"/>
        </w:tblCellMar>
      </w:tblPr>
      <w:tblGrid>
        <w:gridCol w:w="4936"/>
        <w:gridCol w:w="146"/>
        <w:gridCol w:w="196"/>
        <w:gridCol w:w="691"/>
        <w:gridCol w:w="166"/>
        <w:gridCol w:w="146"/>
        <w:gridCol w:w="196"/>
        <w:gridCol w:w="661"/>
        <w:gridCol w:w="21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138,782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Operating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three months ended March 31, 2026, we used $51.1 million of cash on operating activities, primarily resulting from our net loss of $73.3 million, offset by non-cash charges of $10.3 million and cash provided by changes in our operating assets and liabilities of $11.9 million.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three months ended March 31, 2025, we used $73.2 million of cash on operating activities, primarily resulting from our net loss of $77.1 million and cash used to fund changes in our operating assets and liabilities of $15.1 million, offset by non-cash charges of $18.9 million.</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Investing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three months ended March 31, 2026, net cash provided by investing activities was $32.9 million, consisting of $32.9 million in proceeds from net maturities of investments.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three months ended March 31, 2025, net cash used in investing activities was $42.5 million, consisting of $42.8 million in proceeds from net maturities and sales of investments, offset by $0.4 million for the acquisition of property and equipment.</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Financing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three months ended March 31, 2026, net cash provided by financing activities was $138.8 million, consisting of $137.1 million in net proceeds from at-the-market offerings, as well as $1.7 million from the exercise of stock options.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three months ended March 31, 2025, net cash provided by financing activities was $0.</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Funding Requirements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expect to continue to incur significant expenses in connection with our ongoing clinical development activities related to our product candidates and the ongoing preclinical development activities of our other programs. In addition, we continue to incur additional costs associated with operating as a public company.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March 31, 2026, we had cash, cash equivalents, and investments of $642.1 million. We believe that our existing cash, cash equivalents, and investments will enable us to fund our operating expenses and capital expenditure requirements into 2029. We have based this estimate on assumptions that may prove to be wrong, and we could exhaust our available capital resources sooner than we expect.</w:t>
      </w:r>
    </w:p>
    <w:p>
      <w:pPr>
        <w:pStyle w:val="TextBody"/>
        <w:bidi w:val="0"/>
        <w:spacing w:before="240" w:after="283"/>
        <w:jc w:val="left"/>
        <w:rPr>
          <w:rFonts w:ascii="Times New Roman" w:hAnsi="Times New Roman"/>
          <w:sz w:val="20"/>
        </w:rPr>
      </w:pPr>
      <w:r>
        <w:rPr>
          <w:rFonts w:ascii="Times New Roman" w:hAnsi="Times New Roman"/>
          <w:color w:val="000000"/>
          <w:sz w:val="18"/>
        </w:rPr>
        <w:t>Because of the numerous risks and uncertainties associated with the development of our product candidates, as well as our preclinical programs, and because the extent to which we may enter into collaborations with third parties for the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impact of any business interruptions to our operations, including the timing and enrollment of patients in our planned clinical trials, or to those of our manufacturers, suppliers, or other vendors, resulting from public health epidemics or outbreaks of infectious disease or ongoing geopolitical conflicts and related global economic sanctions;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scope, progress, results, and costs of our current and future clinical trials of our lead product candidate and additional preclinical research of our other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progress, results, and costs of drug discovery, preclinical research, and clinical trials for our other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number of future product candidates that we pursue and their development requirements;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timing, and outcome of regulatory review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establish and maintain licenses or collaborations on favorable terms, if at all;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success of any existing or future licenses or collaborations that we may enter into with third parties;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extent to which we acquire or invest in businesses, products and technologies, including entering into licensing or collaboration arrangements for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achievement of milestones or occurrence of other developments that trigger payments under any existing or future license or collaboration agreements, if any;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extent to which we are obligated to reimburse, or entitled to reimbursement of, clinical trial costs under any existing or future license or collaboration agreements, if 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and timing of future commercialization activities, including drug sales, marketing, manufacturing, and distribution, for any of our product candidates for which we receive marketing approval, to the extent that such sales, marketing, manufacturing, and distribution are not the responsibility of any licensee or collaborator that we may have at such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amount of revenue, if any, received from commercial sales of our product candidates, should any of our product candidates receive marketing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of preparing, filing, and prosecuting patent applications, maintaining, and enforcing our intellectual property rights and defending intellectual property-related claims;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headcount growth and associated costs if and as we expand our business operations and our research and development activities;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of operating as a public company.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Developing pharmaceutical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pStyle w:val="TextBody"/>
        <w:bidi w:val="0"/>
        <w:spacing w:before="240" w:after="283"/>
        <w:jc w:val="left"/>
        <w:rPr>
          <w:rFonts w:ascii="Times New Roman" w:hAnsi="Times New Roman"/>
          <w:sz w:val="20"/>
        </w:rPr>
      </w:pPr>
      <w:r>
        <w:rPr>
          <w:rFonts w:ascii="Times New Roman" w:hAnsi="Times New Roman"/>
          <w:color w:val="000000"/>
          <w:sz w:val="18"/>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impact our ability to conduct our business, and may require the issuance of warrants, which could potentially dilute your ownership interest.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raise additional funds through collaborations, strategic alliances, or licensing arrangements with third parties, we may have to relinquish valuable rights to our technology, future revenue streams, research programs or product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product candidates that we would otherwise prefer to develop and market ourselves.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Contractual Obligations and Commitments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There were no material changes to our contractual obligations and commitments during the three months ended March 31, 2026. For more information on our contractual obligations and commitments, please refer to "Management’s Discussion and Analysis of Financial Condition and Results of Operations" in our Annual Report on Form 10-K for the year ended December 31, 2025, as well as Note 9, Commitments and Contingencies, of the notes to our condensed consolidated financial statements included elsewhere in this Quarterly Report on Form 10-Q.</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Critical Accounting Policies and Use of Estimates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management’s discussion and analysis of financial condition and results of operations is based on our financial statements, which have been prepared in accordance with generally accepted accounting principles in the United States, or GAAP. The preparation of our condensed consolidated financial statements and related disclosures requires us to make estimates and assumptions that affect the reported amounts of assets and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For a discussion of our critical accounting estimates, see "Management’s Discussion and Analysis of Financial Condition and Results of Operations" in our Annual Report on Form 10-K for the year ended December 31, 2025 filed with the SEC on February 26, 2026, the notes to our audited financial statements appearing in our Annual Report on Form 10-K, and the notes to the financial statements appearing elsewhere in this Quarterly Report on Form 10-Q. There have been no material changes to these critical accounting policies and estimates through March 31, 2026 from those discussed in our Annual Report on Form 10-K for the year ended December 31, 2025.</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Recently Issued and Adopted Accounting Pronouncements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description of recently issued accounting pronouncements that may potentially impact our financial position and results of operations is disclosed in Note 2 to our condensed consolidated financial statements included elsewhere in this Quarterly Report on Form 10-Q.</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bookmarkStart w:id="10" w:name="item_3_quantitative_qualitative_disclosu"/>
      <w:bookmarkEnd w:id="10"/>
      <w:r>
        <w:rPr>
          <w:rFonts w:ascii="Times New Roman" w:hAnsi="Times New Roman"/>
          <w:b/>
          <w:color w:val="000000"/>
          <w:sz w:val="18"/>
        </w:rPr>
        <w:t>Item 3. Quantitative and Qualitative Disclosures About Market Risk.</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Interest rate risk</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are exposed to market risk related to changes in interest rates of our investment portfolio of cash equivalents and short-term investments. As of March 31, 2026, our cash equivalents consisted of money market funds. As of March 31, 2026, our investments consisted of investments in U.S. treasury bills and United States agency securities that have contractual maturities of less than two years. Our primary exposure to market risk is interest income sensitivity, which is affected by changes in the general level of U.S. interest rates. The fair value of our marketable securities is subject to change as a result of potential changes in market interest rates, including changes in federal interest rates. The potential change in fair value for interest rate sensitive instruments has been assessed on a hypothetical 100 basis point adverse movement across all maturities. As of March 31, 2026, we estimate that such hypothetical 100 basis point adverse movement would not result in a material impact on our condensed consolidated results of operations.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March 31, 2026, we had no debt outstanding and, therefore, are not exposed to interest rate risk with respect to debt.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Foreign currency exchange risk</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of our employees and our operations are currently located in the United States and our expenses are generally denominated in U.S. dollars. However, we have entered into a limited number of contracts with vendors for research and development services that permit us to satisfy our payment obligations in U.S. dollars (at prevailing exchange rates), but have underlying payment obligations denominated in foreign currencies, including the Euro.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We estimate that a 10% increase or decrease in current exchange rates would not have a material effect on our financial results for the three months ended March 31, 2026 and 2025. While we have not engaged in the hedging of our foreign currency transactions to date, we are evaluating the costs and benefits of initiating such a program and may in the future hedge selected significant transactions denominated in currencies other than the U.S. dollar if and/or as we expand our international operations and our risk grows.</w:t>
      </w:r>
    </w:p>
    <w:p>
      <w:pPr>
        <w:pStyle w:val="TextBody"/>
        <w:bidi w:val="0"/>
        <w:spacing w:before="240" w:after="283"/>
        <w:jc w:val="left"/>
        <w:rPr>
          <w:rFonts w:ascii="Times New Roman" w:hAnsi="Times New Roman"/>
          <w:b/>
          <w:color w:val="000000"/>
          <w:sz w:val="18"/>
        </w:rPr>
      </w:pPr>
      <w:bookmarkStart w:id="11" w:name="item_4_controls_and_procedure"/>
      <w:bookmarkEnd w:id="11"/>
      <w:r>
        <w:rPr>
          <w:rFonts w:ascii="Times New Roman" w:hAnsi="Times New Roman"/>
          <w:b/>
          <w:color w:val="000000"/>
          <w:sz w:val="18"/>
        </w:rPr>
        <w:t>Item 4. Controls and Procedures.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established disclosure controls and procedures (as defined in Rules 13a-15(e) and 15d-15(e) under the Securities Exchange Act of 1934, as amended, or the Exchange Act) designed to ensure that information required to be disclosed in the reports that we file or submit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Evaluation of Disclosure Controls and Procedures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March 31, 2026, our disclosure controls and procedures were effective.</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Changes in Internal Control Over Financial Reporting</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There has been no change in our internal control over financial reporting (as defined in Rules 13a-15(f) and 15d-15(f) under the Exchange Act) that occurred during the fiscal quarter ended March 31, 2026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18"/>
        </w:rPr>
      </w:pPr>
      <w:bookmarkStart w:id="12" w:name="part_ii_or_information"/>
      <w:bookmarkEnd w:id="12"/>
      <w:r>
        <w:rPr>
          <w:rFonts w:ascii="Times New Roman" w:hAnsi="Times New Roman"/>
          <w:b/>
          <w:color w:val="000000"/>
          <w:sz w:val="18"/>
        </w:rPr>
        <w:t>PART II—OTHER INFORMATION</w:t>
      </w:r>
    </w:p>
    <w:p>
      <w:pPr>
        <w:pStyle w:val="TextBody"/>
        <w:bidi w:val="0"/>
        <w:spacing w:before="240" w:after="283"/>
        <w:jc w:val="left"/>
        <w:rPr>
          <w:rFonts w:ascii="Times New Roman" w:hAnsi="Times New Roman"/>
          <w:b/>
          <w:color w:val="000000"/>
          <w:sz w:val="18"/>
        </w:rPr>
      </w:pPr>
      <w:bookmarkStart w:id="13" w:name="item_1_legal_proceedings"/>
      <w:bookmarkEnd w:id="13"/>
      <w:r>
        <w:rPr>
          <w:rFonts w:ascii="Times New Roman" w:hAnsi="Times New Roman"/>
          <w:b/>
          <w:color w:val="000000"/>
          <w:sz w:val="18"/>
        </w:rPr>
        <w:t>Item 1. Legal Proceedings.</w:t>
      </w:r>
    </w:p>
    <w:p>
      <w:pPr>
        <w:pStyle w:val="TextBody"/>
        <w:bidi w:val="0"/>
        <w:spacing w:before="240" w:after="283"/>
        <w:jc w:val="left"/>
        <w:rPr>
          <w:rFonts w:ascii="Times New Roman" w:hAnsi="Times New Roman"/>
          <w:sz w:val="20"/>
        </w:rPr>
      </w:pPr>
      <w:r>
        <w:rPr>
          <w:rFonts w:ascii="Times New Roman" w:hAnsi="Times New Roman"/>
          <w:color w:val="000000"/>
          <w:sz w:val="18"/>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On December 18, 2024, David Hayes, or the Plaintiff, an alleged Relay Therapeutics stockholder, derivatively and on behalf of us as a nominal defendant, filed a complaint in the Court of Chancery of the State of Delaware, or the Court, captioned </w:t>
      </w:r>
      <w:r>
        <w:rPr>
          <w:rFonts w:ascii="Times New Roman" w:hAnsi="Times New Roman"/>
          <w:i/>
          <w:color w:val="000000"/>
          <w:sz w:val="18"/>
        </w:rPr>
        <w:t>Hayes v. Borisy, et al.</w:t>
      </w:r>
      <w:r>
        <w:rPr>
          <w:rFonts w:ascii="Times New Roman" w:hAnsi="Times New Roman"/>
          <w:color w:val="000000"/>
          <w:sz w:val="20"/>
        </w:rPr>
        <w:t xml:space="preserve"> </w:t>
      </w:r>
      <w:r>
        <w:rPr>
          <w:rFonts w:ascii="Times New Roman" w:hAnsi="Times New Roman"/>
          <w:color w:val="000000"/>
          <w:sz w:val="18"/>
        </w:rPr>
        <w:t>(C.A. No. 2024-1309-PAF), or the Derivative Complaint, against certain of our directors and officers, or the Defendants. The Derivative Complaint alleges that, in 2021, 2022, and 2023, the Defendants awarded the members of our Board of Directors excessive compensation. The Derivative Complaint asserts claims for breach of fiduciary duty, unjust enrichment, waste of corporate assets, and breach of fiduciary duty of disclosure. The Derivative Complaint seeks a judgment against the Defendants declaring that Plaintiff may maintain the action on behalf of us and that he is an adequate representative of us; awarding to us the damages sustained as a result of the breaches of fiduciary duty and unjust enrichment alleged against the Defendants; directing us to take all necessary actions to reform and improve an effective system of corporate governance and internal procedures; awarding us restitution from the Defendants; ordering the Defendants to disgorge and pay to us or cancel all profits, benefits, and other compensation obtained; awarding Plaintiff costs and disbursements of the action, including reasonable attorneys’, accountants’, and experts’ fees, costs, and expenses; and granting such other relief that the Court deems just and proper. On January 24, 2025, we, as nominal defendants, and the Defendants separately answered the complaint. The case is now in discovery. We are unable to predict the outcome, or the reasonably possible loss or range of loss, if any, related to this matter.</w:t>
      </w:r>
    </w:p>
    <w:p>
      <w:pPr>
        <w:pStyle w:val="TextBody"/>
        <w:bidi w:val="0"/>
        <w:spacing w:before="240" w:after="283"/>
        <w:jc w:val="left"/>
        <w:rPr>
          <w:rFonts w:ascii="Times New Roman" w:hAnsi="Times New Roman"/>
          <w:b/>
          <w:color w:val="000000"/>
          <w:sz w:val="18"/>
        </w:rPr>
      </w:pPr>
      <w:bookmarkStart w:id="14" w:name="item_1a_risk_factors"/>
      <w:bookmarkEnd w:id="14"/>
      <w:r>
        <w:rPr>
          <w:rFonts w:ascii="Times New Roman" w:hAnsi="Times New Roman"/>
          <w:b/>
          <w:color w:val="000000"/>
          <w:sz w:val="18"/>
        </w:rPr>
        <w:t>Item 1A. Risk Factors.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Investing in our common stock involves a high degree of risk. You should carefully consider the risks described below, as well as the other information in this Quarterly Report on Form 10-Q, including our condensed consolidated financial statements and the related notes and "Management’s Discussion and Analysis of Financial Condition and Results of Operations," before deciding whether to invest in our common stock. We believe the risks described below include risks that are material to us as well as other risks that may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materially harm our business, financial condition, results of operations and growth prospects and could result in a complete loss of your investment. Consequently, you should not consider the following to be a complete discussion of all potential risks or uncertainties.</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Clinical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have never successfully completed any large-scale, pivotal clinical trials, and we may be unable to do so for any product candidates we develop.</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have not yet demonstrated our ability to successfully complete any large-scale, pivotal clinical trials, obtain regulatory approvals, manufacture a commercial scale product, or arrange for a third party to do so on our behalf, or conduct sales and marketing activities necessary for successful commercialization. Our lead product candidate is in clinical development. We may not be able to file investigational new drug applications, or INDs, for any of our preclinical product candidates on the timelines we expect, if at all. For example, we may experience manufacturing delays or delays with IND-enabling studies. Moreover, we cannot be sure that once we have submitted an IND, the FDA will allow further clinical trials to begin, or that, once begun, issues will not arise that require us to suspend or terminate clinical trials. The FDA or other regulatory authorities may impose a clinical hold before or after a trial begins for a number of reasons outlined in FDA regulations, including if the FDA believes the study drug raises a significant risk of illness or injury. If the FDA imposes a clinical hold, trials may not commence or recommence without FDA authorization and then only under terms authorized by the FDA. Accordingly, the submission of an IND does not mean the FDA will allow clinical trials to begin and, if and when clinical trials do commence under an active IND, issues may arise that require suspension or termination of such trials. Further, commencing each of these clinical trials is subject to finalizing the trial design based on discussions with the FDA and other regulatory authorities. Any guidance we receive from the FDA or other regulatory authorities is subject to change. Regulatory authorities could change their position, including, on the acceptability of our trial designs or the clinical endpoints selected, which may require us to complete additional clinical trials or impose stricter approval conditions than we expect. Successful completion of our clinical trials is a prerequisite to submitting a new drug application, or NDA, to the FDA and a Marketing Authorization Application, or MAA, to the EMA for each product candidate and, consequently, the ultimate approval and commercial marketing of each product candidate. While we have active clinical trials for our lead product candidate, we do not know whether any of our current clinical trials will be completed on schedule, if at all, or whether any of our future clinical trials will begin on time or be completed on schedule, if at all.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be delayed in obtaining marketing approval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not obtain marketing approval at all;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obtain approval for indications or patient populations that are not as broad as intended or desired;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be subject to post-marketing requirements;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have the product removed from the market after obtaining marketing approval. </w:t>
      </w:r>
    </w:p>
    <w:p>
      <w:pPr>
        <w:pStyle w:val="TextBody"/>
        <w:bidi w:val="0"/>
        <w:spacing w:before="240" w:after="283"/>
        <w:jc w:val="left"/>
        <w:rPr>
          <w:rFonts w:ascii="Times New Roman" w:hAnsi="Times New Roman"/>
          <w:sz w:val="20"/>
        </w:rPr>
      </w:pPr>
      <w:r>
        <w:rPr>
          <w:rFonts w:ascii="Times New Roman" w:hAnsi="Times New Roman"/>
          <w:b/>
          <w:i/>
          <w:color w:val="000000"/>
          <w:sz w:val="18"/>
        </w:rPr>
        <w:t>Clinical product development involves a lengthy and expensive process, with an uncertain outcome.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It is impossible to predict when or if any of our product candidates will prove effective and safe in humans or will receive regulatory approval. Before obtaining marketing approval from regulatory authorities for the sale of any product candidate, we must complete preclinical studies and then conduct the required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and other nonclinical studies and clinical trials have nonetheless failed to obtain marketing approval of their product candidates. Our preclinical and other nonclinical studies and future clinical trials may not be successful.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From time to time, we may publish interim, top-line or preliminary data from our clinical trials. Interim data from clinical trials are subject to the risk that one or more of the clinical outcomes may materially change as more participants enroll and as data mature. Preliminary or top-line data also remain subject to cleaning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incur additional costs or experience delays in completing, or ultimately be unable to complete, the development and commercialization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experience delays in completing our preclinical studies and initiating or completing clinical trials, and we may experience numerous unforeseen events during, or as a result of, any future clinical trials that we could conduct that could delay or prevent our ability to receive marketing approval or commercialize our product candidates,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regulators or institutional review boards, or IRBs, or ethics committees may not authorize us or our investigators to commence a clinical trial or conduct a clinical trial at a prospective trial site;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existing clinical trial sites may drop out of the clinical trial, which may require that we add new clinical trial sites or investigators;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clinical trials of our product candidates may produce negative or inconclusive results, and we may decide, or regulators may require us, to conduct additional nonclinical studies or clinical trials or we may decide to abandon product development programs;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third-party contractors may fail to comply with regulatory requirements or meet their contractual obligations to us in a timely manner, or at all, or may deviate from the clinical trial protocol;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elect to, or regulators or IRBs or ethics committees may require us or our investigators to, suspend or terminate clinical research for various reasons, including noncompliance with regulatory requirements or a finding that the participants are being exposed to unacceptable health risks;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 of clinical trials of our product candidates may be greater than we anticipate;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not be able to adequately project the timing and quantity of our product candidates or any other materials necessary to conduct clinical trials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supply or quality of our product candidates, other therapies used in our clinical trials or any other materials necessary to conduct clinical trials of our product candidates may be insufficient or inadequate or not available in a reasonable timeframe, and any transfer of manufacturing activities may require unforeseen manufacturing or formulation changes;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product candidates may have undesirable side effects or other unexpected characteristics, causing us or our investigators, regulators or IRBs or ethics committees to suspend or terminate the clinical trials, or reports may arise from nonclinical studies or clinical testing of other therapies that raise safety or efficacy concerns about our product candidates. </w:t>
      </w:r>
    </w:p>
    <w:p>
      <w:pPr>
        <w:pStyle w:val="TextBody"/>
        <w:bidi w:val="0"/>
        <w:spacing w:before="240" w:after="283"/>
        <w:jc w:val="left"/>
        <w:rPr>
          <w:rFonts w:ascii="Times New Roman" w:hAnsi="Times New Roman"/>
          <w:sz w:val="20"/>
        </w:rPr>
      </w:pPr>
      <w:r>
        <w:rPr>
          <w:rFonts w:ascii="Times New Roman" w:hAnsi="Times New Roman"/>
          <w:color w:val="000000"/>
          <w:sz w:val="18"/>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a suspension or termination or clinical hold due to a number of factors, including failure to conduct the clinical trial in accordance with regulatory requirements or our clinical protocols, inspection of the clinical trial operations or clinical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development costs will also increase if we experience delays in preclinical studies, clinical trials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Any delays in our preclinical or current or future clinical development programs may harm our business, financial condition and prospects significantly.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experience delays or difficulties in the enrollment of patients in clinical trials, our receipt of necessary regulatory approvals could be delayed or prevented.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particular, because we will be deploying our drug discovery platform across a broad target space, our ability to enroll eligible patients may be limited or may result in slower enrollment than we anticipate.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to the competitive clinical trial environment, the eligibility criteria of our planned clinical trials will further limit the pool of available study participants as we will require that patients have specific characteristics that we can measure to assure their cancer or other disease is either severe enough or not too advanced to include them in a study. Additionally, the process of finding patients may prove costly. Where our clinical trials involve multiple combination arms, our ability to enroll eligible patients may be limited or may result in slower enrollment than we anticipate. We also may not be able to identify, recruit and enroll a sufficient number of patients to complete our clinical studies because of the perceived risks and benefits of the product candidates under study or any of the other therapies used in combination with such product candidates,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engaged and may continue to engage third parties to develop companion diagnostics for use in our clinical trials, but such third parties may not be successful in developing such companion diagnostics, furthering the difficulty in identifying patients with the targeted genetic mutations for our clinical trials. Further, if we are required to develop companion diagnostics and are unable to include patients with the targeted genetic mutations, this could compromise our ability to seek participation in the FDA’s expedited review and development programs, including Breakthrough Therapy Designation and Fast Track Designation, or otherwise to seek to accelerate clinical development and regulatory timelines. The FDA has indicated that if we continue RLY-2608 in a specific biomarker-defined population, a companion diagnostic device will be required to ensure its safe and effective use. If any of our future third-party companion diagnostic partners is unable or unwilling to obtain or maintain regulatory approval for a companion diagnostic for any of our product candidates, regulatory approval for such product candidates, if obtained at all, may be delayed.</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Clinical trial enrollment may be affected by other factors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severity or rarity of the disease under investigation;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eligibility criteria for the clinical trial in question;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availability of an appropriate genomic screening test;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perceived risks and benefits of the product candidate under study;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resources and efforts required to facilitate timely enrollment in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availability of approved products that treat the same indications as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patient referral practices of physicians;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ability to monitor patients adequately during and after treatment;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proximity and availability of clinical trial sites for prospective patients;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factors we may not be able to control that may limit patients, principal investigators or staff or clinical site availability, such as uncertain geopolitical conditions or current or future pandemics. </w:t>
      </w:r>
    </w:p>
    <w:p>
      <w:pPr>
        <w:pStyle w:val="TextBody"/>
        <w:bidi w:val="0"/>
        <w:spacing w:before="240" w:after="283"/>
        <w:jc w:val="left"/>
        <w:rPr>
          <w:rFonts w:ascii="Times New Roman" w:hAnsi="Times New Roman"/>
          <w:sz w:val="20"/>
        </w:rPr>
      </w:pPr>
      <w:r>
        <w:rPr>
          <w:rFonts w:ascii="Times New Roman" w:hAnsi="Times New Roman"/>
          <w:color w:val="000000"/>
          <w:sz w:val="18"/>
        </w:rPr>
        <w:t>Additionally, for certain of our current and future clinical trials, we have and may utilize, an "open-label" trial design. An "open-label" clinical trial is one where both the patient and investigator know whether the patient is receiving the investigational product candidate or either an active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when studied in a blinded trial.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Positive data from preclinical or early clinical studies of our product candidates are not necessarily predictive of the results of later clinical studies and any future clinical trials of our product candidates. If we cannot replicate the positive data from our preclinical or early clinical studies of our product candidates in our future clinical trials, we will be unable to successfully develop, obtain regulatory approval for and commercialize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Any positive data from our preclinical or early clinical studies of our product candidates may not necessarily be predictive of the results of later clinical studies and any future clinical trials of our product candidates. Similarly, even if we are able to complete our planned preclinical and clinical studies or any future clinical trials of our product candidates according to our current development timeline, the positive data from such preclinical or early clinical studies and clinical trials of our product candidates may not be replicated in subsequent nonclinical studies or clinical trial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other nonclinical and clinical data are often susceptible to varying interpretations and analyses and many companies that believed their product candidates performed satisfactorily in preclinical studies and clinical trials nonetheless failed to obtain FDA, EMA or other regulatory authority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current or future clinical trials or those of future collaborators or licensees may reveal significant adverse events not seen in our preclinical or other nonclinical studies or early clinical data and may result in a safety profile that would inhibit regulatory approval or market acceptance of any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Before obtaining regulatory approvals for the commercial sale of any products, we must demonstrate through lengthy, complex and expensive preclinical or other nonclinical studies and clinical trials that our product candidates are both safe and effective for use in each target indication. Clinical testing is expensive and can take many years to complete, and its outcome is inherently uncertain. Failure can occur at any time during the clinical trial process. The results of preclinical or other nonclinical studies and early clinical trials of our product candidates may not be predictive of the results of later-stage clinical trials. In addition, initial success in clinical trials may not be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indicative of results obtained when such trials are completed.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or other nonclinical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developing certain product candidates and may develop future product candidates, in combination with one or more cancer or other therapies. The uncertainty resulting from the use of our product candidates in combination with other therapies may make it difficult to accurately predict side effects in future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is the case with many treatments for cancer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clinical trials, or we may be required to abandon the clinical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If used in combination with other therapies in the future, our product candidates could exacerbate adverse events associated with those therapies, as well as result in adverse events from drug-drug interaction. Some potential therapeutics developed in the biotechnology industry that initially showed therapeutic promise in early-stage clinical trials have later been found to cause side effects that prevented their further development. Even if the side effects do not preclude the product from obtaining or maintaining marketing approval, undesirable side effects may inhibit market acceptance of the approved product due to its tolerability versus other therapies. Any of these developments could materially harm our business, financial condition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w:t>
      </w:r>
    </w:p>
    <w:p>
      <w:pPr>
        <w:pStyle w:val="TextBody"/>
        <w:bidi w:val="0"/>
        <w:spacing w:before="240" w:after="283"/>
        <w:jc w:val="left"/>
        <w:rPr>
          <w:rFonts w:ascii="Times New Roman" w:hAnsi="Times New Roman"/>
          <w:sz w:val="20"/>
        </w:rPr>
      </w:pPr>
      <w:r>
        <w:rPr>
          <w:rFonts w:ascii="Times New Roman" w:hAnsi="Times New Roman"/>
          <w:color w:val="000000"/>
          <w:sz w:val="18"/>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For example, as part of our research efforts, we develop various protein models and make predictions as to how molecules might move, with subsequent validation efforts in our and our CROs’ labs. There can be no assurance that we will find potential additional targets using this approach, that any such targets will be tractable, that preclinical development of any of our research programs will be successful or that any clinical validations will be successful. Our research programs may initially show promise in identifying potential indications and/or product candidates, yet fail to yield results for clinical development for a number of reasons,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research methodology used may not be successful in identifying potential indications and/or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potential product candidates may, after further study, be shown to have harmful adverse effects or other characteristics that indicate they are unlikely to be effective products;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 </w:t>
      </w:r>
    </w:p>
    <w:p>
      <w:pPr>
        <w:pStyle w:val="TextBody"/>
        <w:bidi w:val="0"/>
        <w:spacing w:before="240" w:after="283"/>
        <w:jc w:val="left"/>
        <w:rPr>
          <w:rFonts w:ascii="Times New Roman" w:hAnsi="Times New Roman"/>
          <w:sz w:val="20"/>
        </w:rPr>
      </w:pPr>
      <w:r>
        <w:rPr>
          <w:rFonts w:ascii="Times New Roman" w:hAnsi="Times New Roman"/>
          <w:color w:val="000000"/>
          <w:sz w:val="18"/>
        </w:rPr>
        <w:t>Our early-stage discovery programs and preclinical development programs may not reach clinical development on the timelines we expect or ever. Because we have limited financial and human resources, we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Accordingly, there can be no assurance that we will ever be able to identify additional therapeutic opportunities for our product candidates or to develop suitable potential product candidates through internal research programs or in collaboration with third parties, which could materially adversely affect our future growth and prospects. We may focus our efforts and resources on potential product candidates or other potential programs that ultimately prove to be unsuccessful.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intend to develop our lead product candidate, may develop other current product candidates and potentially future product candidates, in combination with other therapies, which exposes us to additional risks.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intend to develop zovegalisib and may develop our other current product candidates and future product candidates, for use in combination with one or more currently approved cancer or other therapies. Even if any product candidate we develop was to receive marketing approval or be commercialized for use in combination with other existing therapies, we would continue to bear the risks that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FDA or similar regulatory authorities could revoke approval of the therapy used in combination with our product candidates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are also evaluating zovegalisib and may in the future evaluate other current product candidates or any future product candidates in combination with one or more cancer or other therapies that have not yet been approved for marketing by the FDA or similar regulatory authorities. For example, in June 2024, we entered into a clinical trial collaboration with Pfizer to evaluate atirmociclib, Pfizer’s investigative selective-CDK4 inhibitor, in combination with zovegalisib and fulvestrant in patients with PI3Kα-mutated, HR+, HER2- metastatic breast cancer and are evaluating this combination in our ReDiscover Trial. Additionally, in April 2026, we entered into a supply agreement with Pfizer pursuant to which Pfizer has agreed to supply atirmociclib and palbociclib for use in our planned Phase 3 trial evaluating zovegalisib in combination with atirmociclib and aromatase inhibitor, subject to regulatory feedback. We will not be able to market and sell any of our product candidates we develop in combination with any such unapproved therapies that do not ultimately obtain marketing approval. In addition, unapproved therapies face the same risks described with respect to our product candidates currently in development and clinical trials, including the potential for serious adverse effects, supply and/or manufacturing issues, delay in their clinical trials, and lack of FDA approval.</w:t>
      </w:r>
    </w:p>
    <w:p>
      <w:pPr>
        <w:pStyle w:val="TextBody"/>
        <w:bidi w:val="0"/>
        <w:spacing w:before="240" w:after="283"/>
        <w:jc w:val="left"/>
        <w:rPr>
          <w:rFonts w:ascii="Times New Roman" w:hAnsi="Times New Roman"/>
          <w:sz w:val="20"/>
        </w:rPr>
      </w:pPr>
      <w:r>
        <w:rPr>
          <w:rFonts w:ascii="Times New Roman" w:hAnsi="Times New Roman"/>
          <w:color w:val="000000"/>
          <w:sz w:val="18"/>
        </w:rPr>
        <w:t>The uncertainty resulting from the use of our product candidates in combination with other approved or unapproved therapies may make it difficult to accurately predict side effects in current or future clinical trials. If the FDA or similar regulatory authorities do not approve these other drugs or revoke their approval of, or if safety, efficacy, manufacturing, or supply issues arise with, the drugs we choose to evaluate in combination with our lead product candidate or any other current or future product candidate we develop, we may be unable to obtain approval of or market any of such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product candidates utilize a novel mechanism of action and novel binding locations, which may result in greater research and development expenses, regulatory issues that could delay or prevent approval, or discovery of unknown or unanticipated adverse effects.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candidates utilize novel mechanisms of action and novel binding locations, which may result in greater research and development expenses, regulatory issues that could delay or prevent approval, or discovery of unknown or unanticipated adverse effects. Our Dynamo® platform uses advanced computational models in tight integration with our medicinal chemistry, structural biology, enzymology and biophysics capabilities to predict and design the compounds that will achieve the most desirable characteristics, including potency, selectivity, bioavailability, and drug-like properties. A disruption in any of these capabilities may have significant adverse effects in our abilities to expand our Dynamo® platform, and we cannot predict whether we will continue to have access to these capabilities in the future to support our Dynamo® platform. In addition, there can be no assurance that we will be able to rapidly identify, design and synthesize the necessary compounds or that these or other problems related to the development of this novel mechanism will not arise in the future, which may cause significant delays, or raise problems that we may not be able to resolve.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our mechanism of action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Because our inhibitors utilize a novel mechanism of action that has not been the subject of extensive study compared to more well-known product candidates, there is also an increased risk that we may discover previously unknown or unanticipated adverse effects during our preclinical or other nonclinical studies and clinical trials. Any such events could adversely impact our business prospects,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are conducting, or have filed clinical trial applications to conduct, clinical trials for our product candidates outside the United States, and the FDA and similar foreign regulatory authorities may not accept data from such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have conducted or are conducting, or have filed clinical trial applications to conduct, additional clinical trials outside the United States, including Australia, Canada, the United Kingdom, Europe, South America and Asia and may conduct, or file clinical trial applications to conduct, additional clinical trials in other foreign jurisdictions in the future.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clinical trials conducted outside of the United States or the applicable jurisdiction. If the FDA or any similar foreign regulatory authority does not accept such data, it would result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the need for additional clinical trials, which would be costly and time-consuming and delay aspects of our business plan, and which may result in our product candidates not receiving approval or clearance for commercialization in the applicable jurisdiction. Additionally, recent policy proposals in the U.S., if enacted in the future, may make acceptance by the FDA or inclusion in a marketing application of foreign data more difficult or costly.</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Obtaining Regulatory Approvals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are not able to obtain, or if delays occur in obtaining, required regulatory approvals for our product candidates, we will not be able to commercialize, or will be delayed in commercializing, our product candidates, and our ability to generate revenue will be materially impaired.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similar authorities in other countries. Before we can commercialize any of our product candidates, we must obtain marketing approval. Currently, all of our product candidates are in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nonclinical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process of obtaining regulatory approvals, both in the United States and abroad, is expensive and often takes many years. If the FDA or a similar foreign regulatory authority requires that we perform additional nonclinical studies or clinical trials, approval, if obtained at all, may be delayed. The length of such a delay varies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510(k) or other premarket approval application, or PMA, or equivalent application types, may cause delays in the approval or rejection of an application. The FDA and similar authorities in other countries have substantial discretion in the approval process and may refuse to accept any application or may decide that our data are insufficient for approval and require additional nonclinical, clinical or other studies. It is also unclear how FDA marketing approval policies along with FDA interpretations of law or regulatory discretion could change as a result of the U.S. Supreme Court’s decision to overturn prior established case law giving deference to agency decisions and interpretations. Our product candidates could be delayed in receiving, or fail to receive, regulatory approval for many reasons, including the following: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FDA or similar foreign regulatory authorities may disagree with or change their position regarding the design or implementation of our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not be able to enroll a sufficient number of patients in our clinical studies;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be unable to demonstrate to the satisfaction of the FDA or similar foreign regulatory authorities that a product candidate is safe and effective for its proposed indication or a related companion diagnostic is suitable to identify appropriate patient populations;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results of clinical trials may not meet the level of statistical significance required by the FDA or similar foreign regulatory authorities for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be unable to demonstrate that a product candidate’s clinical and other benefits outweigh its safety risks;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FDA or similar foreign regulatory authorities may disagree with our interpretation of data from nonclinical studies or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data collected from clinical trials of our product candidates may not be sufficient to support the submission of an NDA or other submission or to obtain regulatory approval in the United States or elsewhere;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FDA or similar foreign regulatory authorities may find deficiencies with or fail to approve the manufacturing processes or facilities of third-party manufacturers with which we contract for clinical and commercial supplies;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approval policies or regulations of the FDA or similar foreign regulatory authorities may significantly change such that our clinical data are insufficient for approval.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Even if we were to obtain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experience delays in obtaining approval or if we fail to obtain approval of our product candidates, the commercial prospects for our product candidates may be harmed and our ability to generate revenues will be materially impaired.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Commercialization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projections of both the number of people who have the diseases our product candidates are targeting, as well as the subset of people with such disease who have the potential to benefit from treatment with any of our product candidates, are based on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total addressable market opportunity will ultimately depend upon, among other things, the diagnosis criteria included in the final label, and, if our product candidates are approved for sale for these indications, acceptance by the medical community and patient access, product pricing and reimbursement. The number of patients with cancers and solid tumors or other applicable diseases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For example, in December 2024, we entered into the exclusive global licensing agreement with Elevar for lirafugratinib, and in early 2025, we reduced our research-stage programs, allowing us to focus our resources on the remainder of our portfolio. These and other prioritization decisions may prove to be the wrong choice and may adversely affect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development and commercialization of new products in the biopharmaceutical and related industries is highly competitive. We compete in the segments of the pharmaceutical, biotechnology, and other related markets that address computationally focused structure-based drug design in cancer and genetic diseases. There are other companies focusing on structure-based drug design to develop therapies in the fields of cancer and other diseases.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Any product candidates that we successfully develop and commercialize will compete with currently approved therapies and new therapies that may become available in the future from segments of the pharmaceutical, biotechnology and other related markets that pursue precision medicines. Key product features that would affect our ability to effectively compete with other therapeutics include the efficacy, safety and convenience of our products. We believe principal competitive factors to our business include, among other things, the accuracy of our computations and predictions, ability to integrate computational and experimental capabilities, ability to successfully transition research programs into clinical development, ability to raise capital, and the scalability of the platform, pipeline, and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Many of the companies that we compete against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Smaller or earlier stage companies may also prove to be significant competitors, particularly through collaborative arrangements with large and established companies. These competitors also compete with us in recruiting and retaining qualified scientific, clinical and management personnel and establishing clinical trial sites and patient registration for clinical trials, as well as in acquiring technologies complementary to, or necessary for, our programs. In addition, we cannot predict whether our current competitive advantages will remain in place in the future. If these or other barriers to entry do not remain in place, other companies may be able to more directly or effectively compete with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more rapidly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efficacy, safety, convenience, price, the level of generic competition and the availability of reimbursement from government and other third-party payors.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The insurance coverage and reimbursement status of newly-approved products is uncertain. Failure to obtain or maintain adequate coverage and reimbursement for any of our product candidates, if approved, could limit our ability to market those products and decrease our ability to generate revenue.</w:t>
      </w:r>
    </w:p>
    <w:p>
      <w:pPr>
        <w:pStyle w:val="TextBody"/>
        <w:bidi w:val="0"/>
        <w:spacing w:before="240" w:after="283"/>
        <w:jc w:val="left"/>
        <w:rPr>
          <w:rFonts w:ascii="Times New Roman" w:hAnsi="Times New Roman"/>
          <w:sz w:val="20"/>
        </w:rPr>
      </w:pPr>
      <w:r>
        <w:rPr>
          <w:rFonts w:ascii="Times New Roman" w:hAnsi="Times New Roman"/>
          <w:color w:val="000000"/>
          <w:sz w:val="18"/>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Sales of these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See "</w:t>
      </w:r>
      <w:r>
        <w:rPr>
          <w:rFonts w:ascii="Times New Roman" w:hAnsi="Times New Roman"/>
          <w:i/>
          <w:color w:val="000000"/>
          <w:sz w:val="18"/>
        </w:rPr>
        <w:t>Business – Governmental Regulation – Insurance coverage and reimbursement</w:t>
      </w:r>
      <w:r>
        <w:rPr>
          <w:rFonts w:ascii="Times New Roman" w:hAnsi="Times New Roman"/>
          <w:color w:val="000000"/>
          <w:sz w:val="18"/>
        </w:rPr>
        <w:t>" in our Annual Report on Form 10-K for the year ended December 31, 2025.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There is also significant uncertainty related to the insurance coverage and reimbursement of newly approved products and coverage may be more limited than the purposes for which the medicine is approved by the FDA or similar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Factors payors consider in determining reimbursement are based on whether the product is (i) a covered benefit under its health plan; (ii) safe, effective and medically necessary; (iii) appropriate for the specific patient; (iv) cost-effective; and (v) neither experimental nor investigational.</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in a timely manner. Further, these prices for drugs may be reduced by mandatory discounts or rebates required by government healthcare programs.</w:t>
      </w:r>
    </w:p>
    <w:p>
      <w:pPr>
        <w:pStyle w:val="TextBody"/>
        <w:bidi w:val="0"/>
        <w:spacing w:before="240" w:after="283"/>
        <w:jc w:val="left"/>
        <w:rPr>
          <w:rFonts w:ascii="Times New Roman" w:hAnsi="Times New Roman"/>
          <w:sz w:val="20"/>
        </w:rPr>
      </w:pPr>
      <w:r>
        <w:rPr>
          <w:rFonts w:ascii="Times New Roman" w:hAnsi="Times New Roman"/>
          <w:color w:val="000000"/>
          <w:sz w:val="18"/>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U.S. and generally prices tend to be significantly lower.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Reliance on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have relied on, and expect to continue to rely on, third parties to conduct our current and future clinical trials of our product candidates, as well as investigator-sponsored clinical trials of our product candidates and any investigational products.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do not have the ability to independently conduct clinical trials. We rely and expect to continue to rely on medical institutions, clinical investigators, contract laboratories and other third parties, such as CROs, to conduct or otherwise support clinical trials for our product candidates.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 clinical trials, whether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controlled by us or third parties, for any one or more reasons, including elements of the design or execution of the trials or safety concerns or other trial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 to be inadequate compared to the first-hand knowledge we might have gained had the investigator-sponsored trials been sponsored and conducted by us, then our ability to design and conduct any future clinical trials ourselves may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rely and expect to continue to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our principal investigators and our CROs are required to comply with regulations, including Good Clinical Practices, or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similar foreign regulatory authorities for any products in clinical development, including the EMA and the MHRA. These regulatory authorities enforce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similar foreign regulatory authorities may require us to perform additional clinical trials before approving our marketing applications. We cannot assure you that, upon inspection, these regulatory authorities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public notification of noncompliance, fines, adverse publicity and civil and criminal sanctions.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Although we designed our first-in-human clinical trials of our lead product candidate and intend to design the future clinical trials for any other product candidates that we develop, we expect that CROs will conduct all of our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have staffing difficulties;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fail to comply with contractual obligations;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experience regulatory compliance issues;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undergo changes in priorities or become financially distressed;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form relationships with other entities, some of which may be our competitors. </w:t>
      </w:r>
    </w:p>
    <w:p>
      <w:pPr>
        <w:pStyle w:val="TextBody"/>
        <w:bidi w:val="0"/>
        <w:spacing w:before="240" w:after="283"/>
        <w:jc w:val="left"/>
        <w:rPr>
          <w:rFonts w:ascii="Times New Roman" w:hAnsi="Times New Roman"/>
          <w:sz w:val="20"/>
        </w:rPr>
      </w:pPr>
      <w:r>
        <w:rPr>
          <w:rFonts w:ascii="Times New Roman" w:hAnsi="Times New Roman"/>
          <w:color w:val="000000"/>
          <w:sz w:val="18"/>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any of our relationships with these third-party principal investigators or CROs terminate, we may not be able to enter into arrangements with alternative CROs. If principal investigators or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contract with third parties for the manufacture of our product candidates for preclinical development, clinical testing, and expect to continue to do so for commercialization. We also rely, and expect to continue to rely, on third parties for the supply of any investigational products, standard-of-care drugs and comparator agents used in our clinical trials. This reliance on third parties increases the risk that we will not have sufficient quantities of our product candidates or other therapies or products or such quantities at an acceptable cost or quality, which could delay, prevent or impair our development or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products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similar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be unable to establish any agreements with third-party manufacturers or to do so on acceptable terms. Even if we are able to establish agreements with third-party manufacturers, reliance on third-party manufacturers entails additional risks,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reliance on the third party for regulatory compliance and quality assurance;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possible breach of the manufacturing agreement by the third party;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possible misappropriation of our proprietary information, including our trade secrets and know-how;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possible termination or nonrenewal of the agreement by the third party at a time that is costly or inconvenient for us.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 Due to capacity constraints at cGMP manufacturers, we have been required to forecast the amount of clinical trial supply needed for our clinical trials further in advance than had typically been required, and there is limited flexibility to adjust our manufacturing needs as our clinical trials progress, which may lead to added costs or delays in our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Any performance failure on the part of our existing or future manufacturers could delay clinical development or marketing approval. We are also unable to predict how the effects of ongoing geopolitical conflicts may affect our third-party manufacturers, including any potential disruptions to our global supply chain. If our current contract manufacturers cannot perform as agreed, we may be required to replace such manufacturers, which we may not be able to do on reasonable terms, if at all, or manufacture the materials ourselves, for which we may not have the capabilities or resources. In either scenario, our clinical trials supply could be delayed significantly as we establish alternative supply sources. In some cases, the technical skills required to manufacture our products or product candidates may be unique or proprietary to the original contract manufacturing organization, or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We may incur added costs and delays in identifying and qualifying any such replacement. Furthermore, a CMO may possess technology related to the manufacture of our product candidates that such CMO owns independently. This would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increase our reliance on such CMO or require us to obtain a license from such CMO in order to have another CMO manufacture our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currently rely on foreign CMOs for the manufacture of certain of our product candidates for preclinical development and clinical testing and will likely continue to do so in the future. Foreign CMOs may be subject to U.S. legislation or investigations, such as the previously proposed BIOSECURE Act in the United States, sanctions, trade restrictions and other foreign regulatory requirements, which could increase the cost or reduce the supply of material available to us, delay the procurement or supply of such material, delay or impact clinical trials, have an adverse effect on our ability to secure significant commitments from governments to purchase our product candidates, if ever approved, and could adversely affect our financial condition and business prospects.</w:t>
      </w:r>
    </w:p>
    <w:p>
      <w:pPr>
        <w:pStyle w:val="TextBody"/>
        <w:bidi w:val="0"/>
        <w:spacing w:before="240" w:after="283"/>
        <w:jc w:val="left"/>
        <w:rPr>
          <w:rFonts w:ascii="Times New Roman" w:hAnsi="Times New Roman"/>
          <w:sz w:val="20"/>
        </w:rPr>
      </w:pPr>
      <w:r>
        <w:rPr>
          <w:rFonts w:ascii="Times New Roman" w:hAnsi="Times New Roman"/>
          <w:color w:val="000000"/>
          <w:sz w:val="18"/>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also rely, and expect to continue to rely, on third parties for the supply of any investigational products, standard-of-care drugs or comparator agents used in our clinical trials. Any supply chain challenges may affect our ability to supply clinical sites with any investigational products, standard-of-care drugs and/or comparator agents that we use in our clinical trials and may prevent us from enrolling subjects into our clinical trials, may result in increased costs for our clinical trials, and may otherwise delay, prevent or impair our development efforts.</w:t>
      </w:r>
    </w:p>
    <w:p>
      <w:pPr>
        <w:pStyle w:val="TextBody"/>
        <w:bidi w:val="0"/>
        <w:spacing w:before="240" w:after="283"/>
        <w:jc w:val="left"/>
        <w:rPr>
          <w:rFonts w:ascii="Times New Roman" w:hAnsi="Times New Roman"/>
          <w:sz w:val="20"/>
        </w:rPr>
      </w:pPr>
      <w:r>
        <w:rPr>
          <w:rFonts w:ascii="Times New Roman" w:hAnsi="Times New Roman"/>
          <w:b/>
          <w:i/>
          <w:color w:val="000000"/>
          <w:sz w:val="18"/>
        </w:rPr>
        <w:t>The third parties upon whom we rely for the supply of the active pharmaceutical ingredients, drug product and starting materials used in our product candidates are our sole source of supply, and the loss of any of these suppliers could significantly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active pharmaceutical ingredients, or API, drug product and starting materials used in our product candidates are supplied to us primarily from single-source suppliers. Our ability to successfully develop our product candidates, and to ultimately supply our commercial products in quantities sufficient to meet the market demand, depends in part on our ability to obtain the API, drug product and starting materials for these products in accordance with regulatory requirements and in sufficient quantities for clinical testing and commercialization. We do not currently have arrangements in place for a redundant or second-source supply of any such API, drug product or starting materials in the event any of our current suppliers of such API, drug product or starting materials ceases its operations for any reason. If any of our third-party suppliers or manufacturers ceases its operations for any reason or is unable or unwilling to supply API, drug product or starting material in sufficient quantities, on the timelines necessary, or at acceptable prices, to meet our needs, it could impede, delay, limit or prevent our development efforts, which could harm our business, results of operations, financial condition and prospects. We are also unable to predict how changing global economic conditions or ongoing geopolitical conflicts and related global economic sanctions, or potential global health concerns will affect our third-party suppliers and manufacturers. Any negative impact of such matters on our third-party suppliers and manufacturers may also have an adverse impact on our results of operations or financial condition.</w:t>
      </w:r>
    </w:p>
    <w:p>
      <w:pPr>
        <w:pStyle w:val="TextBody"/>
        <w:bidi w:val="0"/>
        <w:spacing w:before="240" w:after="283"/>
        <w:jc w:val="left"/>
        <w:rPr>
          <w:rFonts w:ascii="Times New Roman" w:hAnsi="Times New Roman"/>
          <w:sz w:val="20"/>
        </w:rPr>
      </w:pPr>
      <w:r>
        <w:rPr>
          <w:rFonts w:ascii="Times New Roman" w:hAnsi="Times New Roman"/>
          <w:color w:val="000000"/>
          <w:sz w:val="18"/>
        </w:rPr>
        <w:t>For all of our product candidates, we intend to identify and qualify additional manufacturers to provide such API, drug product and starting materials prior to or after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Establishing additional or replacement suppliers for the API, drug product and starting materials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drug product and starting materials used in our product candidates, any interruption or delay in the supply of components or materials, or our inability to obtain such API, drug product or starting materials from alternate sources at acceptable prices in a timely manner could impede, delay, limit or prevent our development efforts, which could harm our business, results of operations, financial condition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have and may enter into other licenses or collaborations with third parties for the research, development, manufacture and commercialization of one or more of our programs or product candidates. If these licenses or collaborations are not successful, our business could be adversely affected.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entered into and may enter into licenses or collaborations with third parties for one or more of our programs or product candidates, such as the Elevar Agreement to develop and commercialize lirafugratinib. If we enter into any such arrangements with any third parties, we will likely have limited control over the amount and timing of resources that any licensees or collaborators dedicate to the development or commercialization of our product candidates. Our ability to generate revenue from these arrangements will depend on our licensees' or collaborators’ abilities to successfully perform the functions assigned to them.</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licenses or collaborations we have entered into or will enter into may pose risks, including the following:</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Licensees or collaborators may have significant discretion in determining the efforts and resources that they will apply to these licenses or collaborations;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Licensees or collaborators may not perform their obligations as expected;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clinical trials conducted as part of these licenses or collaborations may not be successful;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Licensees or collaborators may not pursue development and/or commercialization of any product candidates that achieve regulatory approval or may elect not to continue or renew development or commercialization programs based on clinical trial results, changes in the licensees' or collaborators’ strategic focus or available funding or external factors, such as an acquisition, that divert resources or create competing priorities;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Licensees or collaborators may delay clinical trials, provide insufficient funding for clinical trials, stop a clinical trial or abandon a product candidate, repeat or conduct new clinical trials or require a new formulation of a product candidate for clinical testing;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may not have access to, or may be restricted from disclosing, certain information regarding product candidates being developed or commercialized under a license or collaboration and, consequently, may have limited ability to inform our stockholders about the status of such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Licensees or collaborators could independently develop, or develop with third parties, products that compete directly or indirectly with our product candidates if the licensees or collaborators believe that competitive products are more likely to be successfully developed or can be commercialized under terms that are more economically attractive than ours;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Product candidates developed in collaboration with us may be viewed by any licensee or collaborator as competitive with their own product candidates or products, which may cause licensees or collaborators to cease to devote resources to the commercialization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licensee or collaborator with marketing and distribution rights to one or more of our product candidates that achieve regulatory approval may not commit sufficient resources to the marketing and distribution of any such product candidate;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Disagreements with licensees or collaborators, including disagreements over proprietary rights, contract interpretation or the preferred course of development of any programs or product candidates, may cause delays or termination of the research, development, manufacture or commercialization of such programs or product candidates, may lead to additional responsibilities for us with respect to such programs or product candidates or may result in litigation or arbitration, any of which would be time-consuming and expensive;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Licensees or 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Disputes may arise with respect to the ownership of intellectual property developed pursuant to our licenses or collaborations;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Licensees or collaborators may infringe the intellectual property rights of third parties, which may expose us to litigation and potential liability;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Licenses or collaborations may be terminated for the convenience of the licensee or collaborator and, if terminated, we could be required to raise additional capital to pursue further development or commercialization of the applicable product candidates.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If our licenses or collaborations do not result in the successful development and commercialization of products, or if one of any future licensees or collaborators terminates its agreement with us, we may not receive any milestone or royalty payments under the license or collaboration. If we do not receive the payments we expect under these agreements, our development of product candidates could be delayed and we may need additional resources to develop our product candidates. All of the risks relating to product development, regulatory approval and commercialization summarized and described in this report also apply to the activities of our licensees or collaborators.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if any licensee or collaborator terminates its agreement with us, we may find it more difficult to attract new licensees or collaborators and our reputation among the business and financial communities could be adversely affected.</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seek to establish additional licenses and/or collaborations, and, if we are not able to establish them on commercially reasonable terms, or at all, we may have to alter our development and commercialization plans.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development programs and the potential commercialization of our product candidates will require substantial additional cash to fund expenses. For some of our product candidates, we may decide to license to, or collaborate with, additional pharmaceutical and biotechnology companies for the development and potential commercialization of those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face significant competition in seeking appropriate licensees and/or collaborators. Whether we reach a definitive agreement for a license or collaboration will depend, among other things, upon our assessment of the licensee's or collaborator’s resources and expertise, the terms and conditions of the proposed license or collaboration and the proposed licensee's or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licensee or collaborator may also consider alternative product candidates or technologies for similar indications that may be available to license or collaborate on and whether such a license or collaboration could be more attractive than the one with us for our product candidate. The terms of any additional licenses or collaborations or other arrangements that we may establish may not be favorable to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also be restricted under license or collaboration agreements from entering into future agreements on certain terms with potential licensees or collaborators. Licenses and collaborations are complex and time-consuming to negotiate and document. In addition, there have been a significant number of business combinations among large pharmaceutical companies that have resulted in a reduced number of potential future licensees and/or collaborators.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not be able to negotiate additional licenses or collaborations on a timely basis, on acceptable terms, or at all. If we are unable to do so, we may have to curtail the development of the product candidate for which we are seeking to license or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may be required to pay certain milestones, royalties or other payments under our license or collaboration agreements with third-party licensors or collaborators, which may adversely affect the overall profitability of any products that we may seek to commercialize or adversely impact the value of other transactional opportunities.</w:t>
      </w:r>
    </w:p>
    <w:p>
      <w:pPr>
        <w:pStyle w:val="TextBody"/>
        <w:bidi w:val="0"/>
        <w:spacing w:before="240" w:after="283"/>
        <w:jc w:val="left"/>
        <w:rPr>
          <w:rFonts w:ascii="Times New Roman" w:hAnsi="Times New Roman"/>
          <w:sz w:val="20"/>
        </w:rPr>
      </w:pPr>
      <w:r>
        <w:rPr>
          <w:rFonts w:ascii="Times New Roman" w:hAnsi="Times New Roman"/>
          <w:color w:val="000000"/>
          <w:sz w:val="18"/>
        </w:rPr>
        <w:t>Under our current and future license or collaboration agreements, including our DESRES Agreement, we may be required to pay milestones, royalties and other payments based on our revenues, including revenues from product sales, and these milestones and royalty payments could adversely affect the overall profitability of any products that we may seek to commercialize. Moreover, we may be subject to certain payment obligations under our current and future license agreements, including our DESRES Agreement, in connection with certain transactions. These payment obligations may decrease the value to us of certain transactional opportunities or otherwise burden our ability to enter into such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order to maintain our rights under our current or future license agreements, we may need to meet certain specified milestones in the development of our product candidates. Further, our licensors (or their licensors), licensees or other strategic collaborators may dispute the terms, including amounts, that we are required to pay under the respective license or collaboration agreements. If these claims result in a material increase in the amounts that we are required to pay to our licensors or collaborators, or in the event of a claim of breach of the license, our ability to research, develop and obtain approval of product candidates or to commercialize our products could be significantly impaired.</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Financial Position and Ability to Raise Additional Capital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Our Operating History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are a biopharmaceutical company with a limited operating history.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a biopharmaceutical company with a limited operating history and have incurred net losses in each year since our inception. Our net losses were $73.3 million and $77.1 million for the three months ended March 31, 2026 and 2025, respectively. We had an accumulated deficit of $2.1 billion as of March 31, 2026. Biopharmaceutical product development is a highly speculative undertaking and involves a substantial degree of risk. We commenced operations in May 2015. Since inception, we have focused substantially all of our efforts and financial resources on developing our Dynamo® drug discovery platform and product candidates.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future.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have incurred significant operating losses since our inception and anticipate that we will incur continued losses for the foreseeable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Substantially all of our operating losses have resulted from costs incurred in connection with our research and development programs and from general and administrative costs associated with our operations. We expect to continue to incur significant research and development expenses in connection with the commencement and continuation of clinical trials of our product candidates. In addition, if we obtain marketing approval for our product candidates, we will incur significant sales, marketing, and outsourced-manufacturing expenses. We will also continue to incur additional costs associated with operating as a public company. As a result, we expect to continue to incur significant operating losses for the foreseeable future. In the past, we have implemented internal restructurings and reorganizations designed to reduce the size and costs of our operations,</w:t>
      </w:r>
      <w:r>
        <w:rPr>
          <w:rFonts w:ascii="Times New Roman" w:hAnsi="Times New Roman"/>
          <w:color w:val="000000"/>
          <w:sz w:val="20"/>
        </w:rPr>
        <w:t xml:space="preserve"> </w:t>
      </w:r>
      <w:r>
        <w:rPr>
          <w:rFonts w:ascii="Times New Roman" w:hAnsi="Times New Roman"/>
          <w:color w:val="000000"/>
          <w:sz w:val="18"/>
        </w:rPr>
        <w:t>improve operational efficiencies, enhance our ability to pursue market opportunities, and accelerate our development initiatives. If there are unforeseen expenses associated with such realignments in our business strategies, and we incur unanticipated charges or liabilities, we may not be able to effectively realize the expected cost savings or other benefits of such actions, which could have adverse effects on our business, operating results, and financial condition.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timing and success or failure of clinical trials for our product candidates or competing product candidates, or any other change in the competitive landscape of our industry, including consolidation among our competitors or partners;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successfully recruit and retain subjects for clinical trials, and any delays caused by difficulties in such efforts;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obtain marketing approval for our product candidates, and the timing and scope of any such approvals we may receive;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timing and cost of, and level of investment in, research and development activities relating to our product candidates, which may change from time to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 of manufacturing our product candidates, which may vary depending on the quantity of production and the terms of our agreements with manufacturers;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attract, hire and retain qualified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expenditures that we will or may incur to develop additional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level of demand for our product candidates should they receive approval, which may vary significantly;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risk/benefit profile, cost and reimbursement policies with respect to our product candidates, if approved, and existing and potential future therapeutics that compete with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effectively realize the expected cost savings and other benefits of internal restructurings;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changing and volatile U.S. and global economic environments or ongoing geopolitical conflicts;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future accounting pronouncements or changes in our accounting policies. </w:t>
      </w:r>
    </w:p>
    <w:p>
      <w:pPr>
        <w:pStyle w:val="TextBody"/>
        <w:bidi w:val="0"/>
        <w:spacing w:before="240" w:after="283"/>
        <w:jc w:val="left"/>
        <w:rPr>
          <w:rFonts w:ascii="Times New Roman" w:hAnsi="Times New Roman"/>
          <w:sz w:val="20"/>
        </w:rPr>
      </w:pPr>
      <w:r>
        <w:rPr>
          <w:rFonts w:ascii="Times New Roman" w:hAnsi="Times New Roman"/>
          <w:color w:val="000000"/>
          <w:sz w:val="18"/>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securities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have no products approved for commercial sale and we have not generated any revenue from product sales.</w:t>
      </w:r>
    </w:p>
    <w:p>
      <w:pPr>
        <w:pStyle w:val="TextBody"/>
        <w:bidi w:val="0"/>
        <w:spacing w:before="240" w:after="283"/>
        <w:jc w:val="left"/>
        <w:rPr>
          <w:rFonts w:ascii="Times New Roman" w:hAnsi="Times New Roman"/>
          <w:sz w:val="20"/>
        </w:rPr>
      </w:pPr>
      <w:r>
        <w:rPr>
          <w:rFonts w:ascii="Times New Roman" w:hAnsi="Times New Roman"/>
          <w:color w:val="000000"/>
          <w:sz w:val="18"/>
        </w:rPr>
        <w:t>Our ability to become profitable depends upon our ability to generate revenue. To date, we have no products approved for commercial sale, we have not generated any revenue from our product sales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successfully complete preclinical studies;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successfully enroll subjects in, and complete,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have our IND applications go into effect for our planned clinical trials or future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receive regulatory approvals from applicable regulatory authorities;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initiate and successfully complete all safety studies required to obtain U.S. and foreign marketing approval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establish commercial manufacturing capabilities or make arrangements with third-party manufacturers for clinical supply and commercial manufacturing;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obtain and maintain patent and trade secret protection or regulatory exclusivity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launch commercial sales of our product candidates, if and when approved, whether alone or in partnership or collaboration with others;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obtain and maintain acceptance of the product candidates, if and when approved, by patients, the medical community and third-party payors;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effectively compete with other therapies;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obtain and maintain healthcare coverage and adequate reimbursement;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enforce and defend intellectual property rights and claims;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take precautionary measures to help minimize the risk of any future pandemics or outbreaks similar to COVID-19 to our employees;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maintain a continued acceptable safety profile of the product candidates following approval. </w:t>
      </w:r>
    </w:p>
    <w:p>
      <w:pPr>
        <w:pStyle w:val="TextBody"/>
        <w:bidi w:val="0"/>
        <w:spacing w:before="240" w:after="283"/>
        <w:jc w:val="left"/>
        <w:rPr>
          <w:rFonts w:ascii="Times New Roman" w:hAnsi="Times New Roman"/>
          <w:sz w:val="20"/>
        </w:rPr>
      </w:pPr>
      <w:r>
        <w:rPr>
          <w:rFonts w:ascii="Times New Roman" w:hAnsi="Times New Roman"/>
          <w:color w:val="000000"/>
          <w:sz w:val="18"/>
        </w:rPr>
        <w:t>If we do not achieve one or more of these factors in a timely manner or at all, we may experience significant delays in our commercialization efforts or we may be unable to successfully commercialize our product candidates at all, which would materially harm our business and prospects. In addition, if we do not receive regulatory approvals for our product candidates, we may not be able to continue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Raising Additional Capital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will need to raise substantial additional funding. If we are unable to raise capital when needed, we would be forced to delay, reduce or eliminate some of our product development programs or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development of pharmaceutical products is capital-intensive. We have programs in clinical and preclinical development. We expect our expenses to increase in connection with our ongoing activities, particularly as we continue the research and development of, initiate clinical trials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continue to incur additional costs associated with operating as a public company. Accordingly, we will need to obtain substantial additional funding in connection with our continuing operations. If we are unable to raise capital when needed or fail to do so on attractive terms, we would be forced to delay, reduce or eliminate certain of our research and development programs or future commercialization efforts.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We expect that our existing cash and cash equivalents and investments will be sufficient to fund our operations through at least the next 12 months. Our future capital requirements will depend on and could increase significantly as a result of many factors,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impact of any business interruptions to our operations, including the timing and enrollment of patients in our planned clinical trials, or to those of our manufacturers, suppliers, or other vendors, resulting from any public health crisis or ongoing geopolitical conflicts and related global economic sanctions;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scope, progress, results and costs of our current and future clinical trials of our lead product candidate and additional preclinical research of our other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progress, results and costs of drug discovery, preclinical research and clinical trials for our other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number of future product candidates that we pursue and their development requirements;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timing and outcome of regulatory review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establish and maintain licenses or collaborations on favorable terms, if at all;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success of any existing or future licenses or collaborations that we may enter into with third parties;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extent to which we acquire or invest in businesses, products and technologies, including entering into licensing or collaboration arrangements for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achievement of milestones or occurrence of other developments that trigger payments under any existing or future license or collaboration agreements, if any;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extent to which we are obligated to reimburse, or entitled to reimbursement of, clinical trial costs under any existing or future license or collaboration agreements, if 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and timing of future commercialization activities, including drug sales, marketing, manufacturing and distribution, for any of our product candidates for which we receive marketing approval, to the extent that such sales, marketing, manufacturing and distribution are not the responsibility of any licensee or collaborator that we may have at such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amount of revenue, if any, received from commercial sales of our product candidates, should any of our product candidates receive marketing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of preparing, filing and prosecuting patent applications, maintaining and enforcing our intellectual property rights and defending intellectual property-related claims;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headcount growth and associated costs if and/or as we expand our business operations and our research and development activities;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of operating as a public company. </w:t>
      </w:r>
    </w:p>
    <w:p>
      <w:pPr>
        <w:pStyle w:val="TextBody"/>
        <w:bidi w:val="0"/>
        <w:spacing w:before="240" w:after="283"/>
        <w:jc w:val="left"/>
        <w:rPr>
          <w:rFonts w:ascii="Times New Roman" w:hAnsi="Times New Roman"/>
          <w:sz w:val="20"/>
        </w:rPr>
      </w:pPr>
      <w:r>
        <w:rPr>
          <w:rFonts w:ascii="Times New Roman" w:hAnsi="Times New Roman"/>
          <w:color w:val="000000"/>
          <w:sz w:val="18"/>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Any additional fundraising efforts may divert our management from their day-to-day activities, which may adversely affect our ability to develop and commercialize our product candidates. Disruptions in the financial markets may make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we may be required to relinquish rights to some of our technologies or product candidates or otherwise agree to terms unfavorable to us, any of which may have a material adverse effect on our business, operating results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Raising additional capital may cause dilution to our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Until such time, if ever, as we can generate substantial product revenues, we expect to finance our cash needs through a combination of private and public equity offerings, debt financings, collaborations, strategic alliances and licensing arrangements. We do not have any committed external source of funds. To the extent that we raise additional capital through the sale of common stock or securities convertible or exchangeable into common stock, the ownership interest of our stockholders will be diluted, and the terms of those securities may include liquidation or other preferences that materially adversely affect their rights as a common stockholder. We may offer and sell up to an aggregate amount of $250.0 million of our common stock from time to time in "at the market" offerings pursuant to the sales agreement, or the 2024 Sales Agreement, with TD Securities (USA) LLC, or TD Securities, subject to the limitations thereof. As of March 31, 2026, we sold 14,141,569 shares of common stock under the 2024 Sales Agreement, from which we received $140.4 million in gross proceeds. In connection therewith, we paid $3.3 million in commissions to TD Securities, yielding $137.1 million in net proceeds. In April 2026, we sold an additional 1,865,000 shares of common stock under the 2024 Sales Agreement, from which we received an additional $22.6 million in gross proceeds and paid an additional $0.5 million in commissions to TD Securities, yielding an additional $22.1 million in net proceeds. Debt financing, if available, would increase our fixed payment obligations and may involve agreements that include covenants limiting or restricting our ability to take specific actions, such as incurring additional debt, making capital expenditures or declaring dividends.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raise funds through additional collaborations, strategic alliances or licensing arrangements with third parties, we may have to relinquish valuable rights to our intellectual property,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Public Health Matters and the Global Economy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Any future pandemic, epidemic, or outbreak of an infectious disease similar to the COVID-19 pandemic could affect our business and our financial results and could cause disruption to the development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Public health crises such as pandemics or similar outbreaks could adversely impact our business. A public health crisis similar to the COVID-19 pandemic could adversely impact our preclinical, other nonclinical or clinical trial operations, and we may experience delays in initiating, or fail to initiate, IND-enabling studies, recruiting and retaining patients, principal investigators and site staff for our clinical trials, dosing of patients in our clinical trials as well as in activating new trial sites, and protocol deviations. The negative impact of any such public health crisis on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Any unforeseen disruptions arising from a public health crisis, including potential shutdowns or disruptions of businesses and government agencies, such as the SEC or FDA, could have a material adverse effect on our business and our results of operation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Global economic and political conditions, including economic uncertainty tied to interest rates, credit and financial market instability, and uncertainty related to ongoing geopolitical conflicts, are difficult to mitigate and could pose challenges to our growth and profitability and could adversely affect our business,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Unstable market and economic conditions may have adverse consequences on our business, financial condition or results of operations. In recent years, the global economy, in particular the credit and financial markets, has experienced significant volatility and disruptions, including diminished liquidity and credit availability, volatility in commodity prices, declines in consumer confidence and economic growth, and supply chain interruptions. Other factors, including rising interest rates and record inflation, may also increase the general cost of doing business. In 2023, the closures of Silicon Valley Bank and Signature Bank and their placement into receivership with the Federal Deposit Insurance Corporation, or FDIC, created bank-specific and broader financial institution liquidity risk and concerns. Although the Department of the Treasury, the Federal Reserve, and the FDIC jointly released a statement that depositors at Silicon Valley Bank and Signature Bank would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and economic uncertainty. There can be no assurance that future credit and financial market instability and a deterioration in confidence in economic conditions will not occur.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Continued economic uncertainty caused by these and other factors, including political instability, conflicts or crises, at the global level or involving individual countries or regions and any associated economic sanctions, could result in a variety of risks to our business, including difficulty in enrolling participants in our clinical trials, difficulty in forecasting our financial results and managing inventory levels, increases in our business costs, which in turn affect our ability to develop our current and future product candidates, and negatively impacting our ability to raise additional capital when needed on acceptable terms, if at all. In addition, political developments impacting government spending and international trade, including changes in trade agreements, potential government shutdowns and trade disputes and tariffs, including tariffs that have been or may in the future be imposed by the United States or other countries and future legislation or actions taken by the United States or other countries that restrict trade, and protectionist or retaliatory measures taken by the United States or other countries, may negatively impact markets and cause weaker macroeconomic conditions. These global economic and political factors have also strained and could continue to strain certain of our suppliers and manufacturers, possibly resulting in supply disruptions or increased raw material or manufacturing costs, or adversely impacting their ability to manufacture clinical trial materials for our product candidates. Any of the foregoing could harm our business and prospects and we cannot anticipate all of the ways in which the current economic climate and financial market conditions could adversely impact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Significant political, trade, regulatory developments, and other circumstances beyond our control, could have a material adverse effect on our financial condition or results of operations.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Significant political, trade, or regulatory developments,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In 2017, the U.S. Congress and the Trump administration made substantial changes to U.S. policies, which included comprehensive corporate and individual tax reform. In addition, the Trump administration called for significant changes to U.S. trade, healthcare, immigration and government regulatory policy.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The United States has imposed blanket 10% tariffs on virtually all imports to the U.S. and significantly higher so-called reciprocal tariffs applicable to imports from many countries. On April 9, 2025, the U.S. announced a temporary pause on its reciprocal tariffs applicable to many countries, while increasing the tariffs applicable to imports from China. The Trump administration has threatened to continue to broadly impose tariffs and increase existing tariffs, which could lead to corresponding punitive actions by the countries with which the U.S. trades. Historically, tariffs have led to increased trade and political tensions. In response to tariffs, other countries have implemented or threatened to implement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Protecting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are unable to adequately protect our proprietary technology or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will be impaired.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commercial success will depend in part on our ability to obtain and maintain proprietary or intellectual property protection in the United States and other countries for our product candidates, and our core technologies, including our novel target discovery technology and our proprietary compound library and other know-how.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 Other than our Eurasian, Japanese, Korean, Chilean and U.S. patents relating to zovegalisib and our U.S. and foreign patents relating to lirafugratinib, we do not own or in-license any issued patents relating to our platform or our product candidates under clinical development.</w:t>
      </w:r>
    </w:p>
    <w:p>
      <w:pPr>
        <w:pStyle w:val="TextBody"/>
        <w:bidi w:val="0"/>
        <w:spacing w:before="240" w:after="283"/>
        <w:jc w:val="left"/>
        <w:rPr>
          <w:rFonts w:ascii="Times New Roman" w:hAnsi="Times New Roman"/>
          <w:sz w:val="20"/>
        </w:rPr>
      </w:pPr>
      <w:r>
        <w:rPr>
          <w:rFonts w:ascii="Times New Roman" w:hAnsi="Times New Roman"/>
          <w:color w:val="000000"/>
          <w:sz w:val="18"/>
        </w:rPr>
        <w:t>The research and development for certain of our programs was performed during the initial research term under the DESRES Agreement. Under the DESRES Agreement, D. E. Shaw Research controls the rights to its technology (including its supercomputer and software, each of which are important aspects of our Dynamo® platform), we control the rights to certain compounds, and we jointly own with D. E. Shaw Research any other work product created by D. E. Shaw Research and us. Subject to certain limits, we have the right to have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following work product assigned to us: the composition of matter, method of use, and method of manufacture of certain compounds directed to a Category 1 Target, as set forth in the DESRES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After any work product is assigned to us, we will have the right to prepare, file, prosecute and maintain patents that cover such assigned work product. We also have the implicit right to defend patents that cover work product owned by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To date, some of the work product created under our agreement with D. E. Shaw Research has been created by D. E. Shaw Research and us, together, and is thus initially co-owned. We have subsequently obtained sole ownership of certain intellectual property relating specifically to some of our clinical candidates. By virtue of inventorship, we initially jointly owned intellectual property rights pertaining to zovegalisib, but have subsequently obtained sole ownership of intellectual property rights relating to it and certain other PIK3CA inhibitors. Patent applications claiming a genus of PIK3CA inhibitor compounds remain jointly owned with D. E. Shaw Research. We have the first right to prepare, file, prosecute, maintain and defend patents that cover work product jointly created by D. E. Shaw Research and us. If we choose not to exercise those rights with respect to patents and patent applications that cover joint work product, D. E. Shaw Research will have the right to take over such activities, unless such rights are waived. The party that is preparing, filing, prosecuting and maintaining a patent that covers joint work product also has the right to enforce such patent against infringers. If we or D. E. Shaw Research fail to adequately protect any co-owned intellectual property, our ability to commercialize products could suffer.</w:t>
      </w:r>
    </w:p>
    <w:p>
      <w:pPr>
        <w:pStyle w:val="TextBody"/>
        <w:bidi w:val="0"/>
        <w:spacing w:before="240" w:after="283"/>
        <w:jc w:val="left"/>
        <w:rPr>
          <w:rFonts w:ascii="Times New Roman" w:hAnsi="Times New Roman"/>
          <w:sz w:val="20"/>
        </w:rPr>
      </w:pPr>
      <w:r>
        <w:rPr>
          <w:rFonts w:ascii="Times New Roman" w:hAnsi="Times New Roman"/>
          <w:b/>
          <w:i/>
          <w:color w:val="000000"/>
          <w:sz w:val="18"/>
        </w:rPr>
        <w:t>The patent position of biotechnology and pharmaceutical companies generally is highly uncertain, involves complex legal and factual questions and has in recent years been the subject of much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degree of patent protection we require to successfully commercialize our product candidates may be unavailable or severely limited in some cases and may not adequately protect our rights or permit us to gain or keep any competitive advantage. We cannot provide any assurances that any of our pending patent applications will issue, or that any of our pending patent applications that mature into issued patents will include claims with a scope sufficient to protect our product candidates under clinical development or our other product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patent portfolio and any patent portfolio we may license in the future may not provide us with adequate and continuing patent protection sufficient to exclude others from commercializing products similar or identical to our product candidates, including generic versions of such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licensed patent rights, and in the future may license additional patent rights, to or from third parties, such as the license of our FGFR2 program, including lirafugratinib, to Elevar. These licensed patent rights may be valuable to our business, and we may not have the right to control the preparation, filing and prosecution of patent applications, or to maintain the patents, covering technology or medicines underlying such licenses. We cannot be certain that these patents and applications will be prosecuted and enforced in a manner consistent with the best interests of our business. If any such licensors or licensees fail to maintain such patents, or lose rights to those patents, the rights we have licensed may be reduced or eliminated and our right to develop and commercialize any of our products that are the subject of such licensed rights could be adversely affected.</w:t>
      </w:r>
    </w:p>
    <w:p>
      <w:pPr>
        <w:pStyle w:val="TextBody"/>
        <w:bidi w:val="0"/>
        <w:spacing w:before="240" w:after="283"/>
        <w:jc w:val="left"/>
        <w:rPr>
          <w:rFonts w:ascii="Times New Roman" w:hAnsi="Times New Roman"/>
          <w:sz w:val="20"/>
        </w:rPr>
      </w:pPr>
      <w:r>
        <w:rPr>
          <w:rFonts w:ascii="Times New Roman" w:hAnsi="Times New Roman"/>
          <w:color w:val="000000"/>
          <w:sz w:val="18"/>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pending patent applications, or that we were the first to file for patent protection of such inventions. As a result, the issuance, scope, validity, enforceability and commercial value of our patent rights cannot be predicted with any certainty.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product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derivation, reexamination, inter parties review, post-grant review or interference proceedings challenging our patent rights or the patent rights of others from whom we have obtained licenses to such rights.</w:t>
      </w:r>
    </w:p>
    <w:p>
      <w:pPr>
        <w:pStyle w:val="TextBody"/>
        <w:bidi w:val="0"/>
        <w:spacing w:before="240" w:after="283"/>
        <w:jc w:val="left"/>
        <w:rPr>
          <w:rFonts w:ascii="Times New Roman" w:hAnsi="Times New Roman"/>
          <w:sz w:val="20"/>
        </w:rPr>
      </w:pPr>
      <w:r>
        <w:rPr>
          <w:rFonts w:ascii="Times New Roman" w:hAnsi="Times New Roman"/>
          <w:color w:val="000000"/>
          <w:sz w:val="18"/>
        </w:rPr>
        <w:t>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we may in the future be subject to claims by our former employees, collaborators, vendors, partners,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With respect to intellectual property arising in the course of our collaboration with D. E. Shaw Research, disagreements between us and D. E. Shaw Research may impact our exclusive control of intellectual property important for protecting our product candidates and proprietary position. A loss of exclusivity, in whole or in part, could allow others to compete with us and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products, without payment to us, or could limit the duration of the patent protection covering our technology and product candidates. Such challenges may also result in our inability to manufacture or commercialize our product candidates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Even if they are unchallenged, our owned patent portfolio and any patent portfolio we may license in the future may not provide us with any meaningful protection or prevent competitors from designing around our patent claims to circumvent our owned or licensed patents by developing similar or alternative technologies or products in a non-infringing manner. For example, a third party may develop a competitive product that provides benefits similar to one or more of our product candidates but that has a different composition that falls outside the scope of our patent protection.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product candidates, which would have a material adverse effect on our business.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failure to secure trademark registrations could adversely affect our business and our ability to market our products and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trademark applications in the United States and any other jurisdictions where we may file may not be allowed for registration, and our registered trademarks may not be maintained or enforced. During trademark registration proceedings, we may receive rejections. Although we are given an opportunity to respond to those rejections, we may be unable to overcome such rejections. In addition, in the USPTO and in corresponding foreign agencies, third parties are given an opportunity to oppose pending trademark applications and to seek to cancel registered trademarks. Opposition or cancellation proceedings may be filed against our applications and/or registrations, and our applications and/or registrations may not survive such proceedings. Failure to secure such trademark registrations in the United States and in foreign jurisdictions could adversely affect our business and our ability to market our products and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18"/>
        </w:rPr>
        <w:t>If we are unable to protect the confidentiality of our trade secrets, our business and competitive position may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to the protection afforded by patents, we rely upon unpatented trade secret protection, unpatented know-how and continuing technological innovation to develop and maintain our competitive position. With respect to the building of our proprietary compound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 consuming, and the outcome is unpredictable. In addition, courts outside the United States are sometimes less willing to protect trade secrets.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trade secrets could otherwise become known or be independently discovered by our competitors. Competitors could purchase our product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products, our competitive position could be adversely affected, as could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Intellectual Property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Third parties may initiate legal proceedings alleging that we are infringing their intellectual property rights, the outcome of which would be uncertain and could have a material adverse effect on the success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commercial success depends upon our ability and the ability of our licensee or collaborators to develop, manufacture, market and sell our product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product candidates and technology, including interference proceedings before the USPTO. Our competitors or other third parties may assert infringement claims against us, alleging that our products or technologies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PI3K inhibitors and FGFR2 inhibitors. Some of these patent applications have already been allowed or issued, and others may issue in the future. Since these areas are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or the practice of our technology. If a patent holder believes our product or product candidate infringes on its patent, the patent holder may sue us even if we have received patent protection for our technology. Moreover, we may face patent infringement claims from non-practicing entities that have no relevant product revenue and against whom our owned patent portfolio and any patent portfolio we may license in the future may thus have no deterrent effect.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are found to infringe a third party’s intellectual property rights, we could be required to obtain a license from such third party to continue developing and marketing our product candidates and technology. We may choose to obtain a license, even in the absence of an action or finding of infringement. In either case,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product candidates. In addition, we could be found liable for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If we lose a foreign patent lawsuit, alleging our infringement of a competitor’s patents, we could be prevented from marketing our products in one or more foreign countries, which would have a materially adverse effect on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be subject to damages resulting from claims that we or our employees have wrongfully used or disclosed alleged trade secrets of our competitors or are in breach of non-competition or non-solicitation agreements with our competitors.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product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product candidates, which would have an adverse effect on our business, results of operations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become involved in lawsuits to protect or enforce our patents and other intellectual property rights, which could be expensive, time consuming and unsuccessful.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any patents that may issue invalid. Moreover, it is also possible that prior art may exist that we are aware of but do not believe is relevant to our future patents, should they issue, but that could nevertheless be determined to render our patents invalid.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 adverse result in any litigation proceeding could put one or more of our patents at risk of being invalidated or interpreted narrowly. If a defendant were to prevail on a legal assertion of invalidity or unenforceability of our patents covering one of our product candidates, we would lose at least part, and perhaps all, of the patent protection covering such product candidate. Competing products may also be sold in other countries in which our patent coverage might not exist or be as strong.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Intellectual property litigation could cause us to spend substantial resources and distract our personnel from their normal responsibilities.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Enforcement of Our Intellectual Property Rights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not be able to effectively enforce our intellectual property rights throughout the world.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if our ability to enforce our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patents to stop infringing activities is inadequate. These products may compete with our product candidates, and our patents or other intellectual property rights may not be effective or sufficient to prevent them from competing.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product candidates, we cannot ensure that we will be able to initiate or maintain similar efforts in all jurisdictions in which we may wish to market our product candidates. Accordingly, our efforts to protect our intellectual property rights in such countries may be inadequate.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Third Party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need to license certain intellectual property from third parties, and such licenses may not be available or may not be available on commercially reasonable terms.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 third party may hold intellectual property, including patent rights, that are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 Although we believe that licenses to these patents are available from these third parties on commercially reasonable terms, if we were not able to obtain a license, or were not able to obtain a license on commercially reasonable terms, our business could be harmed, possibly materially.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fail to comply with our obligations in the agreements under which we collaborate with or license intellectual property rights from third parties, or otherwise experience disruptions to our business relationships with our collaborators or licensors, we could lose rights that are important to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expect our future license agreements will impose various development, diligence, commercialization, and other obligations on us in order to maintain the licenses. In spite of our efforts, a future licensor might conclude that we have materially breached our obligations under such license agreements and seek to terminate the license agreements, thereby removing or limiting our ability to develop and commercialize products and technology covered by these license agreements. If these in-licenses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our development and commercialization of certain of our product candidates. Any of the foregoing could have a material adverse effect on our competitive position, business, financial conditions,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Moreover, disputes may arise regarding intellectual property subject to a licensing agreement,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of rights granted under the license agreement and other interpretation-related issues;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extent to which our technology and processes infringe on intellectual property of the licensor that is not subject to the licensing agreement;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sublicensing of patent and other rights under our collaborative development relationships;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diligence obligations under the license agreement and what activities satisfy those diligence obligations;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inventorship and ownership of inventions and know-how resulting from the joint creation or use of intellectual property by our licensors and us and our partners; and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priority of invention of patented technology. </w:t>
      </w:r>
    </w:p>
    <w:p>
      <w:pPr>
        <w:pStyle w:val="TextBody"/>
        <w:bidi w:val="0"/>
        <w:spacing w:before="240" w:after="283"/>
        <w:jc w:val="left"/>
        <w:rPr>
          <w:rFonts w:ascii="Times New Roman" w:hAnsi="Times New Roman"/>
          <w:sz w:val="20"/>
        </w:rPr>
      </w:pPr>
      <w:r>
        <w:rPr>
          <w:rFonts w:ascii="Times New Roman" w:hAnsi="Times New Roman"/>
          <w:color w:val="000000"/>
          <w:sz w:val="18"/>
        </w:rPr>
        <w:t>The agreements under which we may license intellectual property or technology from third parties may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These and similar issues may arise with respect to our collaboration agreements, such as our DESRES Agreement, as amended. While the initial research term has ended under the DESRES Agreement, there can be no assurance that a dispute between the parties will not arise. These disputes may involve ownership or control of intellectual property rights, exclusivity obligations, diligence and payment obligations, for example.</w:t>
      </w:r>
    </w:p>
    <w:p>
      <w:pPr>
        <w:pStyle w:val="TextBody"/>
        <w:bidi w:val="0"/>
        <w:spacing w:before="240" w:after="283"/>
        <w:jc w:val="left"/>
        <w:rPr>
          <w:rFonts w:ascii="Times New Roman" w:hAnsi="Times New Roman"/>
          <w:sz w:val="20"/>
        </w:rPr>
      </w:pPr>
      <w:r>
        <w:rPr>
          <w:rFonts w:ascii="Times New Roman" w:hAnsi="Times New Roman"/>
          <w:color w:val="000000"/>
          <w:sz w:val="18"/>
        </w:rPr>
        <w:t>Under the DESRES Agreement, D. E. Shaw Research controls the rights to its technology, we control the rights to certain compounds, and we jointly own with D. E. Shaw Research any other work product created by D. E. Shaw Research and us. Any work product we jointly own with D. E. Shaw Research and any other information that we or D. E. Shaw Research share is subject to a non-exclusive cross-license between us and D. E. Shaw Research, subject to certain exceptions. In some instances, D. E. Shaw Research is required to assign to us some of the work product created by D. E. Shaw Research. Disputes may arise between us and D. E. Shaw Research, as well as any licensees or future potential collaborators, regarding intellectual property subject to the DESRES Agreement. If disputes over intellectual property that we co-own or we own individually prevent or impair our ability to maintain our current licensing or collaboration arrangements on acceptable terms, or undermine our ability to successfully control the intellectual property necessary to protect our product candidates, we may be unable to successfully develop and commercialize the affected product candidates. Uncertainties or disagreements around our rights under any such intellectual property may undermine our ability to partner our programs with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the DESRES Agreement is complex and certain provisions may be susceptible to multiple interpretations. The resolution of any contract interpretation disagreement that may arise could be adverse to us, for example by narrowing what we believe to be the scope of our rights to certain intellectual property, or increasing what we believe to be our financial or other obligations under the DESRES Agreement, and any such outcome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Intellectual Property Laws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Changes to the patent law in the United States and other jurisdictions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to 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rights in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any patents that we may obtain in the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Intellectual property rights do not necessarily address all potential threats.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others may be able to make products that are similar to our product candidates or utilize similar technology but that are not covered by the claims of the patents that we license or may own;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or our licensors or collaborators, might not have been the first to make the inventions covered by the issued patent or pending patent application that we license or own now or in the future;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or our licensors or collaborators, might not have been the first to file patent applications covering certain of our or their inventions;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others may independently develop similar or alternative technologies or duplicate any of our technologies without infringing our owned or licensed intellectual property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it is possible that our present or future pending patent applications (whether owned or licensed) will not lead to issued patents;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issued patents that we hold rights to may be held invalid or unenforceable, including as a result of legal challenges by our competitors or other third parties;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not develop additional proprietary technologies that are patentable;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patents of others may harm our business;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may choose not to file a patent in order to maintain certain trade secrets or know-how, and a third party may subsequently file a patent covering such intellectual property.</w:t>
      </w:r>
    </w:p>
    <w:p>
      <w:pPr>
        <w:pStyle w:val="TextBody"/>
        <w:bidi w:val="0"/>
        <w:spacing w:before="240" w:after="283"/>
        <w:jc w:val="left"/>
        <w:rPr>
          <w:rFonts w:ascii="Times New Roman" w:hAnsi="Times New Roman"/>
          <w:sz w:val="20"/>
        </w:rPr>
      </w:pPr>
      <w:r>
        <w:rPr>
          <w:rFonts w:ascii="Times New Roman" w:hAnsi="Times New Roman"/>
          <w:color w:val="000000"/>
          <w:sz w:val="18"/>
        </w:rPr>
        <w:t>Should any of these events occur, they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Government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Regulatory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Even if we receive regulatory approval for any of our product candidates, we will be subject to ongoing regulatory obligations and continued regulatory review, and our product candidates, if approved, could be subject to post-market study requirements, marketing and labeling restrictions, and even recall or market withdrawal if unanticipated safety issues are discovered following approval, which may result in significant additional expense.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the FDA or a similar foreign regulatory authority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and applicable product tracking and tracing requirements. Additionally, under FDORA, sponsors of approved drugs must provide six months’ notice to the FDA of any changes in marketing status, such as the withdrawal of a drug, and failure to do so could result in the FDA placing the product on a list of discontinued products, which would revoke the product’s ability to be marketed.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restrictions on the marketing or manufacturing of the product, withdrawal of the product from the market, or voluntary or mandatory product recalls;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clinical trial holds;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fines, warning letters or other regulatory enforcement action;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refusal by the FDA to approve pending applications or supplements to approved applications filed by us;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product seizure or detention, or refusal to permit the import or export of products;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injunctions or the imposition of civil or criminal penalties. </w:t>
      </w:r>
    </w:p>
    <w:p>
      <w:pPr>
        <w:pStyle w:val="TextBody"/>
        <w:bidi w:val="0"/>
        <w:spacing w:before="240" w:after="283"/>
        <w:jc w:val="left"/>
        <w:rPr>
          <w:rFonts w:ascii="Times New Roman" w:hAnsi="Times New Roman"/>
          <w:sz w:val="20"/>
        </w:rPr>
      </w:pPr>
      <w:r>
        <w:rPr>
          <w:rFonts w:ascii="Times New Roman" w:hAnsi="Times New Roman"/>
          <w:color w:val="000000"/>
          <w:sz w:val="18"/>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approved prescription drug products. In particular, while the FDA permits the dissemination of truthful and non-misleading information about an approved product, a manufacturer may not promote a product for uses that are not approved by the FDA. Further, FDA’s Office of Prescription Drug Promotion actively scrutinizes promotional communications, including digital and social media; any materials that are false, misleading or promote unapproved uses can lead to enforcement actions and could necessitate corrective communications. If we are found to have promoted such off-label uses, we may become subject to significant liability. The federal government has levied large civil and criminal fines against companies for alleged improper promotion of regulated products for off-label uses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Data collection is governed by restrictive regulations governing the processing and cross-border transfer of personal information and we may be subject to various federal, state-specific and international privacy laws. Failure to comply with such requirements in jurisdictions or states where we may conduct ongoing or future clinical trials could have a material adverse effect on our business,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we conduct ongoing or future clinical trials, we may be subject to additional data collection and processing restrictions. 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For example, the collection, use, storage, disclosure, transfer, or other processing of personal data of individuals in the EEA, including personal health data, is subject to the GDPR. The GDPR is wide-ranging in scope and imposes numerous requirements on companies that process personal data, including requirements relating to having a legal basis for processing personal data, stricter requirements relating to the processing of sensitive data (such as health data), where required by GDPR, obtaining consent of the individuals to whom personal data relates, providing notice to the individuals to whom the personal data relates regarding data processing activities, implementing safeguards to protect the privacy and security of personal data, implementing processes to handle requests from individuals to exercise their data protection rights, maintaining records of our processing activities and to document data protection impact assessments where there is high risk processing, providing notification of data breaches in certain circumstances, and taking certain measures when engaging third-party processors or sub-processors. The GDPR focuses on accountability of controllers (such as us) and requires us to put in place all technical and organizational measures (privacy by design and by default) to ensure that we meet our obligations. Penalties under the GDPR include fines of up to €10,000,000 or 2% of our total worldwide annual revenue for certain comparatively minor offenses, or up to €20,000,000 or 4% of our total worldwide annual revenue for more serious offenses. EEA Member States have adopted implementing national laws to implement the GDPR which may partially deviate from the GDPR, and the competent authorities in the EEA Member States may interpret GDPR obligations slightly differently from country to country, so we do not expect to operate in a uniform legal landscape in the EU.</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Further to the UK’s exit from the EU on January 31, 2020, the UK incorporated the GDPR (as it existed on December 31, 2020 but subject to certain UK specific amendments) into UK law, referred to as the UK GDPR. The UK GDPR and the UK Data Protection Act 2018, or collectively, UK GDPR, set out the UK’s data protection regime, which is independent from but currently still aligned to the EU’s data protection regime. Non-compliance with the UK GDPR may result in monetary penalties of up to £17.5 million or 4% of worldwide revenue, whichever is higher. Although the UK is regarded as a third country under the EU’s GDPR, the UK is recognized as providing adequate protection under the EU GDPR and, therefore, transfers of personal data originating in the EU to the UK remain unrestricted, or the UK Adequacy Decision. Likewise, the UK government has confirmed that personal data transfers from the UK to the EEA remain free flowing. The UK Government introduced a Data Protection and Digital Information Bill, or Data Protection Bill, into the UK legislative process. The aim of the Data Protection Bill was to reform the UK’s data protection regime following Brexit. The Data Protection Bill failed in the UK legislative process. A new Data (Use and Access) Bill, or the UK Bill, has been introduced into parliament. If passed, the final version of the UK Bill may have the effect of further altering the similarities between the UK and EEA data protection regime and threaten the UK Adequacy Decision from the European Commission, or EC. This may lead to additional compliance costs and could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increase our overall risk. The respective provisions and enforcement of the EU GDPR and UK GDPR may further diverge in the future and create additional regulatory challenges and uncertainties.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GDPR imposes strict rules on the transfer of personal data out of the EEA and UK to the U.S. or other regions that have not been deemed to offer "adequate" privacy protections. On June 4, 2021, the EC issued new forms of standard contractual clauses, or SCCs, for data transfers from controllers or processors in the EEA (or otherwise subject to the EU GDPR) to controllers or processors established outside the EEA (and not subject to the EU GDPR). The new SCCs replace the SCCs that were adopted previously under the Data Protection Directive. The UK is not subject to the EC’s new SCCs but has published its own standard clauses, the International Data Transfer Agreement, which enables transfers from the UK. We will be required to continue implementing these safeguards in the event we use these safeguards as our basis for conducting restricted data transfers under the EU GDPR and UK GDPR and doing so may require significant effort and cost. If relying on the SCCs or UK IDTA for data transfers, we may also be required to carry out transfer impact assessments to assess whether the recipient is subject to local laws which allow public authority access to personal data.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July 2023, the European Commission adopted its adequacy decision for the EU-U.S. Data Privacy Framework, or the Framework, the successor of the EU-U.S. Privacy Shield framework. On the basis of the new adequacy decision, personal data can flow safely from the EU to U.S. companies participating in the Framework, without having to put in place additional data protection safeguards. There has been an extension to the Framework to cover UK and Swiss transfers to the U.S. The Framework could be challenged like its predecessor frameworks. This complexity and the additional contractual burden could increase our overall risk exposure. There may be further divergence in the future, including with regard to administrative burdens. However, the long term validity of the Framework, which has already been challenged in court, remains uncertain.</w:t>
      </w:r>
    </w:p>
    <w:p>
      <w:pPr>
        <w:pStyle w:val="TextBody"/>
        <w:bidi w:val="0"/>
        <w:spacing w:before="240" w:after="283"/>
        <w:jc w:val="left"/>
        <w:rPr>
          <w:rFonts w:ascii="Times New Roman" w:hAnsi="Times New Roman"/>
          <w:sz w:val="20"/>
        </w:rPr>
      </w:pPr>
      <w:r>
        <w:rPr>
          <w:rFonts w:ascii="Times New Roman" w:hAnsi="Times New Roman"/>
          <w:color w:val="000000"/>
          <w:sz w:val="18"/>
        </w:rPr>
        <w:t>In connection with any clinical trials in Europe, we are subject to the supervision of local data protection authorities in those jurisdictions where we are monitoring the behavior of individuals in the EEA or UK (i.e., undertaking clinical trials). If we are investigated by an EEA or UK data protection authority, we may face fines and other penalties. Any such investigation or charges by EU or UK data protection authorities could have a negative effect on our business and on our ability to commercialize our products in the future, including with EU, UK-based or multi-national pharmaceutical partners.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Further, regulators and legislators in the U.S. are increasingly scrutinizing and restricting certain personal data transfers and transactions involving foreign countries. For example, Executive Order 14117, Preventing Access to Americans’ Bulk Sensitive Personal Data and United States Government-Related Data by Countries of Concern, as implemented by Department of Justice regulations issued in December 2024,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to cross-border data protection requirements, we may be subject to various privacy laws in the United States at the state and federal level. In the United States, at the state level, for example, California Consumer Privacy Act, or CCPA, imposed a comprehensive privacy framework for covered businesses, which included an expanded definition of personal information, data privacy rights for consumers in the State of California, special rules on the collection of consumer data from minors, an</w:t>
      </w:r>
      <w:r>
        <w:rPr>
          <w:rFonts w:ascii="Times New Roman" w:hAnsi="Times New Roman"/>
          <w:color w:val="000000"/>
          <w:sz w:val="20"/>
        </w:rPr>
        <w:t xml:space="preserve">d </w:t>
      </w:r>
      <w:r>
        <w:rPr>
          <w:rFonts w:ascii="Times New Roman" w:hAnsi="Times New Roman"/>
          <w:color w:val="000000"/>
          <w:sz w:val="18"/>
        </w:rPr>
        <w:t>provided substantial fines for non-compliance and, in some cases, a private right of action to consumers who are victims of data breaches involving their unredacted or unencrypted personal information. In addition, the California Privacy Rights Act, or CPRA, came into effect on January 1, 2023 and has expanded the privacy protections of the CCPA to also apply to personal information collected in a business to business capacity and from employment applicants, employees and former employees. The CPRA significantly modified the CCPA, including by expanding consumers’ rights with respect to certain sensitive personal information. The effects of the CCPA are potentially significant and may require us to modify our data collection or processing practices and policies and to incur substantial costs and expenses in an effort to comply and increase our potential exposure to regulatory enforcement and/or litigation. Furthermore, a number of other states have either proposed or enacted comprehensive consumer privacy laws similar to the CCPA, many of which vary in complexity and may be interpreted and enforced differently, thus potentially complicating our compliance efforts. In Washington, for example, the My Health My Data Act, or MHMDA, entered into force on March 31, 2024, and includes a broad private right of action. Seventeen other states passed privacy legislation, which will come into force over the next several years. While these laws generally have exceptions for protected health information that is subject to HIPAA and for information collected in the context of clinical trials, they may nevertheless impact our business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There are also states that are specifically regulating health information or other specific types of information. For example, Connecticut and Nevada have passed similar laws regulating consumer health data. In addition, other states have proposed and/or passed legislation that regulates the privacy and/or security of certain specific types of information. For example, a small number of states, such as Illinois and Texas,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 candidates, if approved. State laws are changing rapidly and there is discussion in the U.S. Congress of a new comprehensive federal data privacy law to which we may likely become subject, if enacted.</w:t>
      </w:r>
    </w:p>
    <w:p>
      <w:pPr>
        <w:pStyle w:val="TextBody"/>
        <w:bidi w:val="0"/>
        <w:spacing w:before="240" w:after="283"/>
        <w:jc w:val="left"/>
        <w:rPr>
          <w:rFonts w:ascii="Times New Roman" w:hAnsi="Times New Roman"/>
          <w:sz w:val="20"/>
        </w:rPr>
      </w:pPr>
      <w:r>
        <w:rPr>
          <w:rFonts w:ascii="Times New Roman" w:hAnsi="Times New Roman"/>
          <w:color w:val="000000"/>
          <w:sz w:val="18"/>
        </w:rPr>
        <w:t>All of these evolving compliance and operational requirements may impose significant costs, such as costs related to organizational changes, implementing additional data protection measures and technologies, training employees, and engaging consultants and legal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advisors, which costs may be likely to increase over time. In addition, such requirements may require us to modify our data processing practices and policies, utilize management’s time, and/or divert resources from other initiatives and projects. 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litigation or government investigations or enforcement actions and significant penalties against us and could have a material adverse effect on our business, financial condition, or results of operations.</w:t>
      </w:r>
    </w:p>
    <w:p>
      <w:pPr>
        <w:pStyle w:val="TextBody"/>
        <w:bidi w:val="0"/>
        <w:spacing w:before="240" w:after="283"/>
        <w:jc w:val="both"/>
        <w:rPr>
          <w:rFonts w:ascii="Times New Roman" w:hAnsi="Times New Roman"/>
          <w:b/>
          <w:i/>
          <w:color w:val="000000"/>
          <w:sz w:val="18"/>
        </w:rPr>
      </w:pPr>
      <w:r>
        <w:rPr>
          <w:rFonts w:ascii="Times New Roman" w:hAnsi="Times New Roman"/>
          <w:b/>
          <w:i/>
          <w:color w:val="000000"/>
          <w:sz w:val="18"/>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We may use and integrate artificial intelligence into our business processes, and this innovation presents risks and challenges that could affect its adoption and, therefore, our business. The use of certain artificial intelligence technology can give rise to intellectual property risks, including compromises to proprietary intellectual property and intellectual property infringement. Additionally, we expect to see increasing government and supranational regulation related to artificial intelligence use and ethics, which may also significantly increase the burden and cost of research, development, and compliance in this area. For example, the EU’s Artificial Intelligence Act, or the EU AI Act, — the world’s first comprehensive artificial intelligence law — entered into force in June 2024 and, with some exceptions, becomes effective 24 months thereafter. This legislation imposes significant obligations on providers and deployers of high risk artificial intelligence systems, and encourages providers and deployers of artificial intelligence systems to account for EU ethical principles in their development and use of these systems. Likewise, in the U.S., the regulatory environment is complex and uncertain. President Trump's Executive Order "Ensuring a National Policy Framework for Artificial Intelligence," effective December 11, 2025, tasks the U.S. Department of Justice with reviewing state laws regulating artificial intelligence, and instructs the Department of Commerce to develop a national artificial intelligence strategy. At the same time, several states, including Colorado and California, passed laws that regulate various facets of artificial intelligence, some of which have taken effect and will continue to take effect through 2026 and beyond. These laws address a wide range of artificial intelligence-related topics, including consequential decisions, transparency, training data, among others, and it remains unclear which requirements, if any, will be superseded by the Executive Order. In addition, there continues to be uncertainty regarding the application of existing federal and state legal frameworks to uses and development of artificial intelligence, and legal norms and market standards regarding artificial intelligence continue to evolve. For example, various federal and state regulators have issued guidance and focused enforcement efforts on the use of artificial intelligence in regulated sectors. The FDA, for example, issued guidance on the use of artificial intelligence in regulatory decision-making for drug and biological products that centers on the context of use while establishing a credibility assessment framework for establishing and evaluating artificial intelligence model outputs intended to support regulatory decision-making. In the future, if we develop or use artificial intelligence systems that are governed by the EU AI Act or any other artificial intelligence legislation in effect, and further informed by regulatory guidance, it may necessitate ensuring higher standards of data quality, transparency, and human oversight, as well as adhering to specific and potentially burdensome and costly ethical, accountability, and administrative requirements. We may also be subject to significant enforcement or litigation in the event of any perceived non-compliance.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pStyle w:val="TextBody"/>
        <w:bidi w:val="0"/>
        <w:spacing w:before="240" w:after="283"/>
        <w:jc w:val="left"/>
        <w:rPr>
          <w:rFonts w:ascii="Times New Roman" w:hAnsi="Times New Roman"/>
          <w:sz w:val="20"/>
        </w:rPr>
      </w:pPr>
      <w:r>
        <w:rPr>
          <w:rFonts w:ascii="Times New Roman" w:hAnsi="Times New Roman"/>
          <w:b/>
          <w:i/>
          <w:color w:val="000000"/>
          <w:sz w:val="18"/>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similar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product candidate must be approved for reimbursement before it can be approved for sale in that jurisdiction. In some cases, the price that we may intend to charge for our products will also be subject to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In connection with the clinical development of our product candidates for certain indications, we have previously engaged and may in the future engage third parties to develop or obtain access to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 xml:space="preserve">companion diagnostic tests to identify patient subsets within a disease category who may derive selective and meaningful benefit from our product candidates. The FDA has indicated that if we continue zovegalisib in a specific biomarker-defined population, a companion diagnostic device will be required to ensure its safe and effective use. Such companion diagnostics would be used during our clinical trials as well as in connection with the commercialization of our product candidates. To be successful, we or our collaborators will need to address a number of scientific, technical, regulatory and logistical challenges. The FDA and similar foreign regulatory authorities regulate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companion diagnostics as medical devices and, under that regulatory framework, will likely require the conduct of clinical trials to demonstrate the safety and effectiveness of any diagnostics we may develop, which we expect will require separate regulatory clearance or approval prior to commercialization.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intend to rely on third parties for the design, development and manufacture of companion diagnostic tests for our therapeutic product candidates that may require such tests. In connection with such collaborative agreements, we will be dependent on the sustained cooperation and effort of our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collaborators may encounter difficulties in developing, obtaining regulatory approval for, manufacturing and commercializing companion diagnostics similar to those we face with respect to our therapeutic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of these therapeutic product candidates may be adversely affected, these therapeutic product candidates may not obtain marketing approval, and we may not realize the full commercial potential of any of these therapeutics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Existing regulatory policies may change, and additional government regulations may be enacted that could prevent, limit or delay regulatory approval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June 2024, the U.S. Supreme Court overruled the Chevron doctrine, which gives deference to regulatory agencies’ statutory interpretations in litigation against federal government agencies, such as the FDA, where the law is ambiguous.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Anti-bribery, Anti-corruption and Other Government Regulations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Laws and regulations governing any international operations we may have in the future may preclude us from developing, manufacturing and selling certain products outside of the United States and require us to develop and implement costly compliance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have engaged and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Although we do not currently have any products on the market, if we begin commercializing our product candidates, we will be subject to additional healthcare statutory and regulatory requirements and enforcement by the federal government and the states and governments of foreign jurisdictions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See </w:t>
      </w:r>
      <w:r>
        <w:rPr>
          <w:rFonts w:ascii="Times New Roman" w:hAnsi="Times New Roman"/>
          <w:i/>
          <w:color w:val="000000"/>
          <w:sz w:val="18"/>
        </w:rPr>
        <w:t xml:space="preserve">"Business – Government Regulation – Other Healthcare Laws" </w:t>
      </w:r>
      <w:r>
        <w:rPr>
          <w:rFonts w:ascii="Times New Roman" w:hAnsi="Times New Roman"/>
          <w:color w:val="000000"/>
          <w:sz w:val="18"/>
        </w:rPr>
        <w:t>in our Annual Report on Form 10-K for the year ended December 31, 2025.</w:t>
      </w:r>
    </w:p>
    <w:p>
      <w:pPr>
        <w:pStyle w:val="TextBody"/>
        <w:bidi w:val="0"/>
        <w:spacing w:before="240" w:after="283"/>
        <w:jc w:val="left"/>
        <w:rPr>
          <w:rFonts w:ascii="Times New Roman" w:hAnsi="Times New Roman"/>
          <w:sz w:val="20"/>
        </w:rPr>
      </w:pPr>
      <w:r>
        <w:rPr>
          <w:rFonts w:ascii="Times New Roman" w:hAnsi="Times New Roman"/>
          <w:color w:val="000000"/>
          <w:sz w:val="18"/>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individual imprisonment, reputational harm, exclusion from government funded healthcare programs, such as Medicare and Medicaid,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may be subject to criminal, civil or administrative sanctions, including exclusions from government funded healthcare programs and imprisonment. If any of the above occur, our ability to operate our business and our results of operations could be adversely affected.</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Regulatory Review of Certain Drug Development Designations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seek priority review designation for one or more of our product candidates, but we might not receive such designation, and even if we do, such designation may not lead to a faster regulatory review or approval process.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seek orphan drug designation for certain of our product candidates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part of our business strategy, we may seek orphan drug designation for certain of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Similarly, in the EU, the European Commission, upon the recommendation of the EMA’s Committee for Orphan Medicinal Products, grants orphan designation in respect of a product if it can be shown that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the condition. In the EU, orphan designation entitles a party to financial incentives such as reduction of fees or fee waivers.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Generally, if a drug with an orphan drug designation subsequently receives the first marketing approval for the indication for which it has such designation, the drug is entitled to a period of marketing exclusivity, which precludes the FDA or the EMA from approving another marketing application for the same drug and approved use or indication for that time period, except in limited circumstances. The applicable period is seven years in the United States and ten years in the EU. The EU exclusivity period can be reduced to six years if, at the end of the fifth year, it is established that a product no longer meets the criteria for orphan designation, including if the product is sufficiently profitable so that market exclusivity is no longer justified. The European Commission introduced a legislative proposal in April 2023 that, if implemented, could reduce the current ten-year marketing exclusivity period in the EU for certain orphan medicines.</w:t>
      </w:r>
    </w:p>
    <w:p>
      <w:pPr>
        <w:pStyle w:val="TextBody"/>
        <w:bidi w:val="0"/>
        <w:spacing w:before="240" w:after="283"/>
        <w:jc w:val="left"/>
        <w:rPr>
          <w:rFonts w:ascii="Times New Roman" w:hAnsi="Times New Roman"/>
          <w:sz w:val="20"/>
        </w:rPr>
      </w:pPr>
      <w:r>
        <w:rPr>
          <w:rFonts w:ascii="Times New Roman" w:hAnsi="Times New Roman"/>
          <w:color w:val="000000"/>
          <w:sz w:val="18"/>
        </w:rPr>
        <w:t>Even if we obtain orphan drug exclusivity for a drug, that exclusivity may not effectively protect the drug from competition because different drugs can be approved for the same approved use or indication. Even after an orphan drug is approved, the FDA can subsequently approve a later drug for the same approved use or indication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 Orphan drug designation neither shortens the development time or regulatory review time of a drug nor gives the drug any advantage in the regulatory review or approval process. While we may seek orphan drug designation for certain of our product candidates, we may never receive such designations. Even if we do receive such designations, there is no guarantee that we will enjoy the benefits of those designations. In addition, the FDA may further reevaluate the Orphan Drug Act and its regulations and policies. We do not know if, when, or how the FDA may change the orphan drug regulations and policies in the future, and it is uncertain how 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changes might affect our business. Depending on what changes the FDA may make to its orphan drug regulations and policies, our business could be adversely impacted.</w:t>
      </w:r>
    </w:p>
    <w:p>
      <w:pPr>
        <w:pStyle w:val="TextBody"/>
        <w:bidi w:val="0"/>
        <w:spacing w:before="240" w:after="283"/>
        <w:jc w:val="left"/>
        <w:rPr>
          <w:rFonts w:ascii="Times New Roman" w:hAnsi="Times New Roman"/>
          <w:sz w:val="20"/>
        </w:rPr>
      </w:pPr>
      <w:r>
        <w:rPr>
          <w:rFonts w:ascii="Times New Roman" w:hAnsi="Times New Roman"/>
          <w:b/>
          <w:i/>
          <w:color w:val="000000"/>
          <w:sz w:val="18"/>
        </w:rPr>
        <w:t>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marketing approval in the United States.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February 2026, we announced that the FDA granted breakthrough therapy designation to zovegalisib in combination with fulvestrant for the treatment of adults with PIK3CA mutant HR+/HER2- locally advanced or metastatic breast cancer following recurrence or progression on or after treatment with a CDK4/6 inhibitor. We may also seek a breakthrough therapy designation for some of our other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seek approval of our product candidates, where applicable, under the FDA's accelerated approval pathway. This pathway, even if granted for any of our current or future product candidates, may not lead to a faster development or regulatory review or approval process and it does not increase the likelihood that our product candidates will receive marketing approval in the United States.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seek accelerated approval of our current and/or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If granted, accelerated approval is usually contingent on the sponsor’s agreement to conduct, in a diligent manner, additional post-approval confirmatory studies to verify and describe the drug’s clinical benefit. Under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do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may seek approval of one or more of our product candidates into real-time oncology review, or RTOR. This program may not lead to a faster regulatory review or approval process and does not increase the likelihood that our product candidate(s) will receive marketing approval.</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Participation in RTOR is voluntary. Our acceptance into RTOR does not guarantee or influence approval of our application, which is subject to the same statutory and regulatory requirements for approval as applications that are not included in RTOR. Although early approvals have occurred with applications selected for RTOR, this may not be the case for our application even if it is selected for RTOR. If at any time the FDA determines our participation in RTOR, if selected, is no longer appropriate, the FDA may rescind our acceptance and instruct us to follow routine submission procedures for marketing approval.</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Healthcare Legislative Reform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The FDA, the EMA and other regulatory authorities may implement additional regulations or restrictions on the development and commercialization of our product candidates, and such changes can be difficult to predict.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Healthcare legislative reform measures may have a material adverse effect on our business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See "</w:t>
      </w:r>
      <w:r>
        <w:rPr>
          <w:rFonts w:ascii="Times New Roman" w:hAnsi="Times New Roman"/>
          <w:i/>
          <w:color w:val="000000"/>
          <w:sz w:val="18"/>
        </w:rPr>
        <w:t>Business – Governmental Regulation – Current and future healthcare reform legislation</w:t>
      </w:r>
      <w:r>
        <w:rPr>
          <w:rFonts w:ascii="Times New Roman" w:hAnsi="Times New Roman"/>
          <w:color w:val="000000"/>
          <w:sz w:val="18"/>
        </w:rPr>
        <w:t>" in our Annual Report on Form 10-K for the year ended December 31, 2025.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 in light of the higher proportion of SCD patients that utilize Medicare and Medicaid programs to pay for treatments. 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August 2022, the Inflation Reduction Act of 2022, or the IRA, was signed into law.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delaying until January 1, 2032 the implementation of the HHS rebate rule that would have limited the fees that pharmacy benefit managers can charge. Further, under the IRA, orphan drugs were previously exempted from the Medicare drug price negotiation program; however, this exemption was restricted to drugs with only one orphan designation and for which the only approved indication is for that disease or condition. If a product received multiple orphan designations or had multiple approved indications, it would not qualify for the orphan drug exemption. Under the One Big Beautiful Bill Act of 2025, this restriction was eliminated; and effective for the 2028 initial price applicability year, all orphan drugs, regardless of the number of orphan drug designations or indications, are exempt from the Medicare drug price negotiation program. The implementation of the IRA is currently subject to ongoing litigation challenging the constitutionality of the IRA’s Medicare drug price negotiation program. Although the effects of the IRA on our business and the healthcare industry in general are not yet known, we are taking into consideration the potential impact of the IRA on our development and commercialization activities.</w:t>
      </w:r>
    </w:p>
    <w:p>
      <w:pPr>
        <w:pStyle w:val="TextBody"/>
        <w:bidi w:val="0"/>
        <w:spacing w:before="240" w:after="283"/>
        <w:jc w:val="left"/>
        <w:rPr>
          <w:rFonts w:ascii="Times New Roman" w:hAnsi="Times New Roman"/>
          <w:sz w:val="20"/>
        </w:rPr>
      </w:pPr>
      <w:r>
        <w:rPr>
          <w:rFonts w:ascii="Times New Roman" w:hAnsi="Times New Roman"/>
          <w:color w:val="000000"/>
          <w:sz w:val="18"/>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IRA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Trump administration will take additional aggressive action (for example, examining whether marketing approvals should be modified or rescinded or opening the door for individual drug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or MFN, pricing rule enacted under the first Trump administration was subject to an injunction resulting from judicial challenges to the rule, which was formally rescinded by the former Biden administration in August 2021.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 December 19, 2025, CMS released two proposed rules that would incorporate MFN pricing principles into federal reimbursement for prescription drugs. The first proposal, the Global Benchmark for Efficient Drug Pricing Model, or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or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or GENEROUS Model, a voluntary MFN framework for manufacturers participating in the Medicaid Drug Rebate Program. Although it is voluntary, the GENEROUS Model could also impact the drug pricing landscape for manufacturers.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demand for our current or future product candidates, if we obtain regulatory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set a price that we believe is fair for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obtain coverage and reimbursement approval for a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generate revenue and achieve or maintain profitability;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level of taxes that we are required to pay;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availability of capital.</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reduction in reimbursement from Medicare or other government programs may result in a similar reduction in payments from private payors, which may adversely affect our future profitability.</w:t>
      </w:r>
    </w:p>
    <w:p>
      <w:pPr>
        <w:pStyle w:val="TextBody"/>
        <w:bidi w:val="0"/>
        <w:spacing w:before="240" w:after="283"/>
        <w:jc w:val="left"/>
        <w:rPr>
          <w:rFonts w:ascii="Times New Roman" w:hAnsi="Times New Roman"/>
          <w:sz w:val="20"/>
        </w:rPr>
      </w:pPr>
      <w:r>
        <w:rPr>
          <w:rFonts w:ascii="Times New Roman" w:hAnsi="Times New Roman"/>
          <w:b/>
          <w:i/>
          <w:color w:val="000000"/>
          <w:sz w:val="18"/>
        </w:rPr>
        <w:t>Recent federal legislation and actions by federal, state and local governments may permit reimportation of drugs from foreign countries into the United States, including foreign countries where the drugs are sold at lower prices than in the United States, which could materially adversely affect our operating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face competition in the United States for our development candidates and investigational medicines, if approved, from therapies sourced from foreign countries that have placed price controls on pharmaceutical products. In the United States, the Medicare Modernization Act, or MMA, contains provisions that call for the promulgation of regulations that expand pharmacists’ and wholesalers’ ability to import cheaper versions of an approved drug and competing products from Canada, where there are government price controls. Further, the MMA provides that these changes to U.S. importation laws will not take effect, unless and until the Secretary of the HHS certifies that the changes will pose no additional risk to the public’s health and safety and will result in a significant reduction in the cost of products to consumers. On September 23, 2020, the Secretary of the HHS made such certification to Congress, and on October 1, 2020,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On January 5, 2024, the FDA issued to Florida the first approval for a state importation plan. Several states now have pending applications with the FDA, including Colorado, Maine, New Hampshire, and New Mexico. If successfully implemented, importation of drugs from Canada may materially and adversely affect the price we receive for any of our product candidates. Legislation or regulations allowing the reimportation of drugs, if enacted, could decrease the price we receive for any products that we may develop and adversely affect our future revenues and prospects for profitability.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further stated it will not publish a National Average Drug Acquisition Cost for these drugs. Separately, the FDA also issued a final guidance document outlining a pathway for manufacturers to obtain an additional National Drug Code, or NDC, for an FDA-approved drug that was originally intended to be marketed in a foreign country and that was authorized for sale in that foreign country. The market implications of the final rule and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the Regulatory Agency Review Process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Disruptions at the FDA, the SEC and other government agencies caused by funding shortages or global health concerns, in addition to substantial uncertainty regarding the Trump administration’s initiatives and staffing cuts and how these might impact the FDA, its implementation of laws, regulations, policies and guidance, and its personnel,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ability of the FDA to review and approve new products can be affected by a variety of factors, including government budget and funding levels, global health concerns,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left"/>
        <w:rPr>
          <w:rFonts w:ascii="Times New Roman" w:hAnsi="Times New Roman"/>
          <w:sz w:val="20"/>
        </w:rPr>
      </w:pPr>
      <w:r>
        <w:rPr>
          <w:rFonts w:ascii="Times New Roman" w:hAnsi="Times New Roman"/>
          <w:color w:val="000000"/>
          <w:sz w:val="18"/>
        </w:rPr>
        <w:t>Disruptions at the FDA and other agencies, including leadership departures, personnel cuts, and policy changes, may also slow the time necessary for new drugs to be reviewed and/or approved by necessary government agencies, which would adversely affect our business. Changes and cuts in FDA staffing have been reported within the pharmaceutical industry as creating instances of delays in the FDA’s responsiveness or in its ability to review investigational new drug, or IND, submissions or applications, issue regulations or guidance, or implement or enforce regulatory requirements in a timely fashion or at all. For example, over the last several years the U.S. government has shut down several times such as in October 2025 and certain regulatory agencies, such as the FDA and the SEC, have had to furlough critical government employees and stop critical activities. A prolonged government shutdown, significant leadership, personnel, and/or policy changes, or substantial modification in agency activities (including due to global health concerns or geopolitical factors) could significantly impact the ability of the FDA or other regulatory authorities to conduct their regular inspections, reviews, or other regulatory activities. A prolonged shutdown could significantly impact the ability of the FDA to timely review and process our regulatory submissions, which could have a material adverse effect on our business, including INDs placed on clinical holds or delayed new drug approvals. Further, in our operations as a public company, future government shutdowns could impact our ability to access the public markets and obtain necessary capital in order to properly capitalize and continue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With the changes being implemented by the Trump administration beginning in 2025, there is substantial uncertainty as to the extent and how the Trump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Some of these efforts have manifested to date in the form of personnel cuts and measures that could impact the FDA’s ability to hire and retain key personnel, which could result in delays or limitations on our ability to obtain guidance from the FDA on our product candidates in development and obtain the requisite regulatory approvals in the future. There remains general uncertainty regarding future activities. The Trump administration could issue or promulgate executive orders, regulations, policies or guidance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as a result of the Trump administration, there could be a material adverse effect on us and our business.</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Employee Matters and Managing Growth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Employee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future success depends on our ability to retain key executives and experienced scientific and clinical personnel to attract, retain and motivate qualified personnel.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highly dependent on the research and development, clinical and business development expertise of the principal members of our management, scientific and clinical team.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business strategy will be limited.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employees, principal investigators, CROs and consultants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or other nonclinical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The increasing use of social media platforms presents risks and challenges.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and our employees utilize social media tools as a means of communication externally. Despite our efforts to monitor evolving social media communication guidelines and comply with applicable rules, there is risk that the use of social media by us or our employees to communicate about our product candidates, operations, or business may cause us to be found in violation of applicable legal or contractual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collaboration partners, and others, and which could have an adverse effect on our business, financial conditions, and results of operations. Furthermore, negative posts or comments about us or our product candidates in social media could seriously damage our reputation, brand image, and goodwill.</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our product candidates under an expanded access policy, our reputation may be negatively affected and our business may be harmed.</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Environmental, social, and governance matters may impact our business and reputation.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to the changing rules and regulations related to environmental, social and governance, or ESG, matters imposed by governmental and self-regulatory organizations, a variety of third-party organizations, institutional investors and customers evaluate the performance of companies on ESG topics, and the results of these assessments are widely publicized. These changing rules, regulations and stakeholder expectations may result in increased general and administrative expenses and increased management time and attention spent complying with or meeting such regulations and expectations. Reduced access to or increased cost of capital may occur as financial institutions and investors increase expectations related to ESG matters.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Furthermore,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within the scope of ESG on a timely basis, or at all, our reputation, business, financial performance and growth could be adversely affected. In addition, in recent years "anti-ESG" sentiment has gained momentum across the U.S., with several states and Congress having proposed or enacted "anti-ESG" policies, legislation, or initiatives or issued related legal opinions, and the President having recently issued an executive order opposing diversity equity and inclusion, or DEI, initiatives in the private sector. Such anti-ESG and anti-DEI-related policies, legislation, initiatives, litigation, legal opinions, and scrutiny could result in us facing additional compliance obligations, becoming the subject of investigations and enforcement actions, or sustaining reputational harm.</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Growth and Acquisitions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expect to expand our development and regulatory capabilities in the future and potentially implement sales, marketing and distribution capabilities,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March 31, 2026, we had 193 full-time employees. In the future, we expect to experience significant growth in the number of our employees and the scope of our operations, particularly in the areas of pharmaceutical and clinical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acquisitions expose us to risks that could adversely affect our business, and we may not achieve the anticipated benefits of acquisitions of businesses or technologies.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a part of our business strategy, we may make selected acquisitions of complementary products and/or businesses. Any acquisition involves numerous risks and operational, financial, and managerial challenges, including the following, any of which could adversely affect our business, financial condition, or results of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difficulties in integrating new operations, technologies, products, and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challenges maintaining uniform procedures, controls and policies with respect to our financial accounting systems;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lack of synergies or the inability to realize expected synergies and cost-savings;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underperformance of any acquired technology, product, or business relative to our expectations and the price we paid;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negative near-term impacts on financial results after an acquisition, including acquisition-related earnings charges;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potential loss of key employees, customers, and strategic partners of acquired companies;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claims by terminated employees and shareholders of acquired companies or other third parties related to the transaction;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assumption or incurrence of additional debt obligations or expenses, or use of substantial portions of our cash;</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issuance of equity securities to finance or as consideration for any acquisitions that dilute the ownership of our stockholders;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issuance of equity securities to finance or as consideration for any acquisitions may not be an option if the price of our common stock is low or volatile which could preclude us from completing any such acquisitions;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collaboration, strategic alliance and licensing arrangement may require us to relinquish valuable rights to our technologies or product candidates, or grant licenses on terms that are not favorable to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diversion of management’s attention and company resources from existing operations of the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inconsistencies in standards, controls, procedures, and policies;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impairment of intangible assets as a result of technological advancements, or worse-than-expected performance of acquired companies;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assumption of, or exposure to, historical liabilities of the acquired business, including unknown contingent or similar liabilities that are difficult to identify or accurately quantify;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risks associated with acquiring intellectual property, including potential disputes regarding acquired companies’ intellectual property.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the successful integration of acquired businesses requires significant efforts and expense across all operational areas. There can be no assurance that any of the acquisitions we may make will be successful or will be, or will remain, profitable. Our failure to successfully address the foregoing risks may prevent us from achieving the anticipated benefits from any acquisition in a reasonable time frame, or at all.</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Business Disruptions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internal information technology systems, or those of our third-party collaborators and/or partners, may fail or suffer cybersecurity breaches,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integrity, and availability of such information. We also have outsourced elements of our operations to third parties, and as a result we collaborate with a number of third-party CROs, vendors, and other contractors and consultants who have access to our confidential information.</w:t>
      </w:r>
    </w:p>
    <w:p>
      <w:pPr>
        <w:pStyle w:val="TextBody"/>
        <w:bidi w:val="0"/>
        <w:spacing w:before="240" w:after="283"/>
        <w:jc w:val="left"/>
        <w:rPr>
          <w:rFonts w:ascii="Times New Roman" w:hAnsi="Times New Roman"/>
          <w:sz w:val="20"/>
        </w:rPr>
      </w:pPr>
      <w:r>
        <w:rPr>
          <w:rFonts w:ascii="Times New Roman" w:hAnsi="Times New Roman"/>
          <w:color w:val="000000"/>
          <w:sz w:val="18"/>
        </w:rPr>
        <w:t>We have implemented and maintain a cybersecurity risk management program that includes processes for the identification, assessment and mitigation of cybersecurity risks. Due to the size and complexity and the increasing amounts of confidential information that are maintained, our internal information technology systems and infrastructure and those of our third-party CROs, vendors and other contractors and consultants are potentially vulnerable to breakdown or other damage, service interruptions, system malfunction, natural disasters, terrorism and telecommunication and electrical failures, as well as cyber-attacks or security compromises, cybersecurity incidents, or data breaches from inadvertent or intentional actions by our employees, third-party CROs, vendors, contractors, consultants and/or third parties with whom we do business, or from cyber-attacks or security compromises, incidents, or data breaches by malicious third parties (including the deployment of harmful malware, ransomware, digital extortion, denial-of-service attacks, supply chain attacks, social engineering (including phishing attacks) and business email compromises, and other means to affect service reliability and threaten the confidentiality, integrity, availability, and security of systems, infrastructure or information), which may compromise our systems and infrastructure or those of our partners, third-party CROs, vendors, contractors, consultants and/or third parties with whom we do business, or lead to data leakage or compromise. If such an event were to occur, it could result in legal claims or proceedings, liability or financial loss under laws that protect the privacy of personal information, damage to our reputation, and interruptions in our operations, which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similar events relating to the information technology systems of our third-party collaborators who we rely on for the manufacture of our product candidates and to conduct clinical trials could also have a material adverse effect on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risk of a cybersecurity incident, breach or disruption, particularly through cyber-attacks or cyber intrusion, including by computer hackers, insider threats, foreign governments, and cyber threat actors, has generally increased as the frequency, persistence, intensity and sophistication of attempted attacks and intrusions from around the world have increased.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insider threats and outside groups such as external service providers, organized crime affiliates, terrorist organizations or hostile foreign governments or agencies, or generated using artificial intelligence. In addition, changes in how our employees work and access our systems, which began during the COVID-19 pandemic and continue today, when part of our workforce is working remotely, could also</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lead to opportunities for bad actors to launch cyber-attacks or for employees to cause inadvertent or intentional security risks or incidents. The prevalent use of mobile devices also increases the risk of data security incidents.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are also subject to legal obligations concerning cyber security. For example, as a company handling employee information of individuals who reside in Massachusetts, we are required to comply with the Massachusetts Data Security Regulations (201 CMR 17.00), which require the development and implementation of a Comprehensive Written Information Security Program and the maintenance of specific information security protections.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While we have not directly experienced any material system failure, accident or cybersecurity incident or breach to date, like others in our industry we and our vendors have experienced, and may in the future continue to experience, threats and cybersecurity incidents and other attempts to disrupt or gain unauthorized access to our and our third-party vendors’ information systems. We cannot guarantee that our data protection efforts and our investment in information technology will prevent significant breakdowns, data leakages, or cybersecurity incidents or breaches in or compromises of our systems or those of third-party CROs, vendors, contractors, consultants and/or third parties with whom we do business.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liability insurance at levels that we believe are appropriate for our business, we cannot assure our investors that it will be sufficient in type or amount to cover us against all claims related to security compromises or breaches, cyberattacks and other related breaches. To the extent that any disruption or security compromises, cybersecurity incident, or data breach were to result in a loss of, or damage to, our systems, infrastructure, data or applications, or inappropriate disclosure of confidential or proprietary information, we could incur liability, our competitive position could be harmed, the further development and commercialization of our product candidates or any future product candidates could be hindered or delayed, we could be required to expend significant amounts of money and other resources to repair, remediate, or replace our information systems or networks, the market perception of the effectiveness of our security measures could be harmed and our reputation and credibility could be damaged. Furthermore, any failure or perceived failure by us or any third-party collaborators, service providers, contractors or consultants to comply with our privacy, confidentiality, data security or similar obligations to third parties, or any cybersecurity incidents or data breaches that result in the unauthorized access, use, acquisition, disclosure, release or transfer of confidential or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cybersecurity incidents and data breaches can be difficult to detect, and any delay in identifying or remediating them may lead to increased harm. While we have implemented data security measures intended to protect our information technology systems and infrastructure, there can be no assurance that such measures will successfully prevent service interruptions, or cybersecurity incidents, or data breaches.</w:t>
      </w:r>
    </w:p>
    <w:p>
      <w:pPr>
        <w:pStyle w:val="TextBody"/>
        <w:bidi w:val="0"/>
        <w:spacing w:before="240" w:after="283"/>
        <w:jc w:val="left"/>
        <w:rPr>
          <w:rFonts w:ascii="Times New Roman" w:hAnsi="Times New Roman"/>
          <w:sz w:val="20"/>
        </w:rPr>
      </w:pPr>
      <w:r>
        <w:rPr>
          <w:rFonts w:ascii="Times New Roman" w:hAnsi="Times New Roman"/>
          <w:b/>
          <w:i/>
          <w:color w:val="000000"/>
          <w:sz w:val="18"/>
        </w:rPr>
        <w:t>If we fail to comply with applicable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Compliance with applicable environmental, health and safety laws and regulations is expensive, and current or future environmental regulations may impair our business, prospects,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current operations are located in Massachusetts; however, we rely on third parties, including those that are located outside the United States, and we or the third parties upon whom we depend may be adversely affected by natural disasters or other unplanned events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current operations are located in Massachusetts. Any unplanned event, such as flood, fire, explosion, earthquake, extreme weather condition, medical epidemics, geopolitical conflicts, power shortage, telecommunication failure or other natural or man-made accidents or incidents that result in us being unable to fully utilize our facilities, or the facilities of our third-party contract manufacturers or CROs,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Natural disasters or pandemics similar to the COVID-19 pandemic could disrupt our operations and have a material and adverse effect on our business, financial condition, results of operations and prospects. If a natural disaster, power outage or other event occurred that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prevented us from using all or a significant portion of our headquarters, that damaged critical infrastructure, such as our research facilities or the facilities of our third-party contract manufacturers or CROs,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facilities of our third-party contract manufacturers or CROs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Trading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The trading price of our common stock historically has been volatile, which may affect the price at which you could sell any shares of our common stock. Securities class action or other litigation involving our company or members of our management team could also substantially harm our business,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market price for our common stock historically has been volatile and could continue to be subject to wide fluctuations in response to various factors. Since shares of our common stock were sold in our initial public offering, or IPO, in July 2020 at a price of $20.00 per share, our stock price has fluctuated significantly, ranging from an intraday low of $1.78 to an intraday high of $64.37 through May 1, 2026. This volatility may affect the price at which you could resell the common stock. Our stock price is likely to continue to be volatile and subject to significant price and volume fluctuations in response to market and other factors, including the factors described below. The stock market in general and Nasdaq and the market for biopharmaceutical companies in particular, have experienced extreme volatility that has often been unrelated or disproportionate to the operating performance of these companies.</w:t>
      </w:r>
    </w:p>
    <w:p>
      <w:pPr>
        <w:pStyle w:val="TextBody"/>
        <w:bidi w:val="0"/>
        <w:spacing w:before="240" w:after="283"/>
        <w:jc w:val="left"/>
        <w:rPr>
          <w:rFonts w:ascii="Times New Roman" w:hAnsi="Times New Roman"/>
          <w:sz w:val="20"/>
        </w:rPr>
      </w:pPr>
      <w:r>
        <w:rPr>
          <w:rFonts w:ascii="Times New Roman" w:hAnsi="Times New Roman"/>
          <w:color w:val="000000"/>
          <w:sz w:val="18"/>
        </w:rPr>
        <w:t>The market price for our common stock may be influenced by many factors,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success of competitive products or technologies;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results of clinical trials of our product candidates or those of our competitors;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regulatory or legal developments in the United States and other countries;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developments or disputes concerning patent applications, issued patents or other proprietary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recruitment or departure of key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level of expenses related to any of our product candidates or clinical development programs;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results of our efforts to discover, develop, acquire or in-license additional product candidates or products;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actual or anticipated changes in estimates as to financial results, development timelines or recommendations by securities analysts;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sales of a substantial number of shares of our common stock in the public market, or the perception in the market that the holders of a large number of shares intend to sell shares;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variations in our financial results or those of companies that are perceived to be similar to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changes in the structure of healthcare payment systems;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market conditions in the pharmaceutical and biotechnology sectors;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general economic, industry and market conditions;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other factors described in this "Risk Factors" section.</w:t>
      </w:r>
    </w:p>
    <w:p>
      <w:pPr>
        <w:pStyle w:val="TextBody"/>
        <w:bidi w:val="0"/>
        <w:spacing w:before="240" w:after="283"/>
        <w:jc w:val="left"/>
        <w:rPr>
          <w:rFonts w:ascii="Times New Roman" w:hAnsi="Times New Roman"/>
          <w:sz w:val="20"/>
        </w:rPr>
      </w:pPr>
      <w:r>
        <w:rPr>
          <w:rFonts w:ascii="Times New Roman" w:hAnsi="Times New Roman"/>
          <w:color w:val="000000"/>
          <w:sz w:val="18"/>
        </w:rPr>
        <w:t>In the past, companies that have experienced volatility in the market price of their stock have been subject to securities class action litigation. We have been the target of and may in the future be the target of litigation brought by our stockholders. The outcome of such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pending and potential litigation is uncertain. If any of our stockholders were to bring a lawsuit against us, even if the lawsuit is without merit, we could incur substantial costs defending the lawsuit. Although the results of lawsuits and claims cannot be predicted with certainty, defending against such claims could be costly and divert our management’s attention from other business concerns, which could seriously harm our business. Any litigation to which we become a party may result in an onerous or unfavorable judgment, or may be resolved with a monetary payment.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An active trading market for our common stock may not be sustained.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 and may impair our ability to acquire other companies or technologies by using our shares as consideration.</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Dividends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Because we do not anticipate paying any cash dividends on our capital stock in the foreseeable future, capital appreciation, if any, will be your sole source of gain.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General Risk Factors</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Insider Control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executive officers, directors, principal stockholders and their affiliates exercise significant control over our company, which will limit your ability to influence corporate matters and could delay or prevent a change in corporate control.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March 31, 2026, the holdings of our executive officers, directors, principal stockholders and their affiliates, represented beneficial ownership, in the aggregate, of approximately 51.2% of our outstanding common stock.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may have interests, with respect to their common stock, that are different from those of our public market investors and the concentration of voting power among these stockholders may have an adverse effect on the price of our common stock. In addition, this concentration of ownership might adversely affect the market price of our common stock by:</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delaying, deferring or preventing a change of control of us;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impeding a merger, consolidation, takeover or other business combination involving us;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discouraging a potential acquirer from making a tender offer or otherwise attempting to obtain control of us.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Tax</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 Section 382 of the Internal Revenue Code of 1986, as amended, or the IRC,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experience ownership changes in the future as a result of subsequent shifts in our stock ownership. As of December 31, 2025, we had federal net operating loss carryforwards of approximately $923.9 million, and our ability to utilize those net operating loss carryforwards could be limited by an "ownership change" as described above.</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Tax reform legislation could adversely affect our business and financial condition.</w:t>
      </w:r>
    </w:p>
    <w:p>
      <w:pPr>
        <w:pStyle w:val="TextBody"/>
        <w:bidi w:val="0"/>
        <w:spacing w:before="240" w:after="283"/>
        <w:jc w:val="left"/>
        <w:rPr>
          <w:rFonts w:ascii="Times New Roman" w:hAnsi="Times New Roman"/>
          <w:sz w:val="20"/>
        </w:rPr>
      </w:pPr>
      <w:r>
        <w:rPr>
          <w:rFonts w:ascii="Times New Roman" w:hAnsi="Times New Roman"/>
          <w:color w:val="000000"/>
          <w:sz w:val="18"/>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Future changes in tax laws could have a material adverse effect on our business, cash flow, financial condition or results of operations.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You are urged to consult your tax advisor regarding the implications of potential changes in tax laws on an investment in our common stock.</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Operating as a Public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have incurred and will continue to incur significant costs as a result of operating as a public company, and our management has devoted and will continue to devote substantial time to compliance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a public company, we have incurred and expect to incur significant legal, accounting and other expenses.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may continue to increase our legal and financial compliance costs and will make some activities more time-consuming and costly.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Pursuant to Section 404 of the Sarbanes-Oxley Act of 2002, or Section 404, we are required to furnish a report by our management on our internal control over financial reporting. We are required to include with our annual reports an attestation report on internal control over financial reporting issued by our independent registered public accounting firm.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This could result in an adverse reaction in the financial markets due to a loss of confidence in the reliability of our financial statements. In addition, if we are not able to continue to meet these requirements, we may not be able to remain listed on Nasdaq.</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Our Charter and Bylaws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Anti-takeover provisions in our charter documents and under Delaware law could make an acquisition of us, which may be beneficial to our stockholders, more difficult and may prevent attempts by our stockholders to replace or remove our current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fourth amended and restated certificate of incorporation, as amended, or the Certificate of Incorporation, and our second amended and restated bylaws, or the Bylaws, contain provisions that could delay or prevent a change of control of our company or changes in our board of directors that our stockholders might consider favorable. Some of these provisions include: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board of directors divided into three classes serving staggered three-year terms, such that not all members of the board will be elected at one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prohibition on stockholder action through written consent, which requires that all stockholder actions be taken at a meeting of our stockholders;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advance notice requirements for stockholder proposals and nominations for election to our board of directors;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requirement that no member of our board of directors may be removed from office by our stockholders except for cause and, in addition to any other vote required by law, upon the approval of not less than two-thirds (2/3) of all outstanding shares of our voting stock then entitled to vote in the election of directors;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authority of the board of directors to issue preferred stock on terms determined by the board of directors without stockholder approval, which preferred stock may include rights superior to the rights of the holders of common stock.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Bylaws designate specific courts as the exclusive forum for certain litigation that may be initiated by our stockholders, which could limit our stockholders’ ability to obtain a favorable judicial forum for disputes with 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Pursuant to our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a claim based on, a breach of a fiduciary duty owed by any current or former director, officer or other employee or stockholder of ours to us or our stockholders; (3) any action asserting a claim arising pursuant to any provision of the Delaware General Corporation Law, our Bylaws or as to which the Delaware General Corporate Law confers jurisdiction on the Court of Chancery of the State of Delaware; or (4) any action asserting a claim governed by the internal affairs doctrine, or the Delaware Forum Provision. The Delaware Forum Provision will not apply to any causes of action arising under the Securities Act or the Exchange Act or to any claim for which the federal courts have exclusive jurisdiction. Our Bylaws further provide that unless we consent in writing to the selection of an alternative forum, the federal district courts of the United States of America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before="240" w:after="283"/>
        <w:jc w:val="left"/>
        <w:rPr>
          <w:rFonts w:ascii="Times New Roman" w:hAnsi="Times New Roman"/>
          <w:sz w:val="20"/>
        </w:rPr>
      </w:pPr>
      <w:r>
        <w:rPr>
          <w:rFonts w:ascii="Times New Roman" w:hAnsi="Times New Roman"/>
          <w:color w:val="000000"/>
          <w:sz w:val="18"/>
        </w:rPr>
        <w:t>We recognize that the Delaware Forum Provision and the Federal Forum Provision in our Bylaws may impose additional litigation costs on stockholders in pursuing any such claims, particularly if the stockholders do not reside in or near the State of Delaware. Additionally, the forum selection clauses in our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Securities Analysts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trading market for our common stock will rely in part on the research and reports that industry or securities analysts publish about us or our business. If one or more of the analysts covering our stock downgrade their evaluations of our stock or publishes inaccurate or unfavorable research about our business, the trading price of our stock may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18"/>
        </w:rPr>
      </w:pPr>
      <w:bookmarkStart w:id="15" w:name="item_2_unregistered_sales_equity_securit"/>
      <w:bookmarkEnd w:id="15"/>
      <w:r>
        <w:rPr>
          <w:rFonts w:ascii="Times New Roman" w:hAnsi="Times New Roman"/>
          <w:b/>
          <w:color w:val="000000"/>
          <w:sz w:val="18"/>
        </w:rPr>
        <w:t>Item 2. Unregistered Sales of Equity Securities and Use of Proceeds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18"/>
        </w:rPr>
      </w:pPr>
      <w:bookmarkStart w:id="16" w:name="item_5_other_information"/>
      <w:bookmarkEnd w:id="16"/>
      <w:r>
        <w:rPr>
          <w:rFonts w:ascii="Times New Roman" w:hAnsi="Times New Roman"/>
          <w:b/>
          <w:color w:val="000000"/>
          <w:sz w:val="18"/>
        </w:rPr>
        <w:t>Item 5. Other Information</w:t>
      </w:r>
    </w:p>
    <w:p>
      <w:pPr>
        <w:pStyle w:val="TextBody"/>
        <w:bidi w:val="0"/>
        <w:jc w:val="left"/>
        <w:rPr/>
      </w:pPr>
      <w:r>
        <w:rPr/>
        <w:t> </w:t>
      </w:r>
    </w:p>
    <w:p>
      <w:pPr>
        <w:pStyle w:val="TextBody"/>
        <w:bidi w:val="0"/>
        <w:jc w:val="left"/>
        <w:rPr>
          <w:rFonts w:ascii="Times New Roman" w:hAnsi="Times New Roman"/>
          <w:b/>
          <w:i/>
          <w:color w:val="000000"/>
          <w:sz w:val="18"/>
        </w:rPr>
      </w:pPr>
      <w:r>
        <w:rPr>
          <w:rFonts w:ascii="Times New Roman" w:hAnsi="Times New Roman"/>
          <w:b/>
          <w:i/>
          <w:color w:val="000000"/>
          <w:sz w:val="18"/>
        </w:rPr>
        <w:t>Rule 10b5-1 Trading Plans</w:t>
      </w:r>
    </w:p>
    <w:p>
      <w:pPr>
        <w:pStyle w:val="TextBody"/>
        <w:bidi w:val="0"/>
        <w:spacing w:before="240" w:after="240"/>
        <w:jc w:val="left"/>
        <w:rPr>
          <w:rFonts w:ascii="Times New Roman" w:hAnsi="Times New Roman"/>
          <w:sz w:val="20"/>
        </w:rPr>
      </w:pPr>
      <w:r>
        <w:rPr>
          <w:rFonts w:ascii="Times New Roman" w:hAnsi="Times New Roman"/>
          <w:color w:val="000000"/>
          <w:sz w:val="18"/>
        </w:rPr>
        <w:t>During the three months ended March 31, 2026, none of our directors or officers adopted, materially modified, or terminated</w:t>
      </w:r>
      <w:r>
        <w:rPr>
          <w:rFonts w:ascii="Times New Roman" w:hAnsi="Times New Roman"/>
          <w:color w:val="000000"/>
          <w:sz w:val="20"/>
        </w:rPr>
        <w:t xml:space="preserve"> </w:t>
      </w:r>
      <w:r>
        <w:rPr>
          <w:rFonts w:ascii="Times New Roman" w:hAnsi="Times New Roman"/>
          <w:color w:val="000000"/>
          <w:sz w:val="18"/>
        </w:rPr>
        <w:t>any contract, instruction, or written plan for the purchase or sale of our securities that was intended to satisfy the affirmative defense conditions of Rule 10b5-1(c) under the Exchange Act or any non-Rule 10b5-1 trading arrangement.</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18"/>
        </w:rPr>
      </w:pPr>
      <w:bookmarkStart w:id="17" w:name="exhibits"/>
      <w:bookmarkEnd w:id="17"/>
      <w:r>
        <w:rPr>
          <w:rFonts w:ascii="Times New Roman" w:hAnsi="Times New Roman"/>
          <w:b/>
          <w:color w:val="000000"/>
          <w:sz w:val="18"/>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1"/>
        <w:gridCol w:w="146"/>
        <w:gridCol w:w="9298"/>
      </w:tblGrid>
      <w:tr>
        <w:trPr/>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8" w:type="dxa"/>
            <w:tcBorders/>
            <w:vAlign w:val="center"/>
          </w:tcPr>
          <w:p>
            <w:pPr>
              <w:pStyle w:val="TableContents"/>
              <w:bidi w:val="0"/>
              <w:spacing w:before="0" w:after="283"/>
              <w:jc w:val="left"/>
              <w:rPr>
                <w:sz w:val="4"/>
                <w:szCs w:val="4"/>
              </w:rPr>
            </w:pPr>
            <w:r>
              <w:rPr>
                <w:sz w:val="4"/>
                <w:szCs w:val="4"/>
              </w:rPr>
            </w:r>
          </w:p>
        </w:tc>
      </w:tr>
      <w:tr>
        <w:trPr/>
        <w:tc>
          <w:tcPr>
            <w:tcW w:w="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w:t>
              <w:b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Description</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944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8"/>
                  <w:u w:val="single"/>
                </w:rPr>
                <w:t>Fourth Amended and Restated Certificate of Incorporation of Relay Therapeutics, Inc. (incorporated by reference to Exhibit 3.1 to the Registrant’s Form 10-K (File No. 001-39385) filed on February 23, 2023).</w:t>
              </w:r>
            </w:hyperlink>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944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8"/>
                  <w:u w:val="single"/>
                </w:rPr>
                <w:t>Second Amended and Restated Bylaws of Relay Therapeutics, Inc. (incorporated by reference to Exhibit 3.1 to the Registrant’s Form 8-K (File No. 001-39385) filed on March 11, 2026).</w:t>
              </w:r>
            </w:hyperlink>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8" w:type="dxa"/>
            <w:tcBorders/>
            <w:tcMar>
              <w:top w:w="0" w:type="dxa"/>
              <w:left w:w="0" w:type="dxa"/>
              <w:bottom w:w="0" w:type="dxa"/>
              <w:right w:w="0" w:type="dxa"/>
            </w:tcMar>
            <w:vAlign w:val="center"/>
          </w:tcPr>
          <w:p>
            <w:pPr>
              <w:pStyle w:val="TableContents"/>
              <w:bidi w:val="0"/>
              <w:spacing w:before="0" w:after="283"/>
              <w:jc w:val="left"/>
              <w:rPr/>
            </w:pPr>
            <w:hyperlink w:anchor="rlay-ex31_1.htm">
              <w:r>
                <w:rPr>
                  <w:rStyle w:val="InternetLink"/>
                  <w:rFonts w:ascii="Times New Roman" w:hAnsi="Times New Roman"/>
                  <w:color w:val="0000FF"/>
                  <w:sz w:val="18"/>
                  <w:u w:val="single"/>
                </w:rPr>
                <w:t>Certification of Principal Executive Officer Pursuant to Rules 13a-14(a) or 15d-14(a) under the Securities Exchange Act of 1934, as Adopted Pursuant to Section 302 of the Sarbanes-Oxley Act of 2002.</w:t>
              </w:r>
            </w:hyperlink>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944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8" w:type="dxa"/>
            <w:tcBorders/>
            <w:tcMar>
              <w:top w:w="0" w:type="dxa"/>
              <w:left w:w="0" w:type="dxa"/>
              <w:bottom w:w="0" w:type="dxa"/>
              <w:right w:w="0" w:type="dxa"/>
            </w:tcMar>
            <w:vAlign w:val="center"/>
          </w:tcPr>
          <w:p>
            <w:pPr>
              <w:pStyle w:val="TableContents"/>
              <w:bidi w:val="0"/>
              <w:spacing w:before="0" w:after="283"/>
              <w:jc w:val="left"/>
              <w:rPr/>
            </w:pPr>
            <w:hyperlink w:anchor="rlay-ex31_2.htm">
              <w:r>
                <w:rPr>
                  <w:rStyle w:val="InternetLink"/>
                  <w:rFonts w:ascii="Times New Roman" w:hAnsi="Times New Roman"/>
                  <w:color w:val="0000FF"/>
                  <w:sz w:val="18"/>
                  <w:u w:val="single"/>
                </w:rPr>
                <w:t>Certification of Principal Financial Officer Pursuant to Rules 13a-14(a) or 15d-14(a) under the Securities Exchange Act of 1934, as Adopted Pursuant to Section 302 of the Sarbanes-Oxley Act of 2002.</w:t>
              </w:r>
            </w:hyperlink>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944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8" w:type="dxa"/>
            <w:tcBorders/>
            <w:tcMar>
              <w:top w:w="0" w:type="dxa"/>
              <w:left w:w="0" w:type="dxa"/>
              <w:bottom w:w="0" w:type="dxa"/>
              <w:right w:w="0" w:type="dxa"/>
            </w:tcMar>
            <w:vAlign w:val="center"/>
          </w:tcPr>
          <w:p>
            <w:pPr>
              <w:pStyle w:val="TableContents"/>
              <w:bidi w:val="0"/>
              <w:spacing w:before="0" w:after="283"/>
              <w:jc w:val="left"/>
              <w:rPr/>
            </w:pPr>
            <w:hyperlink w:anchor="rlay-ex32_1.htm">
              <w:r>
                <w:rPr>
                  <w:rStyle w:val="InternetLink"/>
                  <w:rFonts w:ascii="Times New Roman" w:hAnsi="Times New Roman"/>
                  <w:color w:val="0000FF"/>
                  <w:sz w:val="18"/>
                  <w:u w:val="single"/>
                </w:rPr>
                <w:t>Certification of Principal Executive Officer and Principal Financial Officer Pursuant to 18 U.S.C. Section 1350, as Adopted Pursuant to Section 906 of the Sarbanes-Oxley Act of 2002.</w:t>
              </w:r>
            </w:hyperlink>
            <w:r>
              <w:rPr>
                <w:rFonts w:ascii="Times New Roman" w:hAnsi="Times New Roman"/>
                <w:color w:val="000000"/>
                <w:sz w:val="18"/>
              </w:rPr>
              <w:t xml:space="preserve">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944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Data File because its XBRL tags are embedded within the Inline XBRL document</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944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944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r>
    </w:tbl>
    <w:p>
      <w:pPr>
        <w:pStyle w:val="TextBody"/>
        <w:bidi w:val="0"/>
        <w:spacing w:before="40" w:after="283"/>
        <w:jc w:val="left"/>
        <w:rPr>
          <w:rFonts w:ascii="Times New Roman" w:hAnsi="Times New Roman"/>
          <w:color w:val="000000"/>
          <w:sz w:val="18"/>
        </w:rPr>
      </w:pPr>
      <w:r>
        <w:rPr>
          <w:rFonts w:ascii="Times New Roman" w:hAnsi="Times New Roman"/>
          <w:color w:val="000000"/>
          <w:sz w:val="18"/>
        </w:rPr>
        <w:t>* Filed herewith.</w:t>
      </w:r>
    </w:p>
    <w:p>
      <w:pPr>
        <w:pStyle w:val="TextBody"/>
        <w:bidi w:val="0"/>
        <w:jc w:val="left"/>
        <w:rPr>
          <w:rFonts w:ascii="Times New Roman" w:hAnsi="Times New Roman"/>
          <w:color w:val="000000"/>
          <w:sz w:val="18"/>
        </w:rPr>
      </w:pPr>
      <w:r>
        <w:rPr>
          <w:rFonts w:ascii="Times New Roman" w:hAnsi="Times New Roman"/>
          <w:color w:val="000000"/>
          <w:sz w:val="18"/>
        </w:rPr>
        <w:t>** 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18" w:name="signatures"/>
      <w:bookmarkEnd w:id="18"/>
      <w:r>
        <w:rPr>
          <w:rFonts w:ascii="Times New Roman" w:hAnsi="Times New Roman"/>
          <w:b/>
          <w:color w:val="000000"/>
          <w:sz w:val="18"/>
        </w:rPr>
        <w:t>SIGNATURES</w:t>
      </w:r>
    </w:p>
    <w:p>
      <w:pPr>
        <w:pStyle w:val="TextBody"/>
        <w:bidi w:val="0"/>
        <w:spacing w:before="220" w:after="283"/>
        <w:jc w:val="left"/>
        <w:rPr>
          <w:rFonts w:ascii="Times New Roman" w:hAnsi="Times New Roman"/>
          <w:color w:val="000000"/>
          <w:sz w:val="18"/>
        </w:rPr>
      </w:pPr>
      <w:r>
        <w:rPr>
          <w:rFonts w:ascii="Times New Roman" w:hAnsi="Times New Roman"/>
          <w:color w:val="000000"/>
          <w:sz w:val="18"/>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472" w:type="dxa"/>
        <w:jc w:val="left"/>
        <w:tblInd w:w="0" w:type="dxa"/>
        <w:tblLayout w:type="fixed"/>
        <w:tblCellMar>
          <w:top w:w="28" w:type="dxa"/>
          <w:left w:w="28" w:type="dxa"/>
          <w:bottom w:w="28" w:type="dxa"/>
          <w:right w:w="28" w:type="dxa"/>
        </w:tblCellMar>
      </w:tblPr>
      <w:tblGrid>
        <w:gridCol w:w="1456"/>
        <w:gridCol w:w="109"/>
        <w:gridCol w:w="361"/>
        <w:gridCol w:w="4546"/>
      </w:tblGrid>
      <w:tr>
        <w:trPr/>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RELAY THERAPEUTICS, INC.</w:t>
            </w:r>
          </w:p>
        </w:tc>
      </w:tr>
      <w:tr>
        <w:trPr/>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5016"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May 5,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454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SANJIV K. PATEL</w:t>
            </w:r>
          </w:p>
        </w:tc>
      </w:tr>
      <w:tr>
        <w:trPr/>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Sanjiv K. Patel, M.D.</w:t>
            </w:r>
          </w:p>
        </w:tc>
      </w:tr>
      <w:tr>
        <w:trPr/>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President and Chief Executive Officer</w:t>
            </w:r>
          </w:p>
        </w:tc>
      </w:tr>
      <w:tr>
        <w:trPr/>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r>
        <w:trPr/>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5016"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May 5,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454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THOMAS CATINAZZO</w:t>
            </w:r>
          </w:p>
        </w:tc>
      </w:tr>
      <w:tr>
        <w:trPr/>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Thomas Catinazzo</w:t>
            </w:r>
          </w:p>
        </w:tc>
      </w:tr>
      <w:tr>
        <w:trPr/>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Chief Financial Officer</w:t>
            </w:r>
          </w:p>
        </w:tc>
      </w:tr>
      <w:tr>
        <w:trPr/>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Accounting Officer and 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rlay-ex31_1.htm"/>
      <w:bookmarkStart w:id="20" w:name="ksrlayex31_1"/>
      <w:bookmarkEnd w:id="19"/>
      <w:bookmarkEnd w:id="20"/>
      <w:r>
        <w:rPr>
          <w:rFonts w:ascii="Times New Roman" w:hAnsi="Times New Roman"/>
          <w:b/>
          <w:color w:val="000000"/>
          <w:sz w:val="20"/>
        </w:rPr>
        <w:t>Exhibit 31.1</w:t>
      </w:r>
      <w:r>
        <w:br w:type="page"/>
      </w:r>
    </w:p>
    <w:p>
      <w:pPr>
        <w:pStyle w:val="TextBody"/>
        <w:bidi w:val="0"/>
        <w:jc w:val="right"/>
        <w:rPr/>
      </w:pPr>
      <w:r>
        <w:rPr/>
        <w:t> </w:t>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CERTIFICATION OF PRINCIPAL EXECUTIVE OFFICER PURSUANT TO</w:t>
      </w:r>
    </w:p>
    <w:p>
      <w:pPr>
        <w:pStyle w:val="TextBody"/>
        <w:bidi w:val="0"/>
        <w:jc w:val="center"/>
        <w:rPr>
          <w:rFonts w:ascii="Times New Roman" w:hAnsi="Times New Roman"/>
          <w:b/>
          <w:color w:val="000000"/>
          <w:sz w:val="18"/>
        </w:rPr>
      </w:pPr>
      <w:r>
        <w:rPr>
          <w:rFonts w:ascii="Times New Roman" w:hAnsi="Times New Roman"/>
          <w:b/>
          <w:color w:val="000000"/>
          <w:sz w:val="18"/>
        </w:rPr>
        <w:t>RULES 13a-14(a) OR 15d-14(a) UNDER THE SECURITIES EXCHANGE ACT OF 1934,</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 SECTION 302 OF THE SARBANES-OXLEY ACT OF 2002</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I, Sanjiv K. Patel, certify that: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 have reviewed this Quarterly Report on Form 10-Q of Relay Therapeutics, Inc.;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45" w:type="dxa"/>
        <w:jc w:val="left"/>
        <w:tblInd w:w="0" w:type="dxa"/>
        <w:tblLayout w:type="fixed"/>
        <w:tblCellMar>
          <w:top w:w="28" w:type="dxa"/>
          <w:left w:w="28" w:type="dxa"/>
          <w:bottom w:w="28" w:type="dxa"/>
          <w:right w:w="28" w:type="dxa"/>
        </w:tblCellMar>
      </w:tblPr>
      <w:tblGrid>
        <w:gridCol w:w="1456"/>
        <w:gridCol w:w="146"/>
        <w:gridCol w:w="361"/>
        <w:gridCol w:w="146"/>
        <w:gridCol w:w="2836"/>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May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pPr>
            <w:r>
              <w:rPr/>
              <w:t> </w:t>
            </w:r>
          </w:p>
        </w:tc>
        <w:tc>
          <w:tcPr>
            <w:tcW w:w="283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SANJIV K. PATEL</w:t>
            </w:r>
          </w:p>
        </w:tc>
      </w:tr>
      <w:tr>
        <w:trPr/>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Sanjiv K. Patel</w:t>
            </w:r>
          </w:p>
        </w:tc>
      </w:tr>
      <w:tr>
        <w:trPr/>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President and Chief Executive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rlay-ex31_2.htm"/>
      <w:bookmarkStart w:id="22" w:name="ksrlayex31_2"/>
      <w:bookmarkEnd w:id="21"/>
      <w:bookmarkEnd w:id="2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CERTIFICATION OF PRINCIPAL FINANCIAL OFFICER PURSUANT TO</w:t>
      </w:r>
    </w:p>
    <w:p>
      <w:pPr>
        <w:pStyle w:val="TextBody"/>
        <w:bidi w:val="0"/>
        <w:jc w:val="center"/>
        <w:rPr>
          <w:rFonts w:ascii="Times New Roman" w:hAnsi="Times New Roman"/>
          <w:b/>
          <w:color w:val="000000"/>
          <w:sz w:val="18"/>
        </w:rPr>
      </w:pPr>
      <w:r>
        <w:rPr>
          <w:rFonts w:ascii="Times New Roman" w:hAnsi="Times New Roman"/>
          <w:b/>
          <w:color w:val="000000"/>
          <w:sz w:val="18"/>
        </w:rPr>
        <w:t>RULES 13a-14(a) OR 15d-14(a) UNDER THE SECURITIES EXCHANGE ACT OF 1934,</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 SECTION 302 OF THE SARBANES-OXLEY ACT OF 2002</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I, Thomas Catinazzo, certify that: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 have reviewed this Quarterly Report on Form 10-Q of Relay Therapeutics, Inc.;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835" w:type="dxa"/>
        <w:jc w:val="left"/>
        <w:tblInd w:w="0" w:type="dxa"/>
        <w:tblLayout w:type="fixed"/>
        <w:tblCellMar>
          <w:top w:w="28" w:type="dxa"/>
          <w:left w:w="28" w:type="dxa"/>
          <w:bottom w:w="28" w:type="dxa"/>
          <w:right w:w="28" w:type="dxa"/>
        </w:tblCellMar>
      </w:tblPr>
      <w:tblGrid>
        <w:gridCol w:w="1636"/>
        <w:gridCol w:w="146"/>
        <w:gridCol w:w="361"/>
        <w:gridCol w:w="146"/>
        <w:gridCol w:w="454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Date: May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pPr>
            <w:r>
              <w:rPr/>
              <w:t> </w:t>
            </w:r>
          </w:p>
        </w:tc>
        <w:tc>
          <w:tcPr>
            <w:tcW w:w="454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THOMAS CATINAZZO</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Thomas Catinazzo</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Chief Financial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Accounting Officer and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rlay-ex32_1.htm"/>
      <w:bookmarkStart w:id="24" w:name="ksrlayex32_1"/>
      <w:bookmarkEnd w:id="23"/>
      <w:bookmarkEnd w:id="24"/>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18"/>
        </w:rPr>
      </w:pPr>
      <w:r>
        <w:rPr>
          <w:rFonts w:ascii="Times New Roman" w:hAnsi="Times New Roman"/>
          <w:b/>
          <w:color w:val="000000"/>
          <w:sz w:val="18"/>
        </w:rPr>
        <w:t>CERTIFICATIONS OF PRINCIPAL EXECUTIVE OFFICER AND PRINCIPAL FINANCIAL OFFICER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 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connection with the Quarterly Report on Form 10-Q of Relay Therapeutics, Inc. (the “Company”) for the quarter ended March 31, 2026 as filed with the Securities and Exchange Commission on the date hereof (the “Report”), the undersigned hereby certify, pursuant to 18 U.S.C. Section 1350, as adopted pursuant to Section 906 of the Sarbanes-Oxley Act of 2002, that, to the best of their knowledge: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4871" w:type="dxa"/>
        <w:jc w:val="left"/>
        <w:tblInd w:w="0" w:type="dxa"/>
        <w:tblLayout w:type="fixed"/>
        <w:tblCellMar>
          <w:top w:w="28" w:type="dxa"/>
          <w:left w:w="28" w:type="dxa"/>
          <w:bottom w:w="28" w:type="dxa"/>
          <w:right w:w="28" w:type="dxa"/>
        </w:tblCellMar>
      </w:tblPr>
      <w:tblGrid>
        <w:gridCol w:w="1456"/>
        <w:gridCol w:w="109"/>
        <w:gridCol w:w="361"/>
        <w:gridCol w:w="109"/>
        <w:gridCol w:w="2836"/>
      </w:tblGrid>
      <w:tr>
        <w:trPr/>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May 5,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/S/ SANJIV K. PATEL </w:t>
            </w:r>
          </w:p>
        </w:tc>
      </w:tr>
      <w:tr>
        <w:trPr/>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Sanjiv K. Patel</w:t>
            </w:r>
          </w:p>
        </w:tc>
      </w:tr>
      <w:tr>
        <w:trPr/>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President and Chief Executive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tbl>
      <w:tblPr>
        <w:tblW w:w="6581" w:type="dxa"/>
        <w:jc w:val="left"/>
        <w:tblInd w:w="0" w:type="dxa"/>
        <w:tblLayout w:type="fixed"/>
        <w:tblCellMar>
          <w:top w:w="28" w:type="dxa"/>
          <w:left w:w="28" w:type="dxa"/>
          <w:bottom w:w="28" w:type="dxa"/>
          <w:right w:w="28" w:type="dxa"/>
        </w:tblCellMar>
      </w:tblPr>
      <w:tblGrid>
        <w:gridCol w:w="1456"/>
        <w:gridCol w:w="109"/>
        <w:gridCol w:w="361"/>
        <w:gridCol w:w="109"/>
        <w:gridCol w:w="4546"/>
      </w:tblGrid>
      <w:tr>
        <w:trPr/>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May 5,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/S/ THOMAS CATINAZZO </w:t>
            </w:r>
          </w:p>
        </w:tc>
      </w:tr>
      <w:tr>
        <w:trPr/>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Thomas Catinazzo</w:t>
            </w:r>
          </w:p>
        </w:tc>
      </w:tr>
      <w:tr>
        <w:trPr/>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Chief Financial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Accounting Officer and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2364/000095017023004123/rlay-ex3_1.htm" TargetMode="External"/><Relationship Id="rId3" Type="http://schemas.openxmlformats.org/officeDocument/2006/relationships/hyperlink" Target="https://www.sec.gov/Archives/edgar/data/1812364/000119312526102178/rlay-ex3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55694</Words>
  <Characters>312700</Characters>
  <CharactersWithSpaces>368446</CharactersWithSpaces>
  <Paragraphs>4053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