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RELAY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001-39385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47-3923475</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60 Hampshire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370-8837</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RLAY</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June 9, 2026, Relay Therapeutics, Inc. (the “Company”) filed a Certificate of Second Amendment (the “Certificate of Amendment”) to the Company’s Fourth Amended and Restated Certificate of Incorporation, as amended, with the Secretary of State of the State of Delaware to increase the number of authorized shares of the Company’s common stock from 300,000,000 shares to 450,000,000 shares. The increase in the number of authorized shares was approved by the holders of a majority of the votes cast on the matter at the Company’s 2026 Annual Meeting of Stockholders (the “Annual Meeting”), as described in Item 5.07 below.</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Certificate of Amendment does not purport to be complete and is qualified in its entirety by reference to the complete text of the Certificate of Amendment, a copy of which is attached as Exhibit 3.1 to this Current Report on Form 8-K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June 9, 2026, the Company held its Annual Meeting to consider and vote on the four proposals set forth below, each of which is described in detail in the Company’s Definitive Proxy Statement on Schedule 14A filed with the Securities and Exchange Commission on April 28, 2026. The final voting results are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each of the following individuals to serve as class III directors for a three-year term ending at the Company’s 2029 annual meeting of stockholders and until his or her respective successor is duly elected and qualified, or until his or her earlier death, resignation or removal, with the votes cast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40" w:type="dxa"/>
            <w:vAlign w:val="bottom"/>
          </w:tcPr>
          <w:p>
            <w:pPr>
              <w:spacing w:after="0"/>
              <w:rPr>
                <w:sz w:val="20"/>
                <w:szCs w:val="20"/>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2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660" w:type="dxa"/>
            <w:vAlign w:val="bottom"/>
            <w:shd w:val="clear" w:color="auto" w:fill="DAEEF3"/>
          </w:tcPr>
          <w:p>
            <w:pPr>
              <w:ind w:left="120"/>
              <w:spacing w:after="0"/>
              <w:rPr>
                <w:sz w:val="20"/>
                <w:szCs w:val="20"/>
                <w:color w:val="auto"/>
              </w:rPr>
            </w:pPr>
            <w:r>
              <w:rPr>
                <w:rFonts w:ascii="Times New Roman" w:cs="Times New Roman" w:eastAsia="Times New Roman" w:hAnsi="Times New Roman"/>
                <w:sz w:val="18"/>
                <w:szCs w:val="18"/>
                <w:color w:val="auto"/>
              </w:rPr>
              <w:t>Douglas S. Ingram</w:t>
            </w:r>
          </w:p>
        </w:tc>
        <w:tc>
          <w:tcPr>
            <w:tcW w:w="2860" w:type="dxa"/>
            <w:vAlign w:val="bottom"/>
            <w:gridSpan w:val="2"/>
            <w:shd w:val="clear" w:color="auto" w:fill="DAEEF3"/>
          </w:tcPr>
          <w:p>
            <w:pPr>
              <w:jc w:val="center"/>
              <w:ind w:left="150"/>
              <w:spacing w:after="0"/>
              <w:rPr>
                <w:sz w:val="20"/>
                <w:szCs w:val="20"/>
                <w:color w:val="auto"/>
              </w:rPr>
            </w:pPr>
            <w:r>
              <w:rPr>
                <w:rFonts w:ascii="Times New Roman" w:cs="Times New Roman" w:eastAsia="Times New Roman" w:hAnsi="Times New Roman"/>
                <w:sz w:val="18"/>
                <w:szCs w:val="18"/>
                <w:color w:val="auto"/>
                <w:w w:val="99"/>
              </w:rPr>
              <w:t>120,859,999</w:t>
            </w:r>
          </w:p>
        </w:tc>
        <w:tc>
          <w:tcPr>
            <w:tcW w:w="2760" w:type="dxa"/>
            <w:vAlign w:val="bottom"/>
            <w:gridSpan w:val="2"/>
            <w:shd w:val="clear" w:color="auto" w:fill="DAEEF3"/>
          </w:tcPr>
          <w:p>
            <w:pPr>
              <w:jc w:val="center"/>
              <w:ind w:left="150"/>
              <w:spacing w:after="0"/>
              <w:rPr>
                <w:sz w:val="20"/>
                <w:szCs w:val="20"/>
                <w:color w:val="auto"/>
              </w:rPr>
            </w:pPr>
            <w:r>
              <w:rPr>
                <w:rFonts w:ascii="Times New Roman" w:cs="Times New Roman" w:eastAsia="Times New Roman" w:hAnsi="Times New Roman"/>
                <w:sz w:val="18"/>
                <w:szCs w:val="18"/>
                <w:color w:val="auto"/>
                <w:w w:val="98"/>
              </w:rPr>
              <w:t>26,195,825</w:t>
            </w:r>
          </w:p>
        </w:tc>
        <w:tc>
          <w:tcPr>
            <w:tcW w:w="2960" w:type="dxa"/>
            <w:vAlign w:val="bottom"/>
            <w:gridSpan w:val="2"/>
            <w:shd w:val="clear" w:color="auto" w:fill="DAEEF3"/>
          </w:tcPr>
          <w:p>
            <w:pPr>
              <w:jc w:val="center"/>
              <w:ind w:left="130"/>
              <w:spacing w:after="0"/>
              <w:rPr>
                <w:sz w:val="20"/>
                <w:szCs w:val="20"/>
                <w:color w:val="auto"/>
              </w:rPr>
            </w:pPr>
            <w:r>
              <w:rPr>
                <w:rFonts w:ascii="Times New Roman" w:cs="Times New Roman" w:eastAsia="Times New Roman" w:hAnsi="Times New Roman"/>
                <w:sz w:val="18"/>
                <w:szCs w:val="18"/>
                <w:color w:val="auto"/>
              </w:rPr>
              <w:t>24,200,700</w:t>
            </w:r>
          </w:p>
        </w:tc>
      </w:tr>
      <w:tr>
        <w:trPr>
          <w:trHeight w:val="234"/>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Claire Mazumdar, Ph.D.</w:t>
            </w:r>
          </w:p>
        </w:tc>
        <w:tc>
          <w:tcPr>
            <w:tcW w:w="2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122,859,060</w:t>
            </w:r>
          </w:p>
        </w:tc>
        <w:tc>
          <w:tcPr>
            <w:tcW w:w="27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24,196,764</w:t>
            </w:r>
          </w:p>
        </w:tc>
        <w:tc>
          <w:tcPr>
            <w:tcW w:w="29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24,200,700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Non-binding advisory vote on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compensation of the Company’s named executive officers, with the votes cast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2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640" w:type="dxa"/>
            <w:vAlign w:val="bottom"/>
            <w:shd w:val="clear" w:color="auto" w:fill="DAEEF3"/>
          </w:tcPr>
          <w:p>
            <w:pPr>
              <w:jc w:val="right"/>
              <w:ind w:right="770"/>
              <w:spacing w:after="0"/>
              <w:rPr>
                <w:sz w:val="20"/>
                <w:szCs w:val="20"/>
                <w:color w:val="auto"/>
              </w:rPr>
            </w:pPr>
            <w:r>
              <w:rPr>
                <w:rFonts w:ascii="Times New Roman" w:cs="Times New Roman" w:eastAsia="Times New Roman" w:hAnsi="Times New Roman"/>
                <w:sz w:val="18"/>
                <w:szCs w:val="18"/>
                <w:color w:val="auto"/>
              </w:rPr>
              <w:t>143,849,919</w:t>
            </w:r>
          </w:p>
        </w:tc>
        <w:tc>
          <w:tcPr>
            <w:tcW w:w="2860" w:type="dxa"/>
            <w:vAlign w:val="bottom"/>
            <w:gridSpan w:val="2"/>
            <w:shd w:val="clear" w:color="auto" w:fill="DAEEF3"/>
          </w:tcPr>
          <w:p>
            <w:pPr>
              <w:jc w:val="right"/>
              <w:ind w:right="870"/>
              <w:spacing w:after="0"/>
              <w:rPr>
                <w:sz w:val="20"/>
                <w:szCs w:val="20"/>
                <w:color w:val="auto"/>
              </w:rPr>
            </w:pPr>
            <w:r>
              <w:rPr>
                <w:rFonts w:ascii="Times New Roman" w:cs="Times New Roman" w:eastAsia="Times New Roman" w:hAnsi="Times New Roman"/>
                <w:sz w:val="18"/>
                <w:szCs w:val="18"/>
                <w:color w:val="auto"/>
              </w:rPr>
              <w:t>3,154,118</w:t>
            </w:r>
          </w:p>
        </w:tc>
        <w:tc>
          <w:tcPr>
            <w:tcW w:w="2860" w:type="dxa"/>
            <w:vAlign w:val="bottom"/>
            <w:gridSpan w:val="2"/>
            <w:shd w:val="clear" w:color="auto" w:fill="DAEEF3"/>
          </w:tcPr>
          <w:p>
            <w:pPr>
              <w:jc w:val="right"/>
              <w:ind w:right="990"/>
              <w:spacing w:after="0"/>
              <w:rPr>
                <w:sz w:val="20"/>
                <w:szCs w:val="20"/>
                <w:color w:val="auto"/>
              </w:rPr>
            </w:pPr>
            <w:r>
              <w:rPr>
                <w:rFonts w:ascii="Times New Roman" w:cs="Times New Roman" w:eastAsia="Times New Roman" w:hAnsi="Times New Roman"/>
                <w:sz w:val="18"/>
                <w:szCs w:val="18"/>
                <w:color w:val="auto"/>
              </w:rPr>
              <w:t>51,787</w:t>
            </w:r>
          </w:p>
        </w:tc>
        <w:tc>
          <w:tcPr>
            <w:tcW w:w="2880" w:type="dxa"/>
            <w:vAlign w:val="bottom"/>
            <w:gridSpan w:val="2"/>
            <w:shd w:val="clear" w:color="auto" w:fill="DAEEF3"/>
          </w:tcPr>
          <w:p>
            <w:pPr>
              <w:jc w:val="right"/>
              <w:ind w:right="830"/>
              <w:spacing w:after="0"/>
              <w:rPr>
                <w:sz w:val="20"/>
                <w:szCs w:val="20"/>
                <w:color w:val="auto"/>
              </w:rPr>
            </w:pPr>
            <w:r>
              <w:rPr>
                <w:rFonts w:ascii="Times New Roman" w:cs="Times New Roman" w:eastAsia="Times New Roman" w:hAnsi="Times New Roman"/>
                <w:sz w:val="18"/>
                <w:szCs w:val="18"/>
                <w:color w:val="auto"/>
              </w:rPr>
              <w:t>24,200,700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Ratification of appointment of independent registered public accounting firm.</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the fiscal year ending December 31, 2026, with the votes cast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2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640" w:type="dxa"/>
            <w:vAlign w:val="bottom"/>
            <w:shd w:val="clear" w:color="auto" w:fill="DAEEF3"/>
          </w:tcPr>
          <w:p>
            <w:pPr>
              <w:jc w:val="right"/>
              <w:ind w:right="770"/>
              <w:spacing w:after="0"/>
              <w:rPr>
                <w:sz w:val="20"/>
                <w:szCs w:val="20"/>
                <w:color w:val="auto"/>
              </w:rPr>
            </w:pPr>
            <w:r>
              <w:rPr>
                <w:rFonts w:ascii="Times New Roman" w:cs="Times New Roman" w:eastAsia="Times New Roman" w:hAnsi="Times New Roman"/>
                <w:sz w:val="18"/>
                <w:szCs w:val="18"/>
                <w:color w:val="auto"/>
              </w:rPr>
              <w:t>171,030,133</w:t>
            </w:r>
          </w:p>
        </w:tc>
        <w:tc>
          <w:tcPr>
            <w:tcW w:w="2860" w:type="dxa"/>
            <w:vAlign w:val="bottom"/>
            <w:gridSpan w:val="2"/>
            <w:shd w:val="clear" w:color="auto" w:fill="DAEEF3"/>
          </w:tcPr>
          <w:p>
            <w:pPr>
              <w:jc w:val="right"/>
              <w:ind w:right="930"/>
              <w:spacing w:after="0"/>
              <w:rPr>
                <w:sz w:val="20"/>
                <w:szCs w:val="20"/>
                <w:color w:val="auto"/>
              </w:rPr>
            </w:pPr>
            <w:r>
              <w:rPr>
                <w:rFonts w:ascii="Times New Roman" w:cs="Times New Roman" w:eastAsia="Times New Roman" w:hAnsi="Times New Roman"/>
                <w:sz w:val="18"/>
                <w:szCs w:val="18"/>
                <w:color w:val="auto"/>
              </w:rPr>
              <w:t>204,449</w:t>
            </w:r>
          </w:p>
        </w:tc>
        <w:tc>
          <w:tcPr>
            <w:tcW w:w="2860" w:type="dxa"/>
            <w:vAlign w:val="bottom"/>
            <w:gridSpan w:val="2"/>
            <w:shd w:val="clear" w:color="auto" w:fill="DAEEF3"/>
          </w:tcPr>
          <w:p>
            <w:pPr>
              <w:jc w:val="right"/>
              <w:ind w:right="990"/>
              <w:spacing w:after="0"/>
              <w:rPr>
                <w:sz w:val="20"/>
                <w:szCs w:val="20"/>
                <w:color w:val="auto"/>
              </w:rPr>
            </w:pPr>
            <w:r>
              <w:rPr>
                <w:rFonts w:ascii="Times New Roman" w:cs="Times New Roman" w:eastAsia="Times New Roman" w:hAnsi="Times New Roman"/>
                <w:sz w:val="18"/>
                <w:szCs w:val="18"/>
                <w:color w:val="auto"/>
              </w:rPr>
              <w:t>21,942</w:t>
            </w:r>
          </w:p>
        </w:tc>
        <w:tc>
          <w:tcPr>
            <w:tcW w:w="2880" w:type="dxa"/>
            <w:vAlign w:val="bottom"/>
            <w:gridSpan w:val="2"/>
            <w:shd w:val="clear" w:color="auto" w:fill="DAEEF3"/>
          </w:tcPr>
          <w:p>
            <w:pPr>
              <w:jc w:val="right"/>
              <w:ind w:right="119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Approval of amendment to the Company’s Fourth Amended and Restated Certificate of Incorporation, as amended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an amendment to the Company’s Fourth Amended and Restated Certificate of Incorporation, as amended, to increase the number of authorized shares of common stock from 300,000,000 shares to 450,000,000 shares, with the votes cast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2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640" w:type="dxa"/>
            <w:vAlign w:val="bottom"/>
            <w:shd w:val="clear" w:color="auto" w:fill="DAEEF3"/>
          </w:tcPr>
          <w:p>
            <w:pPr>
              <w:jc w:val="right"/>
              <w:ind w:right="770"/>
              <w:spacing w:after="0"/>
              <w:rPr>
                <w:sz w:val="20"/>
                <w:szCs w:val="20"/>
                <w:color w:val="auto"/>
              </w:rPr>
            </w:pPr>
            <w:r>
              <w:rPr>
                <w:rFonts w:ascii="Times New Roman" w:cs="Times New Roman" w:eastAsia="Times New Roman" w:hAnsi="Times New Roman"/>
                <w:sz w:val="18"/>
                <w:szCs w:val="18"/>
                <w:color w:val="auto"/>
              </w:rPr>
              <w:t>170,323,683</w:t>
            </w:r>
          </w:p>
        </w:tc>
        <w:tc>
          <w:tcPr>
            <w:tcW w:w="2860" w:type="dxa"/>
            <w:vAlign w:val="bottom"/>
            <w:gridSpan w:val="2"/>
            <w:shd w:val="clear" w:color="auto" w:fill="DAEEF3"/>
          </w:tcPr>
          <w:p>
            <w:pPr>
              <w:jc w:val="right"/>
              <w:ind w:right="930"/>
              <w:spacing w:after="0"/>
              <w:rPr>
                <w:sz w:val="20"/>
                <w:szCs w:val="20"/>
                <w:color w:val="auto"/>
              </w:rPr>
            </w:pPr>
            <w:r>
              <w:rPr>
                <w:rFonts w:ascii="Times New Roman" w:cs="Times New Roman" w:eastAsia="Times New Roman" w:hAnsi="Times New Roman"/>
                <w:sz w:val="18"/>
                <w:szCs w:val="18"/>
                <w:color w:val="auto"/>
              </w:rPr>
              <w:t>909,020</w:t>
            </w:r>
          </w:p>
        </w:tc>
        <w:tc>
          <w:tcPr>
            <w:tcW w:w="2860" w:type="dxa"/>
            <w:vAlign w:val="bottom"/>
            <w:gridSpan w:val="2"/>
            <w:shd w:val="clear" w:color="auto" w:fill="DAEEF3"/>
          </w:tcPr>
          <w:p>
            <w:pPr>
              <w:jc w:val="right"/>
              <w:ind w:right="990"/>
              <w:spacing w:after="0"/>
              <w:rPr>
                <w:sz w:val="20"/>
                <w:szCs w:val="20"/>
                <w:color w:val="auto"/>
              </w:rPr>
            </w:pPr>
            <w:r>
              <w:rPr>
                <w:rFonts w:ascii="Times New Roman" w:cs="Times New Roman" w:eastAsia="Times New Roman" w:hAnsi="Times New Roman"/>
                <w:sz w:val="18"/>
                <w:szCs w:val="18"/>
                <w:color w:val="auto"/>
              </w:rPr>
              <w:t>23,821</w:t>
            </w:r>
          </w:p>
        </w:tc>
        <w:tc>
          <w:tcPr>
            <w:tcW w:w="2880" w:type="dxa"/>
            <w:vAlign w:val="bottom"/>
            <w:gridSpan w:val="2"/>
            <w:shd w:val="clear" w:color="auto" w:fill="DAEEF3"/>
          </w:tcPr>
          <w:p>
            <w:pPr>
              <w:jc w:val="right"/>
              <w:ind w:right="1190"/>
              <w:spacing w:after="0"/>
              <w:rPr>
                <w:sz w:val="20"/>
                <w:szCs w:val="20"/>
                <w:color w:val="auto"/>
              </w:rPr>
            </w:pPr>
            <w:r>
              <w:rPr>
                <w:rFonts w:ascii="Times New Roman" w:cs="Times New Roman" w:eastAsia="Times New Roman" w:hAnsi="Times New Roman"/>
                <w:sz w:val="18"/>
                <w:szCs w:val="18"/>
                <w:color w:val="auto"/>
              </w:rPr>
              <w:t>0</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to or voted on by the Company’s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30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Second Amendment of Fourth Amended and Restated Certificate of Incorporation of Relay Therapeutics, Inc., filed with the</w:t>
            </w:r>
          </w:p>
        </w:tc>
      </w:tr>
      <w:tr>
        <w:trPr>
          <w:trHeight w:val="20"/>
        </w:trPr>
        <w:tc>
          <w:tcPr>
            <w:tcW w:w="1040" w:type="dxa"/>
            <w:vAlign w:val="bottom"/>
          </w:tcPr>
          <w:p>
            <w:pPr>
              <w:spacing w:after="0" w:line="20" w:lineRule="exact"/>
              <w:rPr>
                <w:sz w:val="1"/>
                <w:szCs w:val="1"/>
                <w:color w:val="auto"/>
              </w:rPr>
            </w:pPr>
          </w:p>
        </w:tc>
        <w:tc>
          <w:tcPr>
            <w:tcW w:w="430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Secretary of State of the State of Delaware on June 9, 2026.</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300" w:type="dxa"/>
            <w:vAlign w:val="bottom"/>
            <w:tcBorders>
              <w:right w:val="single" w:sz="8" w:color="0000EE"/>
            </w:tcBorders>
            <w:shd w:val="clear" w:color="auto" w:fill="0000FF"/>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r>
        <w:trPr>
          <w:trHeight w:val="979"/>
        </w:trPr>
        <w:tc>
          <w:tcPr>
            <w:tcW w:w="104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RELAY THERAPEUTICS,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9, 2026</w:t>
      </w:r>
      <w:r>
        <w:rPr>
          <w:sz w:val="20"/>
          <w:szCs w:val="20"/>
          <w:color w:val="auto"/>
        </w:rPr>
        <w:tab/>
      </w:r>
      <w:r>
        <w:rPr>
          <w:rFonts w:ascii="Times New Roman" w:cs="Times New Roman" w:eastAsia="Times New Roman" w:hAnsi="Times New Roman"/>
          <w:sz w:val="18"/>
          <w:szCs w:val="18"/>
          <w:color w:val="auto"/>
        </w:rPr>
        <w:t>By:</w:t>
        <w:tab/>
        <w:t>/s/ Soo-Yeun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Soo-Yeun Lim</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SECOND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RELAY THERAPEUTICS, INC.</w:t>
      </w:r>
    </w:p>
    <w:p>
      <w:pPr>
        <w:spacing w:after="0" w:line="234"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Relay Therapeutics,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 Delaware (the “</w:t>
      </w:r>
      <w:r>
        <w:rPr>
          <w:rFonts w:ascii="Times New Roman" w:cs="Times New Roman" w:eastAsia="Times New Roman" w:hAnsi="Times New Roman"/>
          <w:sz w:val="18"/>
          <w:szCs w:val="18"/>
          <w:u w:val="single" w:color="auto"/>
          <w:color w:val="auto"/>
        </w:rPr>
        <w:t>General Corporation Law</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256" w:lineRule="exact"/>
        <w:rPr>
          <w:sz w:val="20"/>
          <w:szCs w:val="20"/>
          <w:color w:val="auto"/>
        </w:rPr>
      </w:pPr>
    </w:p>
    <w:p>
      <w:pPr>
        <w:ind w:right="300" w:firstLine="757"/>
        <w:spacing w:after="0" w:line="282" w:lineRule="auto"/>
        <w:tabs>
          <w:tab w:leader="none" w:pos="101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name of this corporation is Relay Therapeutics, Inc. and that this corporation was originally incorporated pursuant to the General Corporation Law on May 4, 2015 under the name Allostery, Inc.</w:t>
      </w:r>
    </w:p>
    <w:p>
      <w:pPr>
        <w:spacing w:after="0" w:line="161" w:lineRule="exact"/>
        <w:rPr>
          <w:rFonts w:ascii="Times New Roman" w:cs="Times New Roman" w:eastAsia="Times New Roman" w:hAnsi="Times New Roman"/>
          <w:sz w:val="18"/>
          <w:szCs w:val="18"/>
          <w:b w:val="1"/>
          <w:bCs w:val="1"/>
          <w:color w:val="auto"/>
        </w:rPr>
      </w:pPr>
    </w:p>
    <w:p>
      <w:pPr>
        <w:ind w:right="60" w:firstLine="757"/>
        <w:spacing w:after="0" w:line="261" w:lineRule="auto"/>
        <w:tabs>
          <w:tab w:leader="none" w:pos="101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Board of Directors of the Corporation duly adopted resolutions proposing to amend the Fourth Amended and Restated Certificate of Incorporation, as amended, of the Corporation, declaring said amendment to be advisable and in the best interests of the Corporation and its stockholders, and authorizing the appropriate officers of the Corporation to solicit the consent of the stockholders therefor, which resolutions setting forth the proposed amendments are as follows:</w:t>
      </w:r>
    </w:p>
    <w:p>
      <w:pPr>
        <w:spacing w:after="0" w:line="176" w:lineRule="exact"/>
        <w:rPr>
          <w:sz w:val="20"/>
          <w:szCs w:val="20"/>
          <w:color w:val="auto"/>
        </w:rPr>
      </w:pPr>
    </w:p>
    <w:p>
      <w:pPr>
        <w:ind w:right="14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first paragraph of ARTICLE IV of the Fourth Amended and Restated Certificate of Incorporation, as amended,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replaced in its entirety to read as follows:</w:t>
      </w:r>
    </w:p>
    <w:p>
      <w:pPr>
        <w:spacing w:after="0" w:line="159" w:lineRule="exact"/>
        <w:rPr>
          <w:sz w:val="20"/>
          <w:szCs w:val="20"/>
          <w:color w:val="auto"/>
        </w:rPr>
      </w:pPr>
    </w:p>
    <w:p>
      <w:pPr>
        <w:ind w:left="760" w:right="120" w:firstLine="749"/>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460,000,000 of which (i) four hundred and fifty million (450,000,000) shares shall be a class designated as common stock, par value $0.001 per share (the “Common Stock”), and (ii) ten million (10,000,000) shares shall be a class designated as undesignated preferred stock, par value $0.001 per share (the “Undesignated Preferred Stock”).”</w:t>
      </w:r>
    </w:p>
    <w:p>
      <w:pPr>
        <w:spacing w:after="0" w:line="207" w:lineRule="exact"/>
        <w:rPr>
          <w:sz w:val="20"/>
          <w:szCs w:val="20"/>
          <w:color w:val="auto"/>
        </w:rPr>
      </w:pPr>
    </w:p>
    <w:p>
      <w:pPr>
        <w:ind w:right="120" w:firstLine="757"/>
        <w:spacing w:after="0" w:line="282" w:lineRule="auto"/>
        <w:tabs>
          <w:tab w:leader="none" w:pos="101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foregoing amendment was approved by the holders of the requisite number of shares of the Corporation in accordance with Section 228 of the General Corporation Law.</w:t>
      </w:r>
    </w:p>
    <w:p>
      <w:pPr>
        <w:spacing w:after="0" w:line="161"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said amendment has been duly adopted in accordance with Section 242 of the General Corporation Law.</w:t>
      </w:r>
    </w:p>
    <w:p>
      <w:pPr>
        <w:spacing w:after="0" w:line="248" w:lineRule="exact"/>
        <w:rPr>
          <w:sz w:val="20"/>
          <w:szCs w:val="20"/>
          <w:color w:val="auto"/>
        </w:rPr>
      </w:pPr>
    </w:p>
    <w:p>
      <w:pPr>
        <w:ind w:right="28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Certificate of Second Amendment has been executed by a duly authorized officer of the Corporation on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9th day of June, 2026.</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By:</w:t>
            </w:r>
          </w:p>
        </w:tc>
        <w:tc>
          <w:tcPr>
            <w:tcW w:w="6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Sanjiv K. Patel</w:t>
            </w:r>
          </w:p>
        </w:tc>
      </w:tr>
      <w:tr>
        <w:trPr>
          <w:trHeight w:val="191"/>
        </w:trPr>
        <w:tc>
          <w:tcPr>
            <w:tcW w:w="5180" w:type="dxa"/>
            <w:vAlign w:val="bottom"/>
          </w:tcPr>
          <w:p>
            <w:pPr>
              <w:ind w:left="4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380" w:type="dxa"/>
            <w:vAlign w:val="bottom"/>
            <w:tcBorders>
              <w:top w:val="single" w:sz="8" w:color="auto"/>
            </w:tcBorders>
          </w:tcPr>
          <w:p>
            <w:pPr>
              <w:ind w:left="760"/>
              <w:spacing w:after="0" w:line="191" w:lineRule="exact"/>
              <w:rPr>
                <w:sz w:val="20"/>
                <w:szCs w:val="20"/>
                <w:color w:val="auto"/>
              </w:rPr>
            </w:pPr>
            <w:r>
              <w:rPr>
                <w:rFonts w:ascii="Times New Roman" w:cs="Times New Roman" w:eastAsia="Times New Roman" w:hAnsi="Times New Roman"/>
                <w:sz w:val="18"/>
                <w:szCs w:val="18"/>
                <w:color w:val="auto"/>
              </w:rPr>
              <w:t>Sanjiv K. Patel</w:t>
            </w:r>
          </w:p>
        </w:tc>
        <w:tc>
          <w:tcPr>
            <w:tcW w:w="680" w:type="dxa"/>
            <w:vAlign w:val="bottom"/>
          </w:tcPr>
          <w:p>
            <w:pPr>
              <w:spacing w:after="0"/>
              <w:rPr>
                <w:sz w:val="16"/>
                <w:szCs w:val="16"/>
                <w:color w:val="auto"/>
              </w:rPr>
            </w:pPr>
          </w:p>
        </w:tc>
      </w:tr>
      <w:tr>
        <w:trPr>
          <w:trHeight w:val="234"/>
        </w:trPr>
        <w:tc>
          <w:tcPr>
            <w:tcW w:w="518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Title:</w:t>
            </w:r>
          </w:p>
        </w:tc>
        <w:tc>
          <w:tcPr>
            <w:tcW w:w="6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627"/>
        </w:trPr>
        <w:tc>
          <w:tcPr>
            <w:tcW w:w="51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2026-06-09T15:37:26Z</dcterms:created>
  <dcterms:modified xsi:type="dcterms:W3CDTF">2026-06-09T15:37:26Z</dcterms:modified>
</cp:coreProperties>
</file>