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3920" w:right="2100" w:hanging="3899"/>
        <w:spacing w:after="0" w:line="289" w:lineRule="auto"/>
        <w:tabs>
          <w:tab w:leader="none" w:pos="3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highlight w:val="black"/>
        </w:rPr>
      </w:pPr>
    </w:p>
    <w:p>
      <w:pPr>
        <w:ind w:left="54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77"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spacing w:after="0" w:line="41" w:lineRule="exact"/>
        <w:rPr>
          <w:sz w:val="24"/>
          <w:szCs w:val="24"/>
          <w:color w:val="auto"/>
        </w:rPr>
      </w:pPr>
    </w:p>
    <w:p>
      <w:pPr>
        <w:ind w:left="360"/>
        <w:spacing w:after="0"/>
        <w:tabs>
          <w:tab w:leader="none" w:pos="380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001-39385</w:t>
      </w:r>
    </w:p>
    <w:p>
      <w:pPr>
        <w:spacing w:after="0" w:line="56" w:lineRule="exact"/>
        <w:rPr>
          <w:sz w:val="24"/>
          <w:szCs w:val="24"/>
          <w:color w:val="auto"/>
        </w:rPr>
      </w:pPr>
    </w:p>
    <w:p>
      <w:pPr>
        <w:jc w:val="center"/>
        <w:ind w:right="40"/>
        <w:spacing w:after="0"/>
        <w:rPr>
          <w:sz w:val="20"/>
          <w:szCs w:val="20"/>
          <w:color w:val="auto"/>
        </w:rPr>
      </w:pPr>
      <w:r>
        <w:rPr>
          <w:rFonts w:ascii="Arial" w:cs="Arial" w:eastAsia="Arial" w:hAnsi="Arial"/>
          <w:sz w:val="43"/>
          <w:szCs w:val="43"/>
          <w:b w:val="1"/>
          <w:bCs w:val="1"/>
          <w:color w:val="auto"/>
        </w:rPr>
        <w:t>RELAY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6"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Delaware</w:t>
      </w:r>
    </w:p>
    <w:p>
      <w:pPr>
        <w:spacing w:after="0" w:line="41"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47-3923475</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7" w:lineRule="exact"/>
        <w:rPr>
          <w:sz w:val="24"/>
          <w:szCs w:val="24"/>
          <w:color w:val="auto"/>
        </w:rPr>
      </w:pPr>
    </w:p>
    <w:p>
      <w:pPr>
        <w:sectPr>
          <w:pgSz w:w="11900" w:h="16838" w:orient="portrait"/>
          <w:cols w:equalWidth="0" w:num="2">
            <w:col w:w="7440" w:space="540"/>
            <w:col w:w="3260"/>
          </w:cols>
          <w:pgMar w:left="320" w:top="526" w:right="339" w:bottom="1440" w:gutter="0" w:footer="0" w:header="0"/>
          <w:type w:val="continuous"/>
        </w:sectPr>
      </w:pPr>
    </w:p>
    <w:tbl>
      <w:tblPr>
        <w:tblLayout w:type="fixed"/>
        <w:tblInd w:w="1740" w:type="dxa"/>
        <w:tblCellMar>
          <w:top w:w="0" w:type="dxa"/>
          <w:left w:w="0" w:type="dxa"/>
          <w:bottom w:w="0" w:type="dxa"/>
          <w:right w:w="0" w:type="dxa"/>
        </w:tblCellMar>
      </w:tblPr>
      <w:tr>
        <w:trPr>
          <w:trHeight w:val="203"/>
        </w:trPr>
        <w:tc>
          <w:tcPr>
            <w:tcW w:w="4260" w:type="dxa"/>
            <w:vAlign w:val="bottom"/>
          </w:tcPr>
          <w:p>
            <w:pPr>
              <w:jc w:val="center"/>
              <w:ind w:right="2085"/>
              <w:spacing w:after="0"/>
              <w:rPr>
                <w:sz w:val="20"/>
                <w:szCs w:val="20"/>
                <w:color w:val="auto"/>
              </w:rPr>
            </w:pPr>
            <w:r>
              <w:rPr>
                <w:rFonts w:ascii="Arial" w:cs="Arial" w:eastAsia="Arial" w:hAnsi="Arial"/>
                <w:sz w:val="16"/>
                <w:szCs w:val="16"/>
                <w:b w:val="1"/>
                <w:bCs w:val="1"/>
                <w:color w:val="auto"/>
                <w:w w:val="91"/>
              </w:rPr>
              <w:t>399 Binney Street, 2nd Floor</w:t>
            </w:r>
          </w:p>
        </w:tc>
        <w:tc>
          <w:tcPr>
            <w:tcW w:w="2760" w:type="dxa"/>
            <w:vAlign w:val="bottom"/>
          </w:tcPr>
          <w:p>
            <w:pPr>
              <w:spacing w:after="0"/>
              <w:rPr>
                <w:sz w:val="17"/>
                <w:szCs w:val="17"/>
                <w:color w:val="auto"/>
              </w:rPr>
            </w:pPr>
          </w:p>
        </w:tc>
      </w:tr>
      <w:tr>
        <w:trPr>
          <w:trHeight w:val="224"/>
        </w:trPr>
        <w:tc>
          <w:tcPr>
            <w:tcW w:w="4260" w:type="dxa"/>
            <w:vAlign w:val="bottom"/>
          </w:tcPr>
          <w:p>
            <w:pPr>
              <w:jc w:val="center"/>
              <w:ind w:right="2085"/>
              <w:spacing w:after="0"/>
              <w:rPr>
                <w:sz w:val="20"/>
                <w:szCs w:val="20"/>
                <w:color w:val="auto"/>
              </w:rPr>
            </w:pPr>
            <w:r>
              <w:rPr>
                <w:rFonts w:ascii="Arial" w:cs="Arial" w:eastAsia="Arial" w:hAnsi="Arial"/>
                <w:sz w:val="16"/>
                <w:szCs w:val="16"/>
                <w:b w:val="1"/>
                <w:bCs w:val="1"/>
                <w:color w:val="auto"/>
                <w:w w:val="97"/>
              </w:rPr>
              <w:t>Cambridge, MA</w:t>
            </w:r>
          </w:p>
        </w:tc>
        <w:tc>
          <w:tcPr>
            <w:tcW w:w="2760" w:type="dxa"/>
            <w:vAlign w:val="bottom"/>
          </w:tcPr>
          <w:p>
            <w:pPr>
              <w:jc w:val="right"/>
              <w:ind w:right="28"/>
              <w:spacing w:after="0"/>
              <w:rPr>
                <w:sz w:val="20"/>
                <w:szCs w:val="20"/>
                <w:color w:val="auto"/>
              </w:rPr>
            </w:pPr>
            <w:r>
              <w:rPr>
                <w:rFonts w:ascii="Arial" w:cs="Arial" w:eastAsia="Arial" w:hAnsi="Arial"/>
                <w:sz w:val="16"/>
                <w:szCs w:val="16"/>
                <w:b w:val="1"/>
                <w:bCs w:val="1"/>
                <w:color w:val="auto"/>
              </w:rPr>
              <w:t>02139</w:t>
            </w:r>
          </w:p>
        </w:tc>
      </w:tr>
      <w:tr>
        <w:trPr>
          <w:trHeight w:val="179"/>
        </w:trPr>
        <w:tc>
          <w:tcPr>
            <w:tcW w:w="4260" w:type="dxa"/>
            <w:vAlign w:val="bottom"/>
          </w:tcPr>
          <w:p>
            <w:pPr>
              <w:jc w:val="center"/>
              <w:ind w:right="2085"/>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760" w:type="dxa"/>
            <w:vAlign w:val="bottom"/>
          </w:tcPr>
          <w:p>
            <w:pPr>
              <w:jc w:val="center"/>
              <w:ind w:left="2108"/>
              <w:spacing w:after="0"/>
              <w:rPr>
                <w:sz w:val="20"/>
                <w:szCs w:val="20"/>
                <w:color w:val="auto"/>
              </w:rPr>
            </w:pPr>
            <w:r>
              <w:rPr>
                <w:rFonts w:ascii="Arial" w:cs="Arial" w:eastAsia="Arial" w:hAnsi="Arial"/>
                <w:sz w:val="13"/>
                <w:szCs w:val="13"/>
                <w:b w:val="1"/>
                <w:bCs w:val="1"/>
                <w:color w:val="auto"/>
                <w:w w:val="90"/>
              </w:rPr>
              <w:t>(Zip Code)</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370-8837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jc w:val="right"/>
              <w:ind w:right="1002"/>
              <w:spacing w:after="0"/>
              <w:rPr>
                <w:sz w:val="20"/>
                <w:szCs w:val="20"/>
                <w:color w:val="auto"/>
              </w:rPr>
            </w:pPr>
            <w:r>
              <w:rPr>
                <w:rFonts w:ascii="Arial" w:cs="Arial" w:eastAsia="Arial" w:hAnsi="Arial"/>
                <w:sz w:val="14"/>
                <w:szCs w:val="14"/>
                <w:color w:val="auto"/>
                <w:w w:val="92"/>
              </w:rPr>
              <w:t>Securities registered pursuant to Section 12(b) of the Act:</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400" w:type="dxa"/>
            <w:vAlign w:val="bottom"/>
            <w:vMerge w:val="restart"/>
          </w:tcPr>
          <w:p>
            <w:pPr>
              <w:jc w:val="right"/>
              <w:ind w:right="1582"/>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right"/>
              <w:ind w:right="1002"/>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7"/>
              </w:rPr>
              <w:t>RLAY</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bl>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5" w:lineRule="exact"/>
        <w:rPr>
          <w:sz w:val="24"/>
          <w:szCs w:val="24"/>
          <w:color w:val="auto"/>
        </w:rPr>
      </w:pPr>
    </w:p>
    <w:p>
      <w:pPr>
        <w:ind w:right="3540"/>
        <w:spacing w:after="0" w:line="21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ind w:right="12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right="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ind w:right="480"/>
        <w:spacing w:after="0" w:line="2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26"/>
        </w:trPr>
        <w:tc>
          <w:tcPr>
            <w:tcW w:w="1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00" w:type="dxa"/>
            <w:vAlign w:val="bottom"/>
          </w:tcPr>
          <w:p>
            <w:pPr>
              <w:ind w:left="3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260" w:type="dxa"/>
            <w:vAlign w:val="bottom"/>
          </w:tcPr>
          <w:p>
            <w:pPr>
              <w:ind w:left="336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78"/>
        </w:trPr>
        <w:tc>
          <w:tcPr>
            <w:tcW w:w="1620" w:type="dxa"/>
            <w:vAlign w:val="bottom"/>
          </w:tcPr>
          <w:p>
            <w:pPr>
              <w:spacing w:after="0"/>
              <w:rPr>
                <w:sz w:val="20"/>
                <w:szCs w:val="20"/>
                <w:color w:val="auto"/>
              </w:rPr>
            </w:pPr>
            <w:r>
              <w:rPr>
                <w:rFonts w:ascii="Arial" w:cs="Arial" w:eastAsia="Arial" w:hAnsi="Arial"/>
                <w:sz w:val="14"/>
                <w:szCs w:val="14"/>
                <w:color w:val="auto"/>
              </w:rPr>
              <w:t>Non-accelerated filer</w:t>
            </w:r>
          </w:p>
        </w:tc>
        <w:tc>
          <w:tcPr>
            <w:tcW w:w="3800" w:type="dxa"/>
            <w:vAlign w:val="bottom"/>
          </w:tcPr>
          <w:p>
            <w:pPr>
              <w:ind w:left="3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260" w:type="dxa"/>
            <w:vAlign w:val="bottom"/>
          </w:tcPr>
          <w:p>
            <w:pPr>
              <w:ind w:left="336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78"/>
        </w:trPr>
        <w:tc>
          <w:tcPr>
            <w:tcW w:w="1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60" w:type="dxa"/>
            <w:vAlign w:val="bottom"/>
          </w:tcPr>
          <w:p>
            <w:pPr>
              <w:ind w:left="336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18" w:lineRule="exact"/>
        <w:rPr>
          <w:sz w:val="24"/>
          <w:szCs w:val="24"/>
          <w:color w:val="auto"/>
        </w:rPr>
      </w:pPr>
    </w:p>
    <w:p>
      <w:pPr>
        <w:ind w:right="520"/>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 w:lineRule="exact"/>
        <w:rPr>
          <w:sz w:val="24"/>
          <w:szCs w:val="24"/>
          <w:color w:val="auto"/>
        </w:rPr>
      </w:pPr>
    </w:p>
    <w:p>
      <w:pPr>
        <w:spacing w:after="0" w:line="18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ind w:right="80"/>
        <w:spacing w:after="0" w:line="176" w:lineRule="exact"/>
        <w:rPr>
          <w:sz w:val="20"/>
          <w:szCs w:val="20"/>
          <w:color w:val="auto"/>
        </w:rPr>
      </w:pPr>
      <w:r>
        <w:rPr>
          <w:rFonts w:ascii="Arial" w:cs="Arial" w:eastAsia="Arial" w:hAnsi="Arial"/>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000000"/>
        </w:rPr>
        <w:t>☐</w:t>
      </w:r>
    </w:p>
    <w:p>
      <w:pPr>
        <w:spacing w:after="0" w:line="5" w:lineRule="exact"/>
        <w:rPr>
          <w:sz w:val="24"/>
          <w:szCs w:val="24"/>
          <w:color w:val="auto"/>
        </w:rPr>
      </w:pPr>
    </w:p>
    <w:p>
      <w:pPr>
        <w:ind w:right="240"/>
        <w:spacing w:after="0" w:line="181" w:lineRule="exact"/>
        <w:rPr>
          <w:sz w:val="20"/>
          <w:szCs w:val="20"/>
          <w:color w:val="auto"/>
        </w:rPr>
      </w:pPr>
      <w:r>
        <w:rPr>
          <w:rFonts w:ascii="Arial" w:cs="Arial" w:eastAsia="Arial" w:hAnsi="Arial"/>
          <w:sz w:val="14"/>
          <w:szCs w:val="14"/>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231F20"/>
        </w:rPr>
        <w:t>ﬃ</w:t>
      </w:r>
      <w:r>
        <w:rPr>
          <w:rFonts w:ascii="Arial" w:cs="Arial" w:eastAsia="Arial" w:hAnsi="Arial"/>
          <w:sz w:val="14"/>
          <w:szCs w:val="14"/>
          <w:color w:val="231F20"/>
        </w:rPr>
        <w:t xml:space="preserve">cers during the relevant recovery period pursuant to §240.10D-1(b). </w:t>
      </w:r>
      <w:r>
        <w:rPr>
          <w:rFonts w:ascii="Arial Unicode MS" w:cs="Arial Unicode MS" w:eastAsia="Arial Unicode MS" w:hAnsi="Arial Unicode MS"/>
          <w:sz w:val="14"/>
          <w:szCs w:val="14"/>
          <w:color w:val="000000"/>
        </w:rPr>
        <w:t>☐</w:t>
      </w: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ind w:right="180"/>
        <w:spacing w:after="0" w:line="233" w:lineRule="auto"/>
        <w:rPr>
          <w:sz w:val="20"/>
          <w:szCs w:val="20"/>
          <w:color w:val="auto"/>
        </w:rPr>
      </w:pPr>
      <w:r>
        <w:rPr>
          <w:rFonts w:ascii="Arial" w:cs="Arial" w:eastAsia="Arial" w:hAnsi="Arial"/>
          <w:sz w:val="14"/>
          <w:szCs w:val="14"/>
          <w:color w:val="auto"/>
        </w:rPr>
        <w:t>The aggregate market value of common stock held by non-affiliates of the Registrant based on the closing price of the Registrant’s common stock as reported on the Nasdaq Global Market on June 30, 2022, the last business day of the Registrant’s most recently completed second quarter, was approximately $1.8 billion.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17, 2023 was 121,384,719.</w:t>
      </w:r>
    </w:p>
    <w:p>
      <w:pPr>
        <w:spacing w:after="0" w:line="21"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1" w:lineRule="exact"/>
        <w:rPr>
          <w:sz w:val="24"/>
          <w:szCs w:val="24"/>
          <w:color w:val="auto"/>
        </w:rPr>
      </w:pPr>
    </w:p>
    <w:p>
      <w:pPr>
        <w:ind w:right="240"/>
        <w:spacing w:after="0" w:line="290" w:lineRule="auto"/>
        <w:rPr>
          <w:sz w:val="20"/>
          <w:szCs w:val="20"/>
          <w:color w:val="auto"/>
        </w:rPr>
      </w:pPr>
      <w:r>
        <w:rPr>
          <w:rFonts w:ascii="Arial" w:cs="Arial" w:eastAsia="Arial" w:hAnsi="Arial"/>
          <w:sz w:val="13"/>
          <w:szCs w:val="13"/>
          <w:color w:val="auto"/>
        </w:rPr>
        <w:t>The Registrant intends to file a definitive proxy statement pursuant to Regulation 14A relating to the 2023 Annual Meeting of Stockholders within 120 days of the end of the registrant’s fiscal year ended December 31, 2022.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361315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60" w:type="dxa"/>
            <w:vAlign w:val="bottom"/>
            <w:gridSpan w:val="7"/>
          </w:tcPr>
          <w:p>
            <w:pPr>
              <w:ind w:left="160"/>
              <w:spacing w:after="0"/>
              <w:rPr>
                <w:sz w:val="20"/>
                <w:szCs w:val="20"/>
                <w:color w:val="auto"/>
              </w:rPr>
            </w:pPr>
            <w:r>
              <w:rPr>
                <w:rFonts w:ascii="Arial" w:cs="Arial" w:eastAsia="Arial" w:hAnsi="Arial"/>
                <w:sz w:val="16"/>
                <w:szCs w:val="16"/>
                <w:b w:val="1"/>
                <w:bCs w:val="1"/>
                <w:color w:val="auto"/>
              </w:rPr>
              <w:t>Table of Contents</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00" w:type="dxa"/>
            <w:vAlign w:val="bottom"/>
            <w:vMerge w:val="restart"/>
          </w:tcPr>
          <w:p>
            <w:pPr>
              <w:spacing w:after="0"/>
              <w:rPr>
                <w:sz w:val="20"/>
                <w:szCs w:val="20"/>
                <w:color w:val="auto"/>
              </w:rPr>
            </w:pPr>
            <w:r>
              <w:rPr>
                <w:rFonts w:ascii="Arial" w:cs="Arial" w:eastAsia="Arial" w:hAnsi="Arial"/>
                <w:sz w:val="15"/>
                <w:szCs w:val="15"/>
                <w:b w:val="1"/>
                <w:bCs w:val="1"/>
                <w:color w:val="0000FF"/>
                <w:w w:val="97"/>
              </w:rPr>
              <w:t>PART I</w:t>
            </w:r>
          </w:p>
        </w:tc>
        <w:tc>
          <w:tcPr>
            <w:tcW w:w="640" w:type="dxa"/>
            <w:vAlign w:val="bottom"/>
            <w:gridSpan w:val="3"/>
            <w:vMerge w:val="restart"/>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47"/>
        </w:trPr>
        <w:tc>
          <w:tcPr>
            <w:tcW w:w="500" w:type="dxa"/>
            <w:vAlign w:val="bottom"/>
            <w:tcBorders>
              <w:bottom w:val="single" w:sz="8" w:color="0000FF"/>
            </w:tcBorders>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9560" w:type="dxa"/>
            <w:vAlign w:val="bottom"/>
            <w:gridSpan w:val="22"/>
            <w:vMerge w:val="restart"/>
          </w:tcPr>
          <w:p>
            <w:pPr>
              <w:spacing w:after="0"/>
              <w:rPr>
                <w:sz w:val="20"/>
                <w:szCs w:val="20"/>
                <w:color w:val="auto"/>
              </w:rPr>
            </w:pPr>
            <w:r>
              <w:rPr>
                <w:rFonts w:ascii="Arial" w:cs="Arial" w:eastAsia="Arial" w:hAnsi="Arial"/>
                <w:sz w:val="15"/>
                <w:szCs w:val="15"/>
                <w:color w:val="0000FF"/>
              </w:rPr>
              <w:t>Business</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56"/>
        </w:trPr>
        <w:tc>
          <w:tcPr>
            <w:tcW w:w="1140" w:type="dxa"/>
            <w:vAlign w:val="bottom"/>
            <w:gridSpan w:val="4"/>
          </w:tcPr>
          <w:p>
            <w:pPr>
              <w:ind w:left="120"/>
              <w:spacing w:after="0" w:line="156" w:lineRule="exact"/>
              <w:rPr>
                <w:sz w:val="20"/>
                <w:szCs w:val="20"/>
                <w:color w:val="auto"/>
              </w:rPr>
            </w:pPr>
            <w:r>
              <w:rPr>
                <w:rFonts w:ascii="Arial" w:cs="Arial" w:eastAsia="Arial" w:hAnsi="Arial"/>
                <w:sz w:val="15"/>
                <w:szCs w:val="15"/>
                <w:color w:val="auto"/>
              </w:rPr>
              <w:t>Item 1.</w:t>
            </w:r>
          </w:p>
        </w:tc>
        <w:tc>
          <w:tcPr>
            <w:tcW w:w="9560" w:type="dxa"/>
            <w:vAlign w:val="bottom"/>
            <w:gridSpan w:val="2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1A.</w:t>
            </w: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Risk Factors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1B.</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line="20" w:lineRule="exact"/>
              <w:rPr>
                <w:sz w:val="1"/>
                <w:szCs w:val="1"/>
                <w:color w:val="auto"/>
              </w:rPr>
            </w:pPr>
          </w:p>
        </w:tc>
      </w:tr>
      <w:tr>
        <w:trPr>
          <w:trHeight w:val="155"/>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Unresolved Staff Comments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2.</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95</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Properties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3.</w:t>
            </w: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line="20" w:lineRule="exact"/>
              <w:rPr>
                <w:sz w:val="1"/>
                <w:szCs w:val="1"/>
                <w:color w:val="auto"/>
              </w:rPr>
            </w:pPr>
          </w:p>
        </w:tc>
      </w:tr>
      <w:tr>
        <w:trPr>
          <w:trHeight w:val="155"/>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Legal Proceedings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4.</w:t>
            </w:r>
          </w:p>
        </w:tc>
        <w:tc>
          <w:tcPr>
            <w:tcW w:w="20" w:type="dxa"/>
            <w:vAlign w:val="bottom"/>
            <w:shd w:val="clear" w:color="auto" w:fill="0000EE"/>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96</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Mine Safety Disclosures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gridSpan w:val="2"/>
            <w:vMerge w:val="restart"/>
          </w:tcPr>
          <w:p>
            <w:pPr>
              <w:spacing w:after="0"/>
              <w:rPr>
                <w:sz w:val="20"/>
                <w:szCs w:val="20"/>
                <w:color w:val="auto"/>
              </w:rPr>
            </w:pPr>
            <w:r>
              <w:rPr>
                <w:rFonts w:ascii="Arial" w:cs="Arial" w:eastAsia="Arial" w:hAnsi="Arial"/>
                <w:sz w:val="15"/>
                <w:szCs w:val="15"/>
                <w:b w:val="1"/>
                <w:bCs w:val="1"/>
                <w:color w:val="0000FF"/>
              </w:rPr>
              <w:t>PART II</w:t>
            </w:r>
          </w:p>
        </w:tc>
        <w:tc>
          <w:tcPr>
            <w:tcW w:w="58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60" w:type="dxa"/>
            <w:vAlign w:val="bottom"/>
            <w:tcBorders>
              <w:bottom w:val="single" w:sz="8" w:color="0000FF"/>
            </w:tcBorders>
            <w:gridSpan w:val="2"/>
            <w:vMerge w:val="continue"/>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9560" w:type="dxa"/>
            <w:vAlign w:val="bottom"/>
            <w:gridSpan w:val="22"/>
            <w:vMerge w:val="restart"/>
          </w:tcPr>
          <w:p>
            <w:pPr>
              <w:spacing w:after="0"/>
              <w:rPr>
                <w:sz w:val="20"/>
                <w:szCs w:val="20"/>
                <w:color w:val="auto"/>
              </w:rPr>
            </w:pPr>
            <w:r>
              <w:rPr>
                <w:rFonts w:ascii="Arial" w:cs="Arial" w:eastAsia="Arial" w:hAnsi="Arial"/>
                <w:sz w:val="15"/>
                <w:szCs w:val="15"/>
                <w:color w:val="0000FF"/>
              </w:rPr>
              <w:t>Market for Registrant’s Common Equity, Related Stockholder Matters and Issuer Purchases of Equity Securities</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56"/>
        </w:trPr>
        <w:tc>
          <w:tcPr>
            <w:tcW w:w="1140" w:type="dxa"/>
            <w:vAlign w:val="bottom"/>
            <w:gridSpan w:val="4"/>
          </w:tcPr>
          <w:p>
            <w:pPr>
              <w:ind w:left="120"/>
              <w:spacing w:after="0" w:line="156" w:lineRule="exact"/>
              <w:rPr>
                <w:sz w:val="20"/>
                <w:szCs w:val="20"/>
                <w:color w:val="auto"/>
              </w:rPr>
            </w:pPr>
            <w:r>
              <w:rPr>
                <w:rFonts w:ascii="Arial" w:cs="Arial" w:eastAsia="Arial" w:hAnsi="Arial"/>
                <w:sz w:val="15"/>
                <w:szCs w:val="15"/>
                <w:color w:val="auto"/>
              </w:rPr>
              <w:t>Item 5.</w:t>
            </w:r>
          </w:p>
        </w:tc>
        <w:tc>
          <w:tcPr>
            <w:tcW w:w="9560" w:type="dxa"/>
            <w:vAlign w:val="bottom"/>
            <w:gridSpan w:val="2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6.</w:t>
            </w:r>
          </w:p>
        </w:tc>
        <w:tc>
          <w:tcPr>
            <w:tcW w:w="20" w:type="dxa"/>
            <w:vAlign w:val="bottom"/>
            <w:shd w:val="clear" w:color="auto" w:fill="0000EE"/>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line="20" w:lineRule="exact"/>
              <w:rPr>
                <w:sz w:val="1"/>
                <w:szCs w:val="1"/>
                <w:color w:val="auto"/>
              </w:rPr>
            </w:pPr>
          </w:p>
        </w:tc>
      </w:tr>
      <w:tr>
        <w:trPr>
          <w:trHeight w:val="155"/>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[Reserved]</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7.</w:t>
            </w:r>
          </w:p>
        </w:tc>
        <w:tc>
          <w:tcPr>
            <w:tcW w:w="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Management’s Discussion and Analysis of Financial Condition and Results of Operations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7A.</w:t>
            </w: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Quantitative and Qualitative Disclosures About Market Risk</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8.</w:t>
            </w: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line="20" w:lineRule="exact"/>
              <w:rPr>
                <w:sz w:val="1"/>
                <w:szCs w:val="1"/>
                <w:color w:val="auto"/>
              </w:rPr>
            </w:pPr>
          </w:p>
        </w:tc>
      </w:tr>
      <w:tr>
        <w:trPr>
          <w:trHeight w:val="155"/>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Financial Statements and Supplementary Data</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9.</w:t>
            </w: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Changes in and Disagreements With Accountants on Accounting and Financial Disclosure</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9A.</w:t>
            </w: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line="20" w:lineRule="exact"/>
              <w:rPr>
                <w:sz w:val="1"/>
                <w:szCs w:val="1"/>
                <w:color w:val="auto"/>
              </w:rPr>
            </w:pPr>
          </w:p>
        </w:tc>
      </w:tr>
      <w:tr>
        <w:trPr>
          <w:trHeight w:val="155"/>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Controls and Procedures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9B.</w:t>
            </w: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Other Information</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9C.</w:t>
            </w:r>
          </w:p>
        </w:tc>
        <w:tc>
          <w:tcPr>
            <w:tcW w:w="20" w:type="dxa"/>
            <w:vAlign w:val="bottom"/>
            <w:shd w:val="clear" w:color="auto" w:fill="0000EE"/>
          </w:tcPr>
          <w:p>
            <w:pPr>
              <w:spacing w:after="0" w:line="20" w:lineRule="exact"/>
              <w:rPr>
                <w:sz w:val="1"/>
                <w:szCs w:val="1"/>
                <w:color w:val="auto"/>
              </w:rPr>
            </w:pPr>
          </w:p>
        </w:tc>
        <w:tc>
          <w:tcPr>
            <w:tcW w:w="1120" w:type="dxa"/>
            <w:vAlign w:val="bottom"/>
            <w:tcBorders>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line="20" w:lineRule="exact"/>
              <w:rPr>
                <w:sz w:val="1"/>
                <w:szCs w:val="1"/>
                <w:color w:val="auto"/>
              </w:rPr>
            </w:pPr>
          </w:p>
        </w:tc>
      </w:tr>
      <w:tr>
        <w:trPr>
          <w:trHeight w:val="155"/>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Disclosure Regarding Foreign Jurisdictions that Prevent Inspections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spacing w:after="0"/>
              <w:rPr>
                <w:sz w:val="20"/>
                <w:szCs w:val="20"/>
                <w:color w:val="auto"/>
              </w:rPr>
            </w:pPr>
            <w:r>
              <w:rPr>
                <w:rFonts w:ascii="Arial" w:cs="Arial" w:eastAsia="Arial" w:hAnsi="Arial"/>
                <w:sz w:val="15"/>
                <w:szCs w:val="15"/>
                <w:b w:val="1"/>
                <w:bCs w:val="1"/>
                <w:color w:val="0000FF"/>
              </w:rPr>
              <w:t>PART III</w:t>
            </w:r>
          </w:p>
        </w:tc>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gridSpan w:val="4"/>
            <w:vMerge w:val="continue"/>
          </w:tcPr>
          <w:p>
            <w:pPr>
              <w:spacing w:after="0"/>
              <w:rPr>
                <w:sz w:val="24"/>
                <w:szCs w:val="24"/>
                <w:color w:val="auto"/>
              </w:rPr>
            </w:pPr>
          </w:p>
        </w:tc>
        <w:tc>
          <w:tcPr>
            <w:tcW w:w="9560" w:type="dxa"/>
            <w:vAlign w:val="bottom"/>
            <w:gridSpan w:val="22"/>
            <w:vMerge w:val="restart"/>
          </w:tcPr>
          <w:p>
            <w:pPr>
              <w:spacing w:after="0"/>
              <w:rPr>
                <w:sz w:val="20"/>
                <w:szCs w:val="20"/>
                <w:color w:val="auto"/>
              </w:rPr>
            </w:pPr>
            <w:r>
              <w:rPr>
                <w:rFonts w:ascii="Arial" w:cs="Arial" w:eastAsia="Arial" w:hAnsi="Arial"/>
                <w:sz w:val="15"/>
                <w:szCs w:val="15"/>
                <w:color w:val="0000FF"/>
              </w:rPr>
              <w:t>Directors, Executive Officers and Corporate Governance</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9560" w:type="dxa"/>
            <w:vAlign w:val="bottom"/>
            <w:gridSpan w:val="22"/>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gridSpan w:val="4"/>
          </w:tcPr>
          <w:p>
            <w:pPr>
              <w:ind w:left="120"/>
              <w:spacing w:after="0" w:line="156" w:lineRule="exact"/>
              <w:rPr>
                <w:sz w:val="20"/>
                <w:szCs w:val="20"/>
                <w:color w:val="auto"/>
              </w:rPr>
            </w:pPr>
            <w:r>
              <w:rPr>
                <w:rFonts w:ascii="Arial" w:cs="Arial" w:eastAsia="Arial" w:hAnsi="Arial"/>
                <w:sz w:val="15"/>
                <w:szCs w:val="15"/>
                <w:color w:val="auto"/>
              </w:rPr>
              <w:t>Item 10.</w:t>
            </w:r>
          </w:p>
        </w:tc>
        <w:tc>
          <w:tcPr>
            <w:tcW w:w="9560" w:type="dxa"/>
            <w:vAlign w:val="bottom"/>
            <w:gridSpan w:val="2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11.</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Executive Compensation</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12.</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line="20" w:lineRule="exact"/>
              <w:rPr>
                <w:sz w:val="1"/>
                <w:szCs w:val="1"/>
                <w:color w:val="auto"/>
              </w:rPr>
            </w:pPr>
          </w:p>
        </w:tc>
      </w:tr>
      <w:tr>
        <w:trPr>
          <w:trHeight w:val="155"/>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Security Ownership of Certain Beneficial Owners and Management and Related Stockholder Matters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13.</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Certain Relationships and Related Transactions, and Director Independence</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14.</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117</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Principal Accounting Fees and Services</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spacing w:after="0"/>
              <w:rPr>
                <w:sz w:val="20"/>
                <w:szCs w:val="20"/>
                <w:color w:val="auto"/>
              </w:rPr>
            </w:pPr>
            <w:r>
              <w:rPr>
                <w:rFonts w:ascii="Arial" w:cs="Arial" w:eastAsia="Arial" w:hAnsi="Arial"/>
                <w:sz w:val="15"/>
                <w:szCs w:val="15"/>
                <w:b w:val="1"/>
                <w:bCs w:val="1"/>
                <w:color w:val="0000FF"/>
              </w:rPr>
              <w:t>PART IV</w:t>
            </w:r>
          </w:p>
        </w:tc>
        <w:tc>
          <w:tcPr>
            <w:tcW w:w="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gridSpan w:val="4"/>
            <w:vMerge w:val="continue"/>
          </w:tcPr>
          <w:p>
            <w:pPr>
              <w:spacing w:after="0"/>
              <w:rPr>
                <w:sz w:val="24"/>
                <w:szCs w:val="24"/>
                <w:color w:val="auto"/>
              </w:rPr>
            </w:pPr>
          </w:p>
        </w:tc>
        <w:tc>
          <w:tcPr>
            <w:tcW w:w="9560" w:type="dxa"/>
            <w:vAlign w:val="bottom"/>
            <w:gridSpan w:val="22"/>
            <w:vMerge w:val="restart"/>
          </w:tcPr>
          <w:p>
            <w:pPr>
              <w:spacing w:after="0"/>
              <w:rPr>
                <w:sz w:val="20"/>
                <w:szCs w:val="20"/>
                <w:color w:val="auto"/>
              </w:rPr>
            </w:pPr>
            <w:r>
              <w:rPr>
                <w:rFonts w:ascii="Arial" w:cs="Arial" w:eastAsia="Arial" w:hAnsi="Arial"/>
                <w:sz w:val="15"/>
                <w:szCs w:val="15"/>
                <w:color w:val="0000FF"/>
              </w:rPr>
              <w:t>Exhibits and Financial Statement Schedules</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560" w:type="dxa"/>
            <w:vAlign w:val="bottom"/>
            <w:gridSpan w:val="22"/>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40" w:type="dxa"/>
            <w:vAlign w:val="bottom"/>
            <w:gridSpan w:val="4"/>
          </w:tcPr>
          <w:p>
            <w:pPr>
              <w:ind w:left="120"/>
              <w:spacing w:after="0" w:line="156" w:lineRule="exact"/>
              <w:rPr>
                <w:sz w:val="20"/>
                <w:szCs w:val="20"/>
                <w:color w:val="auto"/>
              </w:rPr>
            </w:pPr>
            <w:r>
              <w:rPr>
                <w:rFonts w:ascii="Arial" w:cs="Arial" w:eastAsia="Arial" w:hAnsi="Arial"/>
                <w:sz w:val="15"/>
                <w:szCs w:val="15"/>
                <w:color w:val="auto"/>
              </w:rPr>
              <w:t>Item 15.</w:t>
            </w:r>
          </w:p>
        </w:tc>
        <w:tc>
          <w:tcPr>
            <w:tcW w:w="9560" w:type="dxa"/>
            <w:vAlign w:val="bottom"/>
            <w:gridSpan w:val="2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gridSpan w:val="4"/>
            <w:vMerge w:val="restart"/>
          </w:tcPr>
          <w:p>
            <w:pPr>
              <w:ind w:left="120"/>
              <w:spacing w:after="0"/>
              <w:rPr>
                <w:sz w:val="20"/>
                <w:szCs w:val="20"/>
                <w:color w:val="auto"/>
              </w:rPr>
            </w:pPr>
            <w:r>
              <w:rPr>
                <w:rFonts w:ascii="Arial" w:cs="Arial" w:eastAsia="Arial" w:hAnsi="Arial"/>
                <w:sz w:val="15"/>
                <w:szCs w:val="15"/>
                <w:color w:val="auto"/>
              </w:rPr>
              <w:t>Item 16.</w:t>
            </w:r>
          </w:p>
        </w:tc>
        <w:tc>
          <w:tcPr>
            <w:tcW w:w="20" w:type="dxa"/>
            <w:vAlign w:val="bottom"/>
            <w:shd w:val="clear" w:color="auto" w:fill="0000EE"/>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F-1</w:t>
            </w:r>
          </w:p>
        </w:tc>
        <w:tc>
          <w:tcPr>
            <w:tcW w:w="0" w:type="dxa"/>
            <w:vAlign w:val="bottom"/>
          </w:tcPr>
          <w:p>
            <w:pPr>
              <w:spacing w:after="0" w:line="20" w:lineRule="exact"/>
              <w:rPr>
                <w:sz w:val="1"/>
                <w:szCs w:val="1"/>
                <w:color w:val="auto"/>
              </w:rPr>
            </w:pPr>
          </w:p>
        </w:tc>
      </w:tr>
      <w:tr>
        <w:trPr>
          <w:trHeight w:val="156"/>
        </w:trPr>
        <w:tc>
          <w:tcPr>
            <w:tcW w:w="1140" w:type="dxa"/>
            <w:vAlign w:val="bottom"/>
            <w:gridSpan w:val="4"/>
            <w:vMerge w:val="continue"/>
          </w:tcPr>
          <w:p>
            <w:pPr>
              <w:spacing w:after="0"/>
              <w:rPr>
                <w:sz w:val="13"/>
                <w:szCs w:val="13"/>
                <w:color w:val="auto"/>
              </w:rPr>
            </w:pPr>
          </w:p>
        </w:tc>
        <w:tc>
          <w:tcPr>
            <w:tcW w:w="9560" w:type="dxa"/>
            <w:vAlign w:val="bottom"/>
            <w:gridSpan w:val="22"/>
          </w:tcPr>
          <w:p>
            <w:pPr>
              <w:spacing w:after="0" w:line="156" w:lineRule="exact"/>
              <w:rPr>
                <w:sz w:val="20"/>
                <w:szCs w:val="20"/>
                <w:color w:val="auto"/>
              </w:rPr>
            </w:pPr>
            <w:r>
              <w:rPr>
                <w:rFonts w:ascii="Arial" w:cs="Arial" w:eastAsia="Arial" w:hAnsi="Arial"/>
                <w:sz w:val="15"/>
                <w:szCs w:val="15"/>
                <w:color w:val="0000FF"/>
              </w:rPr>
              <w:t>Form 10-K Summary</w:t>
            </w: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2" w:right="339" w:bottom="1440" w:gutter="0" w:footer="0" w:header="0"/>
        </w:sectPr>
      </w:pPr>
    </w:p>
    <w:bookmarkStart w:id="2" w:name="page3"/>
    <w:bookmarkEnd w:id="2"/>
    <w:p>
      <w:pPr>
        <w:ind w:left="2340"/>
        <w:spacing w:after="0"/>
        <w:rPr>
          <w:sz w:val="20"/>
          <w:szCs w:val="20"/>
          <w:color w:val="auto"/>
        </w:rPr>
      </w:pPr>
      <w:r>
        <w:rPr>
          <w:rFonts w:ascii="Arial" w:cs="Arial" w:eastAsia="Arial" w:hAnsi="Arial"/>
          <w:sz w:val="16"/>
          <w:szCs w:val="16"/>
          <w:b w:val="1"/>
          <w:bCs w:val="1"/>
          <w:color w:val="auto"/>
        </w:rPr>
        <w:t>SUMMARY OF THE MATERIAL RISKS ASSOCIATED WITH OUR BUSINESS</w:t>
      </w:r>
    </w:p>
    <w:p>
      <w:pPr>
        <w:spacing w:after="0" w:line="239" w:lineRule="exact"/>
        <w:rPr>
          <w:sz w:val="20"/>
          <w:szCs w:val="20"/>
          <w:color w:val="auto"/>
        </w:rPr>
      </w:pPr>
    </w:p>
    <w:p>
      <w:pPr>
        <w:ind w:left="380" w:right="140" w:hanging="378"/>
        <w:spacing w:after="0" w:line="328" w:lineRule="auto"/>
        <w:tabs>
          <w:tab w:leader="none" w:pos="38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have never successfully completed any clinical trials, and we may be unable to do so for any product candidates we develop. We may incur additional costs or experience delays in completing, or ultimately be unable to complete, the development and commercialization of our product candidates.</w:t>
      </w:r>
    </w:p>
    <w:p>
      <w:pPr>
        <w:spacing w:after="0" w:line="149" w:lineRule="exact"/>
        <w:rPr>
          <w:rFonts w:ascii="Arial" w:cs="Arial" w:eastAsia="Arial" w:hAnsi="Arial"/>
          <w:sz w:val="15"/>
          <w:szCs w:val="15"/>
          <w:color w:val="auto"/>
        </w:rPr>
      </w:pPr>
    </w:p>
    <w:p>
      <w:pPr>
        <w:ind w:left="380" w:hanging="378"/>
        <w:spacing w:after="0"/>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experience delays or difficulties in the enrollment of patients in clinical trials, our receipt of necessary regulatory approvals could be delayed or prevented.</w:t>
      </w:r>
    </w:p>
    <w:p>
      <w:pPr>
        <w:spacing w:after="0" w:line="257" w:lineRule="exact"/>
        <w:rPr>
          <w:rFonts w:ascii="Arial" w:cs="Arial" w:eastAsia="Arial" w:hAnsi="Arial"/>
          <w:sz w:val="14"/>
          <w:szCs w:val="14"/>
          <w:color w:val="auto"/>
        </w:rPr>
      </w:pPr>
    </w:p>
    <w:p>
      <w:pPr>
        <w:ind w:left="380" w:right="20" w:hanging="378"/>
        <w:spacing w:after="0" w:line="305" w:lineRule="auto"/>
        <w:tabs>
          <w:tab w:leader="none" w:pos="3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165" w:lineRule="exact"/>
        <w:rPr>
          <w:rFonts w:ascii="Arial" w:cs="Arial" w:eastAsia="Arial" w:hAnsi="Arial"/>
          <w:sz w:val="15"/>
          <w:szCs w:val="15"/>
          <w:color w:val="auto"/>
        </w:rPr>
      </w:pPr>
    </w:p>
    <w:p>
      <w:pPr>
        <w:ind w:left="380" w:right="80" w:hanging="378"/>
        <w:spacing w:after="0" w:line="293"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current or future clinical trials may reveal significant adverse events not seen in our preclinical or nonclinical studies or early clinical data and may result in a safety profile that would inhibit regulatory approval or market acceptance of any of our product candidates.</w:t>
      </w:r>
    </w:p>
    <w:p>
      <w:pPr>
        <w:spacing w:after="0" w:line="171" w:lineRule="exact"/>
        <w:rPr>
          <w:rFonts w:ascii="Arial" w:cs="Arial" w:eastAsia="Arial" w:hAnsi="Arial"/>
          <w:sz w:val="16"/>
          <w:szCs w:val="16"/>
          <w:color w:val="auto"/>
        </w:rPr>
      </w:pPr>
    </w:p>
    <w:p>
      <w:pPr>
        <w:ind w:left="380" w:right="60" w:hanging="378"/>
        <w:spacing w:after="0" w:line="278"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spacing w:after="0" w:line="184" w:lineRule="exact"/>
        <w:rPr>
          <w:rFonts w:ascii="Arial" w:cs="Arial" w:eastAsia="Arial" w:hAnsi="Arial"/>
          <w:sz w:val="16"/>
          <w:szCs w:val="16"/>
          <w:color w:val="auto"/>
        </w:rPr>
      </w:pPr>
    </w:p>
    <w:p>
      <w:pPr>
        <w:ind w:left="380" w:right="20" w:hanging="378"/>
        <w:spacing w:after="0" w:line="278"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84" w:lineRule="exact"/>
        <w:rPr>
          <w:rFonts w:ascii="Arial" w:cs="Arial" w:eastAsia="Arial" w:hAnsi="Arial"/>
          <w:sz w:val="16"/>
          <w:szCs w:val="16"/>
          <w:color w:val="auto"/>
        </w:rPr>
      </w:pPr>
    </w:p>
    <w:p>
      <w:pPr>
        <w:ind w:left="380" w:hanging="378"/>
        <w:spacing w:after="0"/>
        <w:tabs>
          <w:tab w:leader="none" w:pos="380" w:val="left"/>
        </w:tabs>
        <w:numPr>
          <w:ilvl w:val="0"/>
          <w:numId w:val="3"/>
        </w:numPr>
        <w:rPr>
          <w:rFonts w:ascii="Arial" w:cs="Arial" w:eastAsia="Arial" w:hAnsi="Arial"/>
          <w:sz w:val="15"/>
          <w:szCs w:val="15"/>
          <w:color w:val="auto"/>
        </w:rPr>
      </w:pPr>
      <w:r>
        <w:rPr>
          <w:rFonts w:ascii="Arial" w:cs="Arial" w:eastAsia="Arial" w:hAnsi="Arial"/>
          <w:sz w:val="15"/>
          <w:szCs w:val="15"/>
          <w:color w:val="auto"/>
        </w:rPr>
        <w:t>We face substantial competition, which may result in others discovering, developing or commercializing products before or more successfully than we do.</w:t>
      </w:r>
    </w:p>
    <w:p>
      <w:pPr>
        <w:spacing w:after="0" w:line="246" w:lineRule="exact"/>
        <w:rPr>
          <w:rFonts w:ascii="Arial" w:cs="Arial" w:eastAsia="Arial" w:hAnsi="Arial"/>
          <w:sz w:val="15"/>
          <w:szCs w:val="15"/>
          <w:color w:val="auto"/>
        </w:rPr>
      </w:pPr>
    </w:p>
    <w:p>
      <w:pPr>
        <w:ind w:left="380" w:right="260" w:hanging="378"/>
        <w:spacing w:after="0" w:line="293"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spacing w:after="0" w:line="171" w:lineRule="exact"/>
        <w:rPr>
          <w:rFonts w:ascii="Arial" w:cs="Arial" w:eastAsia="Arial" w:hAnsi="Arial"/>
          <w:sz w:val="16"/>
          <w:szCs w:val="16"/>
          <w:color w:val="auto"/>
        </w:rPr>
      </w:pPr>
    </w:p>
    <w:p>
      <w:pPr>
        <w:ind w:left="380" w:right="60" w:hanging="378"/>
        <w:spacing w:after="0" w:line="273"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Under our Amended and Restated Collaboration and License Agreement, or the DESRES Agreement, with D. E. Shaw Research, LLC, or D. E. Shaw Research, we collaborate with D. E. Shaw Research to rapidly develop various protein models, a process that depends on D. E. Shaw Research’s use of their proprietary supercomputer, Anton 2. A termination of the DESRES Agreement could have a material adverse effect on our business, financial condition, results of operations, and prospects.</w:t>
      </w:r>
    </w:p>
    <w:p>
      <w:pPr>
        <w:spacing w:after="0" w:line="188" w:lineRule="exact"/>
        <w:rPr>
          <w:rFonts w:ascii="Arial" w:cs="Arial" w:eastAsia="Arial" w:hAnsi="Arial"/>
          <w:sz w:val="16"/>
          <w:szCs w:val="16"/>
          <w:color w:val="auto"/>
        </w:rPr>
      </w:pPr>
    </w:p>
    <w:p>
      <w:pPr>
        <w:ind w:left="380" w:right="180" w:hanging="378"/>
        <w:spacing w:after="0" w:line="273"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rely on third parties to conduct our ongoing clinical trials of RLY-4008 and RLY-2608 and expect to rely on third parties to conduct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8" w:lineRule="exact"/>
        <w:rPr>
          <w:rFonts w:ascii="Arial" w:cs="Arial" w:eastAsia="Arial" w:hAnsi="Arial"/>
          <w:sz w:val="16"/>
          <w:szCs w:val="16"/>
          <w:color w:val="auto"/>
        </w:rPr>
      </w:pPr>
    </w:p>
    <w:p>
      <w:pPr>
        <w:ind w:left="380" w:right="360" w:hanging="378"/>
        <w:spacing w:after="0" w:line="293"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and may enter into other collaborations with third parties for the research, development, manufacture and commercialization of one or more of our programs or product candidates. If these collaborations are not successful, our business could be adversely affected.</w:t>
      </w:r>
    </w:p>
    <w:p>
      <w:pPr>
        <w:spacing w:after="0" w:line="171" w:lineRule="exact"/>
        <w:rPr>
          <w:rFonts w:ascii="Arial" w:cs="Arial" w:eastAsia="Arial" w:hAnsi="Arial"/>
          <w:sz w:val="16"/>
          <w:szCs w:val="16"/>
          <w:color w:val="auto"/>
        </w:rPr>
      </w:pPr>
    </w:p>
    <w:p>
      <w:pPr>
        <w:ind w:left="380" w:hanging="378"/>
        <w:spacing w:after="0" w:line="369" w:lineRule="auto"/>
        <w:tabs>
          <w:tab w:leader="none" w:pos="3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a biopharmaceutical company with a limited operating history. We have incurred significant operating losses since our inception and anticipate that we will incur continued losses for the foreseeable future. We have no products approved for commercial sale and have not generated any revenue from product sales.</w:t>
      </w:r>
    </w:p>
    <w:p>
      <w:pPr>
        <w:spacing w:after="0" w:line="125" w:lineRule="exact"/>
        <w:rPr>
          <w:rFonts w:ascii="Arial" w:cs="Arial" w:eastAsia="Arial" w:hAnsi="Arial"/>
          <w:sz w:val="14"/>
          <w:szCs w:val="14"/>
          <w:color w:val="auto"/>
        </w:rPr>
      </w:pPr>
    </w:p>
    <w:p>
      <w:pPr>
        <w:ind w:left="380" w:right="80" w:hanging="378"/>
        <w:spacing w:after="0" w:line="293"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need to raise substantial additional funding. If we are unable to raise capital when needed, we would be forced to delay, reduce or eliminate some of our product development programs or commercialization efforts.</w:t>
      </w:r>
    </w:p>
    <w:p>
      <w:pPr>
        <w:spacing w:after="0" w:line="16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342" w:right="359" w:bottom="1440" w:gutter="0" w:footer="0" w:header="0"/>
        </w:sectPr>
      </w:pPr>
    </w:p>
    <w:bookmarkStart w:id="3" w:name="page4"/>
    <w:bookmarkEnd w:id="3"/>
    <w:p>
      <w:pPr>
        <w:ind w:left="380" w:right="40" w:hanging="378"/>
        <w:spacing w:after="0" w:line="293"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COVID-19 pandemic has impacted our business and any future pandemic, epidemic, or outbreak of an infectious disease could similarly affect our business and our financial results and could cause further disruption to the development of our product candidates.</w:t>
      </w:r>
    </w:p>
    <w:p>
      <w:pPr>
        <w:spacing w:after="0" w:line="171" w:lineRule="exact"/>
        <w:rPr>
          <w:rFonts w:ascii="Arial" w:cs="Arial" w:eastAsia="Arial" w:hAnsi="Arial"/>
          <w:sz w:val="16"/>
          <w:szCs w:val="16"/>
          <w:color w:val="auto"/>
        </w:rPr>
      </w:pPr>
    </w:p>
    <w:p>
      <w:pPr>
        <w:ind w:left="380" w:hanging="378"/>
        <w:spacing w:after="0" w:line="293"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Global economic and political conditions, including economic volatility associated with inflation and rising interest rates, as well as political uncertainty relating to the conflict between Russia and Ukraine, are difficult to mitigate and could pose challenges to our growth and profitability.</w:t>
      </w:r>
    </w:p>
    <w:p>
      <w:pPr>
        <w:spacing w:after="0" w:line="171" w:lineRule="exact"/>
        <w:rPr>
          <w:rFonts w:ascii="Arial" w:cs="Arial" w:eastAsia="Arial" w:hAnsi="Arial"/>
          <w:sz w:val="16"/>
          <w:szCs w:val="16"/>
          <w:color w:val="auto"/>
        </w:rPr>
      </w:pPr>
    </w:p>
    <w:p>
      <w:pPr>
        <w:ind w:left="380" w:right="60" w:hanging="378"/>
        <w:spacing w:after="0" w:line="278"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p>
    <w:p>
      <w:pPr>
        <w:spacing w:after="0" w:line="184" w:lineRule="exact"/>
        <w:rPr>
          <w:rFonts w:ascii="Arial" w:cs="Arial" w:eastAsia="Arial" w:hAnsi="Arial"/>
          <w:sz w:val="16"/>
          <w:szCs w:val="16"/>
          <w:color w:val="auto"/>
        </w:rPr>
      </w:pPr>
    </w:p>
    <w:p>
      <w:pPr>
        <w:ind w:left="380" w:right="80" w:hanging="378"/>
        <w:spacing w:after="0" w:line="273"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18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562" w:right="3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This Annual Report on Form 10-K contains express or implied “forward-looking statements,” within the meaning of the Private Securities Litigation Reform Act of 1995,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statements about:</w:t>
      </w:r>
    </w:p>
    <w:p>
      <w:pPr>
        <w:spacing w:after="0" w:line="194" w:lineRule="exact"/>
        <w:rPr>
          <w:sz w:val="20"/>
          <w:szCs w:val="20"/>
          <w:color w:val="auto"/>
        </w:rPr>
      </w:pPr>
    </w:p>
    <w:p>
      <w:pPr>
        <w:ind w:left="760" w:right="40" w:hanging="378"/>
        <w:spacing w:after="0" w:line="278"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184" w:lineRule="exact"/>
        <w:rPr>
          <w:rFonts w:ascii="Arial" w:cs="Arial" w:eastAsia="Arial" w:hAnsi="Arial"/>
          <w:sz w:val="16"/>
          <w:szCs w:val="16"/>
          <w:color w:val="auto"/>
        </w:rPr>
      </w:pPr>
    </w:p>
    <w:p>
      <w:pPr>
        <w:ind w:left="760" w:right="100" w:hanging="378"/>
        <w:spacing w:after="0" w:line="293"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identification of research priorities and application of a risk-mitigated strategy to efficiently discover and develop product candidates, including by applying learnings from one program to other programs and from one modality to our other modalities;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potential safety and efficacy of our product candidates and the therapeutic implications of clinical and preclinical data;</w:t>
      </w:r>
    </w:p>
    <w:p>
      <w:pPr>
        <w:spacing w:after="0" w:line="234" w:lineRule="exact"/>
        <w:rPr>
          <w:rFonts w:ascii="Arial" w:cs="Arial" w:eastAsia="Arial" w:hAnsi="Arial"/>
          <w:sz w:val="16"/>
          <w:szCs w:val="16"/>
          <w:color w:val="auto"/>
        </w:rPr>
      </w:pPr>
    </w:p>
    <w:p>
      <w:pPr>
        <w:ind w:left="760" w:right="100" w:hanging="378"/>
        <w:spacing w:after="0" w:line="293"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manufacture of our drug substances, delivery vehicles, and product candidates for preclinical use, for clinical trials and on a larger scale for commercial use, if approved;</w:t>
      </w:r>
    </w:p>
    <w:p>
      <w:pPr>
        <w:spacing w:after="0" w:line="171" w:lineRule="exact"/>
        <w:rPr>
          <w:rFonts w:ascii="Arial" w:cs="Arial" w:eastAsia="Arial" w:hAnsi="Arial"/>
          <w:sz w:val="16"/>
          <w:szCs w:val="16"/>
          <w:color w:val="auto"/>
        </w:rPr>
      </w:pPr>
    </w:p>
    <w:p>
      <w:pPr>
        <w:ind w:left="760" w:right="560" w:hanging="378"/>
        <w:spacing w:after="0" w:line="293"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relationships with our third-party strategic collaborators and their ability to continue research and development activities relating to our development candidates and product candidates;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funding for our operations necessary to complete further development and commercialization of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plans to seek regulatory approval of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pricing and reimbursement of our product candidates, if approved;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implementation of our business model, and strategic plans for our business, product candidates, and technology;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of protection for intellectual property rights covering our product candidates and technology;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estimates of our future expenses, revenues, capital requirements, and our needs for additional financing;</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potential benefits of strategic collaboration agreements with collaborators with development, regulatory and commercialization expertise;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future agreements with third parties in connection with the commercialization of product candidates and any other approved product;</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and our ability to serve those markets;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financial performance;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regulatory developments in the United States and foreign countries;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contract with third-party suppliers and manufacturers and their ability to perform adequately;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produce our products or product candidates with advantages in turnaround times or manufacturing cost;</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5" w:name="page6"/>
    <w:bookmarkEnd w:id="5"/>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success of competing therapies that are or may become available;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attract and retain key scientific or management personnel;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laws and regulations on our business and programs;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w:t>
      </w:r>
    </w:p>
    <w:p>
      <w:pPr>
        <w:spacing w:after="0" w:line="234" w:lineRule="exact"/>
        <w:rPr>
          <w:rFonts w:ascii="Arial" w:cs="Arial" w:eastAsia="Arial" w:hAnsi="Arial"/>
          <w:sz w:val="16"/>
          <w:szCs w:val="16"/>
          <w:color w:val="auto"/>
        </w:rPr>
      </w:pPr>
    </w:p>
    <w:p>
      <w:pPr>
        <w:ind w:left="760" w:right="40" w:hanging="378"/>
        <w:spacing w:after="0" w:line="328" w:lineRule="auto"/>
        <w:tabs>
          <w:tab w:leader="none" w:pos="7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effect of the ongoing COVID-19 pandemic and the current conflict between Russia and Ukraine, including mitigation efforts and economic effects, on any of the foregoing or other aspects of our business operations, including but not limited to our preclinical studies and current and future clinical trials; and</w:t>
      </w:r>
    </w:p>
    <w:p>
      <w:pPr>
        <w:spacing w:after="0" w:line="149" w:lineRule="exact"/>
        <w:rPr>
          <w:rFonts w:ascii="Arial" w:cs="Arial" w:eastAsia="Arial" w:hAnsi="Arial"/>
          <w:sz w:val="15"/>
          <w:szCs w:val="15"/>
          <w:color w:val="auto"/>
        </w:rPr>
      </w:pPr>
    </w:p>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under the caption “Risk Factors.”</w:t>
      </w:r>
    </w:p>
    <w:p>
      <w:pPr>
        <w:spacing w:after="0" w:line="23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some cases, you can identify forward-looking statements by terminology such as “may,” “can,” “should,” “expects,” “intends,” “plans,” “anticipates,” “believes,” “estimates,” “predicts,” “potential,” “projects,” “will,” “might,” “could,” “continue,” or the negative of these terms or other comparable terminology. These statements are only predictions. All statements other than statements of historical facts are statements that could be deemed forward-looking statements.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above under “Summary of the Material Risks Associated with Our Business,” those listed below under the section titled “Risk Factors” and elsewhere in this Annual Report on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 reference in this Annual Report on Form 10-K and have filed with the Securities and Exchange Commission, or the SEC, as exhibits hereto completely and with the understanding that our actual future results may be materially different from any future results expressed or implied by these forward-looking statements.</w:t>
      </w:r>
    </w:p>
    <w:p>
      <w:pPr>
        <w:spacing w:after="0" w:line="192" w:lineRule="exact"/>
        <w:rPr>
          <w:sz w:val="20"/>
          <w:szCs w:val="20"/>
          <w:color w:val="auto"/>
        </w:rPr>
      </w:pPr>
    </w:p>
    <w:p>
      <w:pPr>
        <w:jc w:val="both"/>
        <w:ind w:right="60"/>
        <w:spacing w:after="0" w:line="273" w:lineRule="auto"/>
        <w:rPr>
          <w:sz w:val="20"/>
          <w:szCs w:val="20"/>
          <w:color w:val="auto"/>
        </w:rPr>
      </w:pPr>
      <w:r>
        <w:rPr>
          <w:rFonts w:ascii="Arial" w:cs="Arial" w:eastAsia="Arial" w:hAnsi="Arial"/>
          <w:sz w:val="16"/>
          <w:szCs w:val="16"/>
          <w:color w:val="auto"/>
        </w:rPr>
        <w:t>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p>
    <w:p>
      <w:pPr>
        <w:spacing w:after="0" w:line="18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6"/>
          <w:szCs w:val="16"/>
          <w:b w:val="1"/>
          <w:bCs w:val="1"/>
          <w:color w:val="auto"/>
        </w:rPr>
        <w:t>PART I</w:t>
      </w:r>
    </w:p>
    <w:p>
      <w:pPr>
        <w:spacing w:after="0" w:line="23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Except where the context otherwise requires or where otherwise indicated, the terms “Relay Therapeutics,” “we,” “us,” “our,” “our company,” the “Company,” and “our business” refer to Relay Therapeutics, Inc. and its consolidated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are a clinical-stage precision medicine company transforming the drug discovery process by combining leading-edge computational and experimental technologies with the goal of bringing life-changing therapies to patients. As we believe we are among the first of a new breed of biotech created at the intersection of complementary techniques and technologies, we aim to push the boundaries of what’s possible in drug discovery. Our Dynamo™ platform integrates an array of leading-edge computational and experimental approaches designed to drug protein targets that have previously been intractable or inadequately addressed. Our initial focus is on enhancing small molecule therapeutic discovery in targeted oncology and genetic disease indications.</w:t>
      </w:r>
    </w:p>
    <w:p>
      <w:pPr>
        <w:spacing w:after="0" w:line="190" w:lineRule="exact"/>
        <w:rPr>
          <w:sz w:val="20"/>
          <w:szCs w:val="20"/>
          <w:color w:val="auto"/>
        </w:rPr>
      </w:pPr>
    </w:p>
    <w:p>
      <w:pPr>
        <w:jc w:val="both"/>
        <w:ind w:right="320"/>
        <w:spacing w:after="0" w:line="278" w:lineRule="auto"/>
        <w:rPr>
          <w:sz w:val="20"/>
          <w:szCs w:val="20"/>
          <w:color w:val="auto"/>
        </w:rPr>
      </w:pPr>
      <w:r>
        <w:rPr>
          <w:rFonts w:ascii="Arial" w:cs="Arial" w:eastAsia="Arial" w:hAnsi="Arial"/>
          <w:sz w:val="16"/>
          <w:szCs w:val="16"/>
          <w:color w:val="auto"/>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p>
    <w:p>
      <w:pPr>
        <w:spacing w:after="0" w:line="18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We are advancing a pipeline of medicine candidates to address targets in precision oncology and genetic disease, including our lead product candidates, RLY-4008, RLY-2608 and GDC-1971 (formerly known as RLY-1971).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2661285</wp:posOffset>
            </wp:positionV>
            <wp:extent cx="1714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5349240" cy="2305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i w:val="1"/>
          <w:iCs w:val="1"/>
          <w:color w:val="auto"/>
        </w:rPr>
        <w:t>Note: Unless otherwise indicated, patient numbers refer to total annual number of patients in the United States with late-line cancers compared to comprehensive annual incidence that may be amenable to treatment with our programs.</w:t>
      </w:r>
    </w:p>
    <w:p>
      <w:pPr>
        <w:spacing w:after="0" w:line="1" w:lineRule="exact"/>
        <w:rPr>
          <w:sz w:val="20"/>
          <w:szCs w:val="20"/>
          <w:color w:val="auto"/>
        </w:rPr>
      </w:pPr>
    </w:p>
    <w:p>
      <w:pPr>
        <w:ind w:left="560" w:hanging="552"/>
        <w:spacing w:after="0"/>
        <w:tabs>
          <w:tab w:leader="none" w:pos="5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Unless otherwise indicated, all breast cancer patient numbers refer to HR+/HER2- breast cancer tumors.</w:t>
      </w:r>
    </w:p>
    <w:p>
      <w:pPr>
        <w:spacing w:after="0" w:line="18" w:lineRule="exact"/>
        <w:rPr>
          <w:rFonts w:ascii="Arial" w:cs="Arial" w:eastAsia="Arial" w:hAnsi="Arial"/>
          <w:sz w:val="16"/>
          <w:szCs w:val="16"/>
          <w:i w:val="1"/>
          <w:iCs w:val="1"/>
          <w:color w:val="auto"/>
        </w:rPr>
      </w:pPr>
    </w:p>
    <w:p>
      <w:pPr>
        <w:ind w:left="560" w:hanging="552"/>
        <w:spacing w:after="0"/>
        <w:tabs>
          <w:tab w:leader="none" w:pos="5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RLY-2608 and RLY-5836 cover H1047X, E542X, E545X hot spots, and breast cancer patient range assumes HR+/HER2- population.</w:t>
      </w:r>
    </w:p>
    <w:p>
      <w:pPr>
        <w:spacing w:after="0" w:line="18" w:lineRule="exact"/>
        <w:rPr>
          <w:rFonts w:ascii="Arial" w:cs="Arial" w:eastAsia="Arial" w:hAnsi="Arial"/>
          <w:sz w:val="16"/>
          <w:szCs w:val="16"/>
          <w:i w:val="1"/>
          <w:iCs w:val="1"/>
          <w:color w:val="auto"/>
        </w:rPr>
      </w:pPr>
    </w:p>
    <w:p>
      <w:pPr>
        <w:ind w:right="40" w:firstLine="8"/>
        <w:spacing w:after="0" w:line="264" w:lineRule="auto"/>
        <w:tabs>
          <w:tab w:leader="none" w:pos="5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~46k HR+/HER2- breast cancer patients expected to receive CDK 4/6 inhibitors in adjuvant setting, first-line setting, and second-line setting in 2023, per Decision Resources Breast Cancer Market Forecast, report dated June 2022.</w:t>
      </w:r>
    </w:p>
    <w:p>
      <w:pPr>
        <w:ind w:left="560" w:hanging="552"/>
        <w:spacing w:after="0"/>
        <w:tabs>
          <w:tab w:leader="none" w:pos="5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HR+/HER2- US late-line breast cancer patients compared to HR+/HER2- U.S. incident breast cancer patients.</w:t>
      </w:r>
    </w:p>
    <w:p>
      <w:pPr>
        <w:spacing w:after="0" w:line="18" w:lineRule="exact"/>
        <w:rPr>
          <w:rFonts w:ascii="Arial" w:cs="Arial" w:eastAsia="Arial" w:hAnsi="Arial"/>
          <w:sz w:val="16"/>
          <w:szCs w:val="16"/>
          <w:i w:val="1"/>
          <w:iCs w:val="1"/>
          <w:color w:val="auto"/>
        </w:rPr>
      </w:pPr>
    </w:p>
    <w:p>
      <w:pPr>
        <w:ind w:right="520" w:firstLine="8"/>
        <w:spacing w:after="0" w:line="264" w:lineRule="auto"/>
        <w:tabs>
          <w:tab w:leader="none" w:pos="5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FGFR2 altered late-line solid tumors compared to comprehensive annual FGFR2 altered incident solid tumors including additional FGFR gene fusions and rearrangements resulting from truncation of the protein at exon 18.</w:t>
      </w:r>
    </w:p>
    <w:p>
      <w:pPr>
        <w:ind w:left="560" w:hanging="552"/>
        <w:spacing w:after="0"/>
        <w:tabs>
          <w:tab w:leader="none" w:pos="5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SHP2 combo only includes KRAS G12C in lung cancer and CRC, EGFR mutations in lung cancer, and ALK fusions in lung cancer.</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7" w:name="page8"/>
    <w:bookmarkEnd w:id="7"/>
    <w:p>
      <w:pPr>
        <w:ind w:left="1020" w:hanging="503"/>
        <w:spacing w:after="0" w:line="285" w:lineRule="auto"/>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RLY-4008. </w:t>
      </w:r>
      <w:r>
        <w:rPr>
          <w:rFonts w:ascii="Arial" w:cs="Arial" w:eastAsia="Arial" w:hAnsi="Arial"/>
          <w:sz w:val="15"/>
          <w:szCs w:val="15"/>
          <w:color w:val="auto"/>
        </w:rPr>
        <w:t>In the third quarter of 2020, we initiated a first-in-human clinical trial for RLY-4008, or the RLY-4008 ReFocus Trial, a potent, selective and oral</w:t>
      </w:r>
      <w:r>
        <w:rPr>
          <w:rFonts w:ascii="Arial" w:cs="Arial" w:eastAsia="Arial" w:hAnsi="Arial"/>
          <w:sz w:val="15"/>
          <w:szCs w:val="15"/>
          <w:b w:val="1"/>
          <w:bCs w:val="1"/>
          <w:color w:val="auto"/>
        </w:rPr>
        <w:t xml:space="preserve"> </w:t>
      </w:r>
      <w:r>
        <w:rPr>
          <w:rFonts w:ascii="Arial" w:cs="Arial" w:eastAsia="Arial" w:hAnsi="Arial"/>
          <w:sz w:val="15"/>
          <w:szCs w:val="15"/>
          <w:color w:val="auto"/>
        </w:rPr>
        <w:t>small molecule inhibitor of fibroblast growth factor receptor 2, or FGFR2, for patients with advanced or metastatic FGFR2-altered solid tumors. In October 2021, we announced initial clinical data from this trial, which suggested robust inhibition of FGFR2 in the first 49 subjects that was not observed to be limited by off-target toxicities, including hyperphosphatemia and diarrhea, as of the data cut-off date of September 9, 2021. In December 2021, we initiated expansion cohorts at a continuous 70 mg once-daily, or QD, dose, and in January 2022, the U.S. Food and Drug Administration, or FDA, granted orphan drug designation to RLY-4008 for the treatment of cholangiocarcinoma, or CCA. In the first half of 2022, we conducted an end-of-Phase 1 meeting with the FDA to discuss next steps for the clinical development of RLY-4008. Based on discussions with the FDA, we have decided to move forward with a single-arm trial design for pan-FGFR, or FGFRi, treatment-naïve, FGFR2-fusion CCA at 70 mg QD to potentially support accelerated approval. In June 2022, we announced the anticipated registrational path for RLY-4008 in CCA and the interim clinical data with a data cut-off date of April 19, 2022 that was shared with the FDA to support that potential registrational path. In September 2022, we announced additional interim clinical data for RLY-4008 with a data cut-off date of August 1, 2022 that was presented at the European Society for Medical Oncology Congress 2022. This interim clinical data, which showed an interim overall response rate, or ORR, of 88% from the FGFRi treatment-naïve FGFR-2-fusion CCA patients treated at the pivotal dose of 70 mg QD and an interim ORR of 63% across all dose levels and schedules, are discussed below in “Our Product Pipeline and Programs —Our Clinical Stage Programs—RLY-4008, a selective inhibitor of FGFR2 – Interim clinical data.” In October 2022, the European Medicines Agency, or EMA, adopted a positive opinion on the orphan drug designation application for RLY-4008 for the treatment of biliary tract cancer.</w:t>
      </w:r>
    </w:p>
    <w:p>
      <w:pPr>
        <w:spacing w:after="0" w:line="181" w:lineRule="exact"/>
        <w:rPr>
          <w:rFonts w:ascii="Arial" w:cs="Arial" w:eastAsia="Arial" w:hAnsi="Arial"/>
          <w:sz w:val="15"/>
          <w:szCs w:val="15"/>
          <w:color w:val="auto"/>
        </w:rPr>
      </w:pPr>
    </w:p>
    <w:p>
      <w:pPr>
        <w:ind w:left="1020" w:right="60" w:hanging="503"/>
        <w:spacing w:after="0" w:line="288" w:lineRule="auto"/>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 xml:space="preserve">RLY-2608. </w:t>
      </w:r>
      <w:r>
        <w:rPr>
          <w:rFonts w:ascii="Arial" w:cs="Arial" w:eastAsia="Arial" w:hAnsi="Arial"/>
          <w:sz w:val="15"/>
          <w:szCs w:val="15"/>
          <w:color w:val="auto"/>
        </w:rPr>
        <w:t>In December 2021, we dosed the first patient in a first-in-human clinical trial for RLY-2608, or the RLY-2608 ReDiscover Trial, the first known</w:t>
      </w:r>
      <w:r>
        <w:rPr>
          <w:rFonts w:ascii="Arial" w:cs="Arial" w:eastAsia="Arial" w:hAnsi="Arial"/>
          <w:sz w:val="15"/>
          <w:szCs w:val="15"/>
          <w:b w:val="1"/>
          <w:bCs w:val="1"/>
          <w:color w:val="auto"/>
        </w:rPr>
        <w:t xml:space="preserve"> </w:t>
      </w:r>
      <w:r>
        <w:rPr>
          <w:rFonts w:ascii="Arial" w:cs="Arial" w:eastAsia="Arial" w:hAnsi="Arial"/>
          <w:sz w:val="15"/>
          <w:szCs w:val="15"/>
          <w:color w:val="auto"/>
        </w:rPr>
        <w:t>allosteric, pan-mutant (H1047X, E542X and E545X) and isoform-selective phosphoinostide 3 kinase alpha, or PI3Kα, inhibitor in clinical development. In April 2022, we initiated the second arm of the dose escalation part of this trial, evaluating RLY-2608 in combination with fulvestrant for patients with HR+, HER2–, PI3Kα-mutated, locally advanced or metastatic breast cancer. RLY-2608 is the lead program of multiple efforts in our PI3Kα franchise to discover and develop mutant selective inhibitors of PI3Kα. In the fourth quarter of 2021, we announced preclinical data for RLY-2608, in which we observed that RLY-2608 preferentially bound to mutant PI3Kα at a novel allosteric site discovered by the Dynamo platform. The data also suggest that projected clinically relevant doses of RLY-2608 achieved tumor regression in PIK3CA mutant in vivo xenograft mouse models representing H1047R and E545K mutations with significantly reduced impact on glucose metabolism compared to non-mutant selective active site inhibitors. The data further suggest that in preclinical models, RLY-2608 combined with standard of care therapies resulted in regressions in ER+/HER2- breast cancer.</w:t>
      </w:r>
    </w:p>
    <w:p>
      <w:pPr>
        <w:spacing w:after="0" w:line="175" w:lineRule="exact"/>
        <w:rPr>
          <w:rFonts w:ascii="Arial" w:cs="Arial" w:eastAsia="Arial" w:hAnsi="Arial"/>
          <w:sz w:val="15"/>
          <w:szCs w:val="15"/>
          <w:color w:val="auto"/>
        </w:rPr>
      </w:pPr>
    </w:p>
    <w:p>
      <w:pPr>
        <w:ind w:left="1020" w:right="120" w:hanging="503"/>
        <w:spacing w:after="0" w:line="27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GDC-1971 (formerly known as RLY-1971). </w:t>
      </w:r>
      <w:r>
        <w:rPr>
          <w:rFonts w:ascii="Arial" w:cs="Arial" w:eastAsia="Arial" w:hAnsi="Arial"/>
          <w:sz w:val="16"/>
          <w:szCs w:val="16"/>
          <w:color w:val="auto"/>
        </w:rPr>
        <w:t>In the first quarter of 2020, we initiated a Phase 1a clinical trial for RLY-1971, our inhibitor of Src homology</w:t>
      </w:r>
      <w:r>
        <w:rPr>
          <w:rFonts w:ascii="Arial" w:cs="Arial" w:eastAsia="Arial" w:hAnsi="Arial"/>
          <w:sz w:val="16"/>
          <w:szCs w:val="16"/>
          <w:b w:val="1"/>
          <w:bCs w:val="1"/>
          <w:color w:val="auto"/>
        </w:rPr>
        <w:t xml:space="preserve"> </w:t>
      </w:r>
      <w:r>
        <w:rPr>
          <w:rFonts w:ascii="Arial" w:cs="Arial" w:eastAsia="Arial" w:hAnsi="Arial"/>
          <w:sz w:val="16"/>
          <w:szCs w:val="16"/>
          <w:color w:val="auto"/>
        </w:rPr>
        <w:t>region 2 domain-containing phosphatase-2, or SHP2, as a monotherapy in patients with advanced or metastatic solid tumors. We completed enrollment of this trial in 2022. In December 2020, we entered into a global collaboration and license agreement with Genentech, Inc., a member of the Roche Group, or Genentech, for the development and commercialization of RLY-1971 (now referred to as GDC-1971), or the Genentech Agreement. Genentech initiated the cohort of GDC-1971 in combination with GDC-6036, its KRAS G12C inhibitor, in a Phase 1b trial in July 2021, and a Phase 1b trial of GDC-1971 in combination with atezolizumab, its PD-L1 antibody, in August 2022.</w:t>
      </w:r>
    </w:p>
    <w:p>
      <w:pPr>
        <w:spacing w:after="0" w:line="18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While our initial focus is on precision oncology, we believe our Dynamo platform may also be broadly applied to other areas of precision medicine, such as genetic disease indications. In addition to the three lead product candidates described above, we announced three discovery stage programs in June 2022 as part of our HR+/HER2- breast cancer franchise, including a selective cyclin dependent kinase 2, or CDK2, inhibitor, a rationally designed estrogen receptor alpha, or ERα, degrader and a selective and chemically distinct pan-mutant PI3Kα inhibitor, RLY-5836. We also have five additional discovery stage programs across both precision oncology and genetic disease. We are focused on using the novel insights derived from our approach to transform the lives of patients suffering from debilitating and life-threatening diseases through the discovery, development and commercialization of our therapies.</w:t>
      </w:r>
    </w:p>
    <w:p>
      <w:pPr>
        <w:spacing w:after="0" w:line="19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Precision medicine emerged as an approach for disease treatment as the understanding of the link between genetic alterations, protein dysfunction and diseases evolved. Precision medicine aims to specifically and potently drug genetically validated target proteins (i.e., genetic variants potentially implicated in biology of disease). However, some target proteins thus far have been intractable or inadequately addressed using conventional drug discovery tools. While conventional approaches are well-suited to solving some drug discovery problems such as orthosteric site kinase inhibitors, their reliance on static images of protein fragments limit their ability to gain accurate insights into the dynamic behavior of proteins in their natural state, which in turn limits their ability to discover medicines with exquisite specificity. Our approach pivots the understanding of protein targets from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8" w:name="page9"/>
    <w:bookmarkEnd w:id="8"/>
    <w:p>
      <w:pPr>
        <w:ind w:right="300"/>
        <w:spacing w:after="0" w:line="293" w:lineRule="auto"/>
        <w:rPr>
          <w:sz w:val="20"/>
          <w:szCs w:val="20"/>
          <w:color w:val="auto"/>
        </w:rPr>
      </w:pPr>
      <w:r>
        <w:rPr>
          <w:rFonts w:ascii="Arial" w:cs="Arial" w:eastAsia="Arial" w:hAnsi="Arial"/>
          <w:sz w:val="16"/>
          <w:szCs w:val="16"/>
          <w:color w:val="auto"/>
        </w:rPr>
        <w:t>the industry-standard, static view, to a novel paradigm based on fundamental insights into protein motion. We then apply these novel insights into protein motion to drug discovery and design, which we term Motion-Based Drug Design®.</w:t>
      </w:r>
    </w:p>
    <w:p>
      <w:pPr>
        <w:spacing w:after="0" w:line="17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In 2016, the confluence of three forces —the proliferation of readily available genomic data, the evolution of experimental techniques, and advancements in computational power and speed— led to the establishment of our Dynamo platform. We believe we are uniquely situated in our ability to consolidate these advances and, when combined with our world-class team of both experimental and computational experts and experience to-date, to integrate these solutions into Motion-Based Drug Design to create medicines that will make a transformative difference for patients.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mission is to leverage unique insights into protein motion to transform the lives of patients suffering from debilitating and life-threatening diseases through the discovery, development and commercialization of small molecule therapies. We believe that, by placing protein motion at the heart of Motion-Based Drug Design discovery, our unique Dynamo platform has the potential to address previously intractable or inadequately addressed precision medicine targets. To accomplish this, we intend to continue building a team that shares our commitment to patients, continue to enhance our platform and rapidly advance our precision medicine pipeline of product candidates. The key elements of our strategy are to:</w:t>
      </w:r>
    </w:p>
    <w:p>
      <w:pPr>
        <w:spacing w:after="0" w:line="186" w:lineRule="exact"/>
        <w:rPr>
          <w:sz w:val="20"/>
          <w:szCs w:val="20"/>
          <w:color w:val="auto"/>
        </w:rPr>
      </w:pPr>
    </w:p>
    <w:p>
      <w:pPr>
        <w:ind w:right="60"/>
        <w:spacing w:after="0" w:line="285" w:lineRule="auto"/>
        <w:rPr>
          <w:sz w:val="20"/>
          <w:szCs w:val="20"/>
          <w:color w:val="auto"/>
        </w:rPr>
      </w:pPr>
      <w:r>
        <w:rPr>
          <w:rFonts w:ascii="Arial" w:cs="Arial" w:eastAsia="Arial" w:hAnsi="Arial"/>
          <w:sz w:val="15"/>
          <w:szCs w:val="15"/>
          <w:b w:val="1"/>
          <w:bCs w:val="1"/>
          <w:color w:val="auto"/>
        </w:rPr>
        <w:t xml:space="preserve">Rapidly advance our lead precision oncology programs, RLY-4008 and RLY-2608, through clinical development and regulatory approval. </w:t>
      </w:r>
      <w:r>
        <w:rPr>
          <w:rFonts w:ascii="Arial" w:cs="Arial" w:eastAsia="Arial" w:hAnsi="Arial"/>
          <w:sz w:val="15"/>
          <w:szCs w:val="15"/>
          <w:color w:val="auto"/>
        </w:rPr>
        <w:t>We believe our lead</w:t>
      </w:r>
      <w:r>
        <w:rPr>
          <w:rFonts w:ascii="Arial" w:cs="Arial" w:eastAsia="Arial" w:hAnsi="Arial"/>
          <w:sz w:val="15"/>
          <w:szCs w:val="15"/>
          <w:b w:val="1"/>
          <w:bCs w:val="1"/>
          <w:color w:val="auto"/>
        </w:rPr>
        <w:t xml:space="preserve"> </w:t>
      </w:r>
      <w:r>
        <w:rPr>
          <w:rFonts w:ascii="Arial" w:cs="Arial" w:eastAsia="Arial" w:hAnsi="Arial"/>
          <w:sz w:val="15"/>
          <w:szCs w:val="15"/>
          <w:color w:val="auto"/>
        </w:rPr>
        <w:t>precision oncology programs have the potential to treat a wide variety of cancers, either as monotherapy or in combination regimens. RLY-4008 is currently being evaluated in the RLY-4008 Refocus Trial in patients with advanced or metastatic FGFR2-altered solid tumors with a single arm, potentially registration-enabling cohort for FGFRi treatment-naïve, FGFR2-fusion CCA. In January 2022, the FDA granted orphan drug designation to RLY-4008 for the treatment of CCA. Additionally, in the first half of 2022, we conducted an end-of-Phase 1 meeting with the FDA to discuss next steps for the clinical development of RLY-4008. Based on discussions with the FDA, we have decided to move forward with a single-arm trial design for FGFRi treatment-naïve, FGFR2-fusion CCA at 70 mg QD to potentially support accelerated approval. In June 2022, we announced the anticipated registrational path for RLY-4008 in CCA. In September 2022, we announced additional interim clinical data for RLY-4008 with a data cut-off date of August 1, 2022 that we presented at the European Society for Medical Oncology Congress 2022. In December 2021, we dosed the first patient in the RLY-2608 ReDiscover Trial, and in April 2022, we initiated the second arm of the dose escalation part of this trial, evaluating RLY-2608 in combination with fulvestrant for patients with HR+, HER2–, PI3Kα-mutated, locally advanced or metastatic breast cancer. RLY-2608 is the lead program in our emerging PI3Kα franchise, for which we continue to explore additional molecules to augment this foundation. We plan to continue to conduct our clinical studies in genetically-defined patient populations. To potentially mitigate development risks, we will continue to leverage learnings from recently approved precision oncology drugs to inform the clinical and regulatory pathways for our lead oncology programs. If we are successful in achieving clinically meaningful anti-tumor activity across solid tumor types, we plan to meet with regulatory authorities to discuss expedited regulatory approval strategies.</w:t>
      </w:r>
    </w:p>
    <w:p>
      <w:pPr>
        <w:spacing w:after="0" w:line="183"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b w:val="1"/>
          <w:bCs w:val="1"/>
          <w:color w:val="auto"/>
        </w:rPr>
        <w:t xml:space="preserve">Continue to enhance our unique drug-discovery platform. </w:t>
      </w:r>
      <w:r>
        <w:rPr>
          <w:rFonts w:ascii="Arial" w:cs="Arial" w:eastAsia="Arial" w:hAnsi="Arial"/>
          <w:sz w:val="16"/>
          <w:szCs w:val="16"/>
          <w:color w:val="auto"/>
        </w:rPr>
        <w:t>Our Dynamo platform uniquely integrates a broad range of leading-edge experimental and computational</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and tools, providing us with fundamental insights into the conformational dynamics of target proteins. We believe we have validated our Dynamo platform and approach with the encouraging interim clinical data for RLY-4008 that we have announced over the course of 2021 and 2022, with RLY-2608 also currently in clinical development, and three additional discovery stage programs announced in June 2022 in connection with our HR+/HER2- breast cancer franchise. We believe we have built significant advantage by accumulating extensive curated clean data sets across the continuum of drug discovery that span both computational and experimental domains. In April 2021, we acquired ZebiAI Therapeutics, Inc., or ZebiAI, to augment our platform with additional computational and machine learning capabilities as well as an extensive experimental DNA-encoded library, or DEL, data sets, consisting of billions of data points across a broad set of proteins, that have trained validated machine learning models deployed in hit finding and optimization of novel molecules. We are committed to continuously integrating new computational and experimental tools, technologies and capabilities to enhance the power of our Dynamo platform. We intend to do this through a combination of internal innovation, external collaboration and other strategic transactions.</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color w:val="auto"/>
        </w:rPr>
        <w:t xml:space="preserve">Harness the insights and data generated from our platform against intractable or inadequately addressed precision medicine targets, with current focus on oncology and genetic disease indications. </w:t>
      </w:r>
      <w:r>
        <w:rPr>
          <w:rFonts w:ascii="Arial" w:cs="Arial" w:eastAsia="Arial" w:hAnsi="Arial"/>
          <w:sz w:val="16"/>
          <w:szCs w:val="16"/>
          <w:color w:val="auto"/>
        </w:rPr>
        <w:t>We are committed to deploying our Dynamo platform against genetically validated targets, taking on some of the toughest</w:t>
      </w:r>
      <w:r>
        <w:rPr>
          <w:rFonts w:ascii="Arial" w:cs="Arial" w:eastAsia="Arial" w:hAnsi="Arial"/>
          <w:sz w:val="16"/>
          <w:szCs w:val="16"/>
          <w:b w:val="1"/>
          <w:bCs w:val="1"/>
          <w:color w:val="auto"/>
        </w:rPr>
        <w:t xml:space="preserve"> </w:t>
      </w:r>
      <w:r>
        <w:rPr>
          <w:rFonts w:ascii="Arial" w:cs="Arial" w:eastAsia="Arial" w:hAnsi="Arial"/>
          <w:sz w:val="16"/>
          <w:szCs w:val="16"/>
          <w:color w:val="auto"/>
        </w:rPr>
        <w:t>technical drug discovery challenges and creating novel medicines against those targets that can rapidly attain clinical proof-of-concept and address significant unmet medical needs. Our initial focus is on precision oncology where there are clear genetic driver alterations in the tumor genome, and genetic disease where the causal mutations are present at birth. However, we believe our platform also has potential to address targets in genetically-defined subpopulations of more common diseases in other therapeutic areas.</w:t>
      </w:r>
    </w:p>
    <w:p>
      <w:pPr>
        <w:spacing w:after="0" w:line="18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Selectively enter into strategic collaborations to maximize the value of our platform and pipeline. </w:t>
      </w:r>
      <w:r>
        <w:rPr>
          <w:rFonts w:ascii="Arial" w:cs="Arial" w:eastAsia="Arial" w:hAnsi="Arial"/>
          <w:sz w:val="16"/>
          <w:szCs w:val="16"/>
          <w:color w:val="auto"/>
        </w:rPr>
        <w:t>We intend to build a fully integrated biopharmaceutical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independently pursue the development and commercialization of our key product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 w:name="page10"/>
    <w:bookmarkEnd w:id="9"/>
    <w:p>
      <w:pPr>
        <w:ind w:right="60"/>
        <w:spacing w:after="0" w:line="289" w:lineRule="auto"/>
        <w:rPr>
          <w:sz w:val="20"/>
          <w:szCs w:val="20"/>
          <w:color w:val="auto"/>
        </w:rPr>
      </w:pPr>
      <w:r>
        <w:rPr>
          <w:rFonts w:ascii="Arial" w:cs="Arial" w:eastAsia="Arial" w:hAnsi="Arial"/>
          <w:sz w:val="15"/>
          <w:szCs w:val="15"/>
          <w:color w:val="auto"/>
        </w:rPr>
        <w:t>candidates. Given our potential to generate novel product candidates addressing a wide variety of therapeutic indications, we may enter into strategic partnerships around certain targets, product candidates, disease areas or geographies if we believe these collaborations could accelerate the development and commercialization of our product candidates and allow us to realize additional potential in our product candidates and our platform. For example, in December 2020, we entered into the Genentech Agreement, a global collaboration and license agreement with Genentech for the development and commercialization of GDC-1971. In August 2021, we entered into a discovery collaboration agreement with EQRx, Inc., or EQRx, to discover, develop and commercialize novel medicines against validated oncology targets, or the Discovery Collaboration Agreement, and we are currently collaborating on our ERα degrader program pursuant to this agreement. Outside of these two collaborations, we currently retain full development and commercialization rights to our current pipeline of precision medicine programs.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Dynamo</w:t>
      </w:r>
      <w:r>
        <w:rPr>
          <w:rFonts w:ascii="Arial" w:cs="Arial" w:eastAsia="Arial" w:hAnsi="Arial"/>
          <w:sz w:val="21"/>
          <w:szCs w:val="21"/>
          <w:b w:val="1"/>
          <w:bCs w:val="1"/>
          <w:color w:val="auto"/>
          <w:vertAlign w:val="superscript"/>
        </w:rPr>
        <w:t>TM</w:t>
      </w:r>
      <w:r>
        <w:rPr>
          <w:rFonts w:ascii="Arial" w:cs="Arial" w:eastAsia="Arial" w:hAnsi="Arial"/>
          <w:sz w:val="16"/>
          <w:szCs w:val="16"/>
          <w:b w:val="1"/>
          <w:bCs w:val="1"/>
          <w:color w:val="auto"/>
        </w:rPr>
        <w:t xml:space="preserve"> Platform</w:t>
      </w:r>
    </w:p>
    <w:p>
      <w:pPr>
        <w:spacing w:after="0" w:line="195" w:lineRule="exact"/>
        <w:rPr>
          <w:sz w:val="20"/>
          <w:szCs w:val="20"/>
          <w:color w:val="auto"/>
        </w:rPr>
      </w:pPr>
    </w:p>
    <w:p>
      <w:pPr>
        <w:ind w:right="60"/>
        <w:spacing w:after="0" w:line="313" w:lineRule="auto"/>
        <w:rPr>
          <w:sz w:val="20"/>
          <w:szCs w:val="20"/>
          <w:color w:val="auto"/>
        </w:rPr>
      </w:pPr>
      <w:r>
        <w:rPr>
          <w:rFonts w:ascii="Arial" w:cs="Arial" w:eastAsia="Arial" w:hAnsi="Arial"/>
          <w:sz w:val="14"/>
          <w:szCs w:val="14"/>
          <w:color w:val="auto"/>
        </w:rPr>
        <w:t>The continued and rapid development of new experimental techniques, such as cryo-electron microscopy, or Cryo-EM, and ambient-temperature crystallography, and computational techniques, such as molecular dynamics and machine learning, is now enabling the deep understanding of protein motion to discover new therapeutic agents. Dynamo was built to capitalize on these recent advances to develop medicines against protein targets with greater specificity and potency. Using our Dynamo platform, we pivot from industry standard approaches, which are based on static structures and often rely on incomplete protein fragments, to a novel drug-discovery paradigm based on fundamental insights into protein motion, which we term Motion-Based Drug Design®. We leverage insights from our platform to develop novel, motion-based hypotheses for how to drug target proteins. We can then more rapidly identify and optimize effective lead compounds by integrating powerful experimental and computational tools to sample a much broader range of chemical space than is possible using conventional approaches, which are labor intensive and require significant experimental effort.</w:t>
      </w:r>
    </w:p>
    <w:p>
      <w:pPr>
        <w:spacing w:after="0" w:line="164" w:lineRule="exact"/>
        <w:rPr>
          <w:sz w:val="20"/>
          <w:szCs w:val="20"/>
          <w:color w:val="auto"/>
        </w:rPr>
      </w:pPr>
    </w:p>
    <w:p>
      <w:pPr>
        <w:spacing w:after="0" w:line="335" w:lineRule="auto"/>
        <w:rPr>
          <w:sz w:val="20"/>
          <w:szCs w:val="20"/>
          <w:color w:val="auto"/>
        </w:rPr>
      </w:pPr>
      <w:r>
        <w:rPr>
          <w:rFonts w:ascii="Arial" w:cs="Arial" w:eastAsia="Arial" w:hAnsi="Arial"/>
          <w:sz w:val="14"/>
          <w:szCs w:val="14"/>
          <w:color w:val="auto"/>
        </w:rPr>
        <w:t>The confluence of three forces —the proliferation of readily available genomic data, the evolution of experimental techniques, and advances in computational power and speed —led to the founding of Relay Therapeutics and the establishment of our Dynamo platform. We believe we are uniquely positioned to consolidate these advances and, when combined with our world-class team of experimental and computational experts and experience to-date, to integrate these solutions in Motion-Based Drug Design.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Our platform integrates a broad and tailored array of leading-edge experimental and computational approaches to gain fundamental insights into protein function (</w:t>
      </w:r>
      <w:r>
        <w:rPr>
          <w:rFonts w:ascii="Arial" w:cs="Arial" w:eastAsia="Arial" w:hAnsi="Arial"/>
          <w:sz w:val="14"/>
          <w:szCs w:val="14"/>
          <w:b w:val="1"/>
          <w:bCs w:val="1"/>
          <w:color w:val="auto"/>
        </w:rPr>
        <w:t>Figure 1</w:t>
      </w:r>
      <w:r>
        <w:rPr>
          <w:rFonts w:ascii="Arial" w:cs="Arial" w:eastAsia="Arial" w:hAnsi="Arial"/>
          <w:sz w:val="14"/>
          <w:szCs w:val="14"/>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Figure 1: The Dynamo drug-discovery platform is the integration of people, techniques, and tools at the intersection of experimentation and computation.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5349240" cy="2057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Drug Discovery Steps of our Dynamo Platform</w:t>
      </w:r>
    </w:p>
    <w:p>
      <w:pPr>
        <w:spacing w:after="0" w:line="231" w:lineRule="exact"/>
        <w:rPr>
          <w:sz w:val="20"/>
          <w:szCs w:val="20"/>
          <w:color w:val="auto"/>
        </w:rPr>
      </w:pPr>
    </w:p>
    <w:p>
      <w:pPr>
        <w:ind w:right="140"/>
        <w:spacing w:after="0" w:line="299" w:lineRule="auto"/>
        <w:rPr>
          <w:sz w:val="20"/>
          <w:szCs w:val="20"/>
          <w:color w:val="auto"/>
        </w:rPr>
      </w:pPr>
      <w:r>
        <w:rPr>
          <w:rFonts w:ascii="Arial" w:cs="Arial" w:eastAsia="Arial" w:hAnsi="Arial"/>
          <w:sz w:val="15"/>
          <w:szCs w:val="15"/>
          <w:color w:val="auto"/>
        </w:rPr>
        <w:t>We deploy the power of our Dynamo platform in three key phases of Motion-Based Drug Design discovery (</w:t>
      </w:r>
      <w:r>
        <w:rPr>
          <w:rFonts w:ascii="Arial" w:cs="Arial" w:eastAsia="Arial" w:hAnsi="Arial"/>
          <w:sz w:val="15"/>
          <w:szCs w:val="15"/>
          <w:b w:val="1"/>
          <w:bCs w:val="1"/>
          <w:color w:val="auto"/>
        </w:rPr>
        <w:t>Figure 2</w:t>
      </w:r>
      <w:r>
        <w:rPr>
          <w:rFonts w:ascii="Arial" w:cs="Arial" w:eastAsia="Arial" w:hAnsi="Arial"/>
          <w:sz w:val="15"/>
          <w:szCs w:val="15"/>
          <w:color w:val="auto"/>
        </w:rPr>
        <w:t>). We first understand how to drug the protein by developing a detailed mechanistic understanding of the dynamic behavior of the target protein and by identifying pockets where binding of a small molecule can impact protein function, which allows us to generate a modulation hypothesis. Our platform then aids in efficient hit identification, or the identification of chemical starting points through an integrated system of experimental and virtual screens. This enables rapid lead optimization until a development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0" w:name="page11"/>
    <w:bookmarkEnd w:id="10"/>
    <w:p>
      <w:pPr>
        <w:jc w:val="both"/>
        <w:ind w:right="200"/>
        <w:spacing w:after="0" w:line="278" w:lineRule="auto"/>
        <w:rPr>
          <w:sz w:val="20"/>
          <w:szCs w:val="20"/>
          <w:color w:val="auto"/>
        </w:rPr>
      </w:pPr>
      <w:r>
        <w:rPr>
          <w:rFonts w:ascii="Arial" w:cs="Arial" w:eastAsia="Arial" w:hAnsi="Arial"/>
          <w:sz w:val="16"/>
          <w:szCs w:val="16"/>
          <w:color w:val="auto"/>
        </w:rPr>
        <w:t>candidate is selected by computationally prioritizing compounds for experimental evaluation. As each cycle generates new learnings for both our team and our underlying machine learning models, our successful iteration of this process continuously improves our understanding of protein motion which leads to a more effective and efficient drug discovery process.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Figure 2: Dynamo can be deployed across the various stages of drug discovery to provide novel insights with the goal of accelerating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5349240" cy="2408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Modulation Hypothesis</w:t>
      </w:r>
    </w:p>
    <w:p>
      <w:pPr>
        <w:spacing w:after="0" w:line="235"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Our first step is to understand how to drug our protein target of interest. For each target, the initial goal is to better understand the structure and conformational dynamics of all domains of a protein to generate a target modulation hypothesis. First, we synthesize full length proteins through our protein engineering expertise. Next, we use a range of protein visualization methods such as Cryo-EM and ambient temperature X-ray crystallography to generate a rich experimental understanding of the dynamic conformations of the target protein of interest. We then deploy these experimental data sets in our computational platform to generate virtual simulations (molecular dynamics) of the full-length protein moving over long, biologically relevant timescales. We use these insights to develop unique motion-based hypotheses for how best to modulate a protein’s behavior, and to identify potential novel allosteric binding sites for new therapeutic agents.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Hit Identification</w:t>
      </w:r>
    </w:p>
    <w:p>
      <w:pPr>
        <w:spacing w:after="0" w:line="235"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Once we have identified potential binding pockets and established a target modulation hypothesis, we then transition into hit finding and lead generation to identify a chemical starting point. The integration of our computational and experimental capabilities affords a deeper functional understanding of our targets and enables the design of physiologically relevant activity-based, ligand-centric and computational screens. The data from these screens provide input for the machine learning components of the Dynamo platform, which enable us to rapidly identify starting points for our drug discovery programs. As an example of tools we deploy to identify these starting points, we have a proprietary capability, our machine learning powered DNA encoded library platform, what we term “REL-DEL” (Relay DEL). Our approach, focused on this integration of computation and experimentation, yields a larger number of chemical series and potential therapies to proceed into lead optimization.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Lead Optimization</w:t>
      </w:r>
    </w:p>
    <w:p>
      <w:pPr>
        <w:spacing w:after="0" w:line="23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Once we have identified a chemical starting point and a lead compound, optimization is necessary to obtain a molecule that has the desired characteristics. Our Dynamo platform combines advanced machine learning models and molecular dynamics simulations in tight integration with our medicinal chemistry, structural biology, enzymology and biophysics capabilities to predict and design the compounds that will achieve the most desirable characteristics, including potency, selectivity, bioavailability and drug-like properties. We believe that this allows us to optimize molecules more rapidly and effectively. Due to the integration of computation and experimentation and, unlike traditional drug discovery approaches, our approach is not wholly dependent on the conventional highly iterative process in the experimental wet laboratory, which is both time consuming and expensive.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Our Product Pipeline and Programs</w:t>
      </w:r>
    </w:p>
    <w:p>
      <w:pPr>
        <w:spacing w:after="0" w:line="239"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While our Dynamo platform could potentially be applied to a wide range of disease-associated protein targets, we focus on precision medicine targets, currently specifically in oncology and genetic disease indications, for which alterations in specific genes are known to cause disease. The genetic diseases we pursue include cancers with clear genetic driver alterations in the tumor genome, as well as monogenic diseases where the causal mutations are present at birth.</w:t>
      </w:r>
    </w:p>
    <w:p>
      <w:pPr>
        <w:spacing w:after="0" w:line="166"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To date, we have entered into strategic partnerships with two of our programs, specifically our collaboration with Genentech for the development and commercialization of GDC-1971 and our collaboration with EQRx for the development of our ERα degrader. Other than these partnered programs, we retain full development and commercialization rights to the rest of our current pipeline of precision medicine programs.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See “—Overview” above for a table that summarizes our current portfolio of product candidates and programs.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Clinical Stage Programs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three product candidates that are in the early clinical development stage: RLY-4008, RLY-2608 and GDC-1971.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RLY-4008, a selective inhibitor of FGFR2</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Overview</w:t>
      </w:r>
    </w:p>
    <w:p>
      <w:pPr>
        <w:spacing w:after="0" w:line="235"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RLY-4008 is a potent, selective and oral small molecule inhibitor of FGFR2, a receptor tyrosine kinase that is frequently altered in certain cancers. FGFR2 is one of four members of the FGFR family, a set of closely related proteins with highly similar protein sequences and properties. RLY-4008 is currently being evaluated in the RLY-4008 ReFocus Trial in patients with advanced or metastatic FGFR2-altered solid tumors.</w:t>
      </w:r>
    </w:p>
    <w:p>
      <w:pPr>
        <w:spacing w:after="0" w:line="184" w:lineRule="exact"/>
        <w:rPr>
          <w:sz w:val="20"/>
          <w:szCs w:val="20"/>
          <w:color w:val="auto"/>
        </w:rPr>
      </w:pPr>
    </w:p>
    <w:p>
      <w:pPr>
        <w:ind w:right="20"/>
        <w:spacing w:after="0" w:line="309" w:lineRule="auto"/>
        <w:rPr>
          <w:sz w:val="20"/>
          <w:szCs w:val="20"/>
          <w:color w:val="auto"/>
        </w:rPr>
      </w:pPr>
      <w:r>
        <w:rPr>
          <w:rFonts w:ascii="Arial" w:cs="Arial" w:eastAsia="Arial" w:hAnsi="Arial"/>
          <w:sz w:val="14"/>
          <w:szCs w:val="14"/>
          <w:color w:val="auto"/>
        </w:rPr>
        <w:t>In October 2021, we announced initial clinical data from this trial, which suggested robust inhibition of FGFR2 in the first 49 subjects that was not observed to be limited by off-target toxicities, including hyperphosphatemia and diarrhea, as of the data cut-off date of September 9, 2021. In December 2021, we initiated expansion cohorts at a continuous 70 mg QD dose, and in January 2022, the FDA granted orphan drug designation to RLY-4008 for the treatment of CCA. In the first half of 2022, we conducted an end-of-Phase 1 meeting with the FDA to discuss next steps for the clinical development of RLY-4008. Based on discussions with the FDA, we have decided to move forward with a single-arm trial design for FGFRi treatment-naïve, FGFR2-fusion CCA at 70 mg QD to potentially support accelerated approval. In June 2022, we announced the anticipated registrational path for RLY-4008 in CCA and the interim clinical data with a data cut-off date of April 19, 2022 that was shared with the FDA to support that potential registrational path. In September 2022, we announced additional interim clinical data for RLY-4008 with a data cut-off date of August 1, 2022 that we presented at the European Society for Medical Oncology Congress 2022. This interim clinical data, which showed an interim ORR of 88% from the FGFRi treatment-naïve FGFR-2-fusion CCA patients treated at the pivotal dose of 70 mg QD and an interim ORR of 63% across all dose levels and schedules, are discussed below in “– Interim clinical data.” In October 2022, the EMA adopted a positive opinion on the orphan drug designation application for RLY-4008 for the treatment of biliary tract cancer.</w:t>
      </w:r>
    </w:p>
    <w:p>
      <w:pPr>
        <w:spacing w:after="0" w:line="168"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Consistent with the preclinical profile of RLY-4008, the early clinical data support our belief that RLY-4008 has broad therapeutic potential across FGFR2 alterations and tumor types.</w:t>
      </w:r>
    </w:p>
    <w:p>
      <w:pPr>
        <w:spacing w:after="0" w:line="17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believe FGFR2-mediated cancers affect approximately 11,000 late-line patients annually in the United States. In the future, if RLY-4008 advances to earlier lines of treatment, we believe it could potentially address approximately 35,000 patients annually in the United States. These numbers reflect the inclusion of patients with additional FGFR2 gene fusions and rearrangements that result from truncation of the protein at exon 18 based on recently published research suggesting that patients with these truncations should be considered for FGFR-targeted therapies.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Role of FGFR in cellular proliferation and differentiation</w:t>
      </w:r>
    </w:p>
    <w:p>
      <w:pPr>
        <w:spacing w:after="0" w:line="235"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Each of the FGFRs has an important role in normal physiology and the inhibition of FGFR2 is a well-validated pathway in disrupting cancer proliferation and growth. To our knowledge, to date, four non-selective FGFR inhibitors have been approved, with three on the market (erdafitinib, pemigatinib and futibatinib) and one removed from the market (infigratinib), and several are in clinical development. However, these inhibitors as a class cause several dose-limiting, FGFR2-unrelated toxicities in patients leading to dose reductions and altered dosing schedules. One of the most common dose-limiting toxicities of these agents is hyperphosphatemia (buildup of excess phosphate in the bloodstream), which causes soft tissue mineralization and requires active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management. Hyperphosphatemia has been shown to be driven by inhibition of another member of the FGFR family known as FGFR1.</w:t>
      </w:r>
    </w:p>
    <w:p>
      <w:pPr>
        <w:spacing w:after="0" w:line="235"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We believe that the toxicity attributable to inhibition of other FGFR family members, and other closely related kinases, limits the ability of the non-selective FGFR inhibitors to achieve optimal and durable inhibition of FGFR2, limiting the efficacy of these agents in patients with FGFR2-altered tumors. In addition to the lack of selectivity, these inhibitors are unable to overcome on-target resistance, which has been observed in patients treated with non-selective FGFR inhibitors. Our belief is that a selective inhibitor of FGFR2 that retains activity against resistance mutations will enable improved clinical efficacy.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Limitations of current FGFR inhibitors</w:t>
      </w:r>
    </w:p>
    <w:p>
      <w:pPr>
        <w:spacing w:after="0" w:line="23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Non-selective FGFR inhibitors produced by other companies have demonstrated clinical proof-of-concept in patients with cholangiocarcinoma, or CCA, bearing FGFR2 gene fusions. These gene fusions result in a constitutively active FGFR2, which promotes oncogenic transformation. Genetic alterations in FGFR2, including gene fusions, amplifications, and point mutations, are also found in other solid tumor indications.</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Patients with genetic alterations in FGFR2, primarily gene fusions in CCA, have been treated with FGFR inhibitors in investigational clinical trials. To date, these trials provide support for the critical role of FGFR2 for tumor survival with a response rate of up to 42% (</w:t>
      </w:r>
      <w:r>
        <w:rPr>
          <w:rFonts w:ascii="Arial" w:cs="Arial" w:eastAsia="Arial" w:hAnsi="Arial"/>
          <w:sz w:val="16"/>
          <w:szCs w:val="16"/>
          <w:b w:val="1"/>
          <w:bCs w:val="1"/>
          <w:color w:val="auto"/>
        </w:rPr>
        <w:t>Figure 3)</w:t>
      </w:r>
      <w:r>
        <w:rPr>
          <w:rFonts w:ascii="Arial" w:cs="Arial" w:eastAsia="Arial" w:hAnsi="Arial"/>
          <w:sz w:val="16"/>
          <w:szCs w:val="16"/>
          <w:color w:val="auto"/>
        </w:rPr>
        <w:t>. A key limiting factor for existing FGFR therapies is that, as a class, they are associated with dose-limiting side effects such as hyperphosphatemia, which has been shown to be caused by FGFR1 inhibition, and diarrhea, which has been shown to be caused by FGFR4 inhibition. Additionally, we believe a selective inhibitor of FGFR2 with broad activity against acquired resistance mutations is necessary to address a significant unmet need in patients with FGFR2-altered tumors.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3: Hyperphosphatemia and diarrhea are dose-limiting adverse events associated with non-selective FGFR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2712085</wp:posOffset>
            </wp:positionV>
            <wp:extent cx="1714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5349240" cy="2314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i w:val="1"/>
          <w:iCs w:val="1"/>
          <w:color w:val="auto"/>
        </w:rPr>
        <w:t>Sources: Pemigatinib – Prescribing information; Futibatinib – Prescribing Information; Erdafitinib – Prescribing information; FOLFOX – ABC-06 Publication in Lancet Oncology 2021</w:t>
      </w:r>
    </w:p>
    <w:p>
      <w:pPr>
        <w:spacing w:after="0" w:line="1" w:lineRule="exact"/>
        <w:rPr>
          <w:sz w:val="20"/>
          <w:szCs w:val="20"/>
          <w:color w:val="auto"/>
        </w:rPr>
      </w:pPr>
    </w:p>
    <w:p>
      <w:pPr>
        <w:ind w:right="240" w:firstLine="8"/>
        <w:spacing w:after="0" w:line="264" w:lineRule="auto"/>
        <w:tabs>
          <w:tab w:leader="none" w:pos="5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As defined by increased serum phosphate; FOLFOX response rate, median progression-free survival, and overall survival from FOLFOX chemotherapy ABC-06 trial are for biliary tract cancer.</w:t>
      </w:r>
    </w:p>
    <w:p>
      <w:pPr>
        <w:ind w:left="560" w:hanging="552"/>
        <w:spacing w:after="0"/>
        <w:tabs>
          <w:tab w:leader="none" w:pos="5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Initial dose (8 mg QD) adjusted to 9 mg QD only in absence of hyperphosphatemia.</w:t>
      </w:r>
    </w:p>
    <w:p>
      <w:pPr>
        <w:spacing w:after="0" w:line="18" w:lineRule="exact"/>
        <w:rPr>
          <w:rFonts w:ascii="Arial" w:cs="Arial" w:eastAsia="Arial" w:hAnsi="Arial"/>
          <w:sz w:val="16"/>
          <w:szCs w:val="16"/>
          <w:i w:val="1"/>
          <w:iCs w:val="1"/>
          <w:color w:val="auto"/>
        </w:rPr>
      </w:pPr>
    </w:p>
    <w:p>
      <w:pPr>
        <w:ind w:left="560" w:hanging="552"/>
        <w:spacing w:after="0"/>
        <w:tabs>
          <w:tab w:leader="none" w:pos="5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Currently have accelerated approval.</w:t>
      </w:r>
    </w:p>
    <w:p>
      <w:pPr>
        <w:spacing w:after="0" w:line="18" w:lineRule="exact"/>
        <w:rPr>
          <w:rFonts w:ascii="Arial" w:cs="Arial" w:eastAsia="Arial" w:hAnsi="Arial"/>
          <w:sz w:val="16"/>
          <w:szCs w:val="16"/>
          <w:i w:val="1"/>
          <w:iCs w:val="1"/>
          <w:color w:val="auto"/>
        </w:rPr>
      </w:pPr>
    </w:p>
    <w:p>
      <w:pPr>
        <w:ind w:firstLine="8"/>
        <w:spacing w:after="0" w:line="288" w:lineRule="auto"/>
        <w:tabs>
          <w:tab w:leader="none" w:pos="5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As reported on the Current Report on Form 8-K filed by BridgeBio Pharma, Inc. on Sept 23, 2022; rate, median progression-free survival, and overall survival from FOLFOX chemotherapy ABC-06 trial are for biliary tract cancer.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auto"/>
        </w:rPr>
        <w:t>Our solution, RLY-4008</w:t>
      </w:r>
    </w:p>
    <w:p>
      <w:pPr>
        <w:spacing w:after="0" w:line="235" w:lineRule="exact"/>
        <w:rPr>
          <w:sz w:val="20"/>
          <w:szCs w:val="20"/>
          <w:color w:val="auto"/>
        </w:rPr>
      </w:pPr>
    </w:p>
    <w:p>
      <w:pPr>
        <w:jc w:val="both"/>
        <w:ind w:right="280"/>
        <w:spacing w:after="0" w:line="273" w:lineRule="auto"/>
        <w:rPr>
          <w:sz w:val="20"/>
          <w:szCs w:val="20"/>
          <w:color w:val="auto"/>
        </w:rPr>
      </w:pPr>
      <w:r>
        <w:rPr>
          <w:rFonts w:ascii="Arial" w:cs="Arial" w:eastAsia="Arial" w:hAnsi="Arial"/>
          <w:sz w:val="16"/>
          <w:szCs w:val="16"/>
          <w:color w:val="auto"/>
        </w:rPr>
        <w:t>RLY-4008 is an oral, irreversible, small molecule inhibitor of FGFR2 designed to inhibit FGFR2 with high potency while minimizing inhibition of other FGFR family members. In our initial assessment of the challenge of obtaining a highly selective inhibitor of FGFR2, we determined that there is a high degree of structural similarity between FGFR1 and FGFR2 when comparing static X-ray crystal structures. This similarity precluded the development of a structure-based selectivity hypothesis using conventional approaches.</w:t>
      </w:r>
    </w:p>
    <w:p>
      <w:pPr>
        <w:spacing w:after="0" w:line="189"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We therefore set out to identify motion-based differences between FGFR2 and other FGFR family members by applying our expertise in computational modeling and experimental structural analyses. We discovered that there were segments of FGFR2 which displayed differential dynamics compared to the corresponding segments of FGFR1 (</w:t>
      </w:r>
      <w:r>
        <w:rPr>
          <w:rFonts w:ascii="Arial" w:cs="Arial" w:eastAsia="Arial" w:hAnsi="Arial"/>
          <w:sz w:val="16"/>
          <w:szCs w:val="16"/>
          <w:b w:val="1"/>
          <w:bCs w:val="1"/>
          <w:color w:val="auto"/>
        </w:rPr>
        <w:t>Figure 4</w:t>
      </w:r>
      <w:r>
        <w:rPr>
          <w:rFonts w:ascii="Arial" w:cs="Arial" w:eastAsia="Arial" w:hAnsi="Arial"/>
          <w:sz w:val="16"/>
          <w:szCs w:val="16"/>
          <w:color w:val="auto"/>
        </w:rPr>
        <w:t>). We predicted these dynamic differences could be exploited to achieve selective inhibition of FGFR2.</w:t>
      </w:r>
    </w:p>
    <w:p>
      <w:pPr>
        <w:spacing w:after="0" w:line="180" w:lineRule="exact"/>
        <w:rPr>
          <w:sz w:val="20"/>
          <w:szCs w:val="20"/>
          <w:color w:val="auto"/>
        </w:rPr>
      </w:pPr>
    </w:p>
    <w:p>
      <w:pPr>
        <w:ind w:right="540"/>
        <w:spacing w:after="0" w:line="298" w:lineRule="auto"/>
        <w:rPr>
          <w:sz w:val="20"/>
          <w:szCs w:val="20"/>
          <w:color w:val="auto"/>
        </w:rPr>
      </w:pPr>
      <w:r>
        <w:rPr>
          <w:rFonts w:ascii="Arial" w:cs="Arial" w:eastAsia="Arial" w:hAnsi="Arial"/>
          <w:sz w:val="16"/>
          <w:szCs w:val="16"/>
          <w:b w:val="1"/>
          <w:bCs w:val="1"/>
          <w:color w:val="auto"/>
        </w:rPr>
        <w:t>Figure 4: Using MD simulations, we predicted that a segment in FGFR1 was more dynamic than FGFR2, as represented by the schematic below where the segment opens “Up” more frequently in FGFR1 compared to FGFR2.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349240" cy="2400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embarked on a process using computational methods such as long timescale molecular dynamics simulations, virtual docking and specialized experimental techniques to design, select, synthesize, and evaluate inhibitors. Our discovery process culminated with the selection of RLY-4008 as a product candidate based on its ability to meet our predetermined criteria for potency, selectivity and activity in animal models.</w:t>
      </w:r>
    </w:p>
    <w:p>
      <w:pPr>
        <w:spacing w:after="0" w:line="184" w:lineRule="exact"/>
        <w:rPr>
          <w:sz w:val="20"/>
          <w:szCs w:val="20"/>
          <w:color w:val="auto"/>
        </w:rPr>
      </w:pPr>
    </w:p>
    <w:p>
      <w:pPr>
        <w:ind w:right="360"/>
        <w:spacing w:after="0" w:line="328" w:lineRule="auto"/>
        <w:rPr>
          <w:sz w:val="20"/>
          <w:szCs w:val="20"/>
          <w:color w:val="auto"/>
        </w:rPr>
      </w:pPr>
      <w:r>
        <w:rPr>
          <w:rFonts w:ascii="Arial" w:cs="Arial" w:eastAsia="Arial" w:hAnsi="Arial"/>
          <w:sz w:val="15"/>
          <w:szCs w:val="15"/>
          <w:color w:val="auto"/>
        </w:rPr>
        <w:t>Our preclinical studies have shown that RLY-4008 displayed selectivity not only within the FGFR family, but across the kinome generally, in contrast to the pan-FGFR inhibitors that are all equipotent against FGFR 1, 2 and 3, as well as many other off-target kinases, which narrow their therapeutic window (</w:t>
      </w:r>
      <w:r>
        <w:rPr>
          <w:rFonts w:ascii="Arial" w:cs="Arial" w:eastAsia="Arial" w:hAnsi="Arial"/>
          <w:sz w:val="15"/>
          <w:szCs w:val="15"/>
          <w:b w:val="1"/>
          <w:bCs w:val="1"/>
          <w:color w:val="auto"/>
        </w:rPr>
        <w:t>Figure 5</w:t>
      </w:r>
      <w:r>
        <w:rPr>
          <w:rFonts w:ascii="Arial" w:cs="Arial" w:eastAsia="Arial" w:hAnsi="Arial"/>
          <w:sz w:val="15"/>
          <w:szCs w:val="15"/>
          <w:color w:val="auto"/>
        </w:rPr>
        <w: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14" w:name="page15"/>
    <w:bookmarkEnd w:id="14"/>
    <w:p>
      <w:pPr>
        <w:ind w:left="40"/>
        <w:spacing w:after="0"/>
        <w:rPr>
          <w:sz w:val="20"/>
          <w:szCs w:val="20"/>
          <w:color w:val="auto"/>
        </w:rPr>
      </w:pPr>
      <w:r>
        <w:rPr>
          <w:rFonts w:ascii="Arial" w:cs="Arial" w:eastAsia="Arial" w:hAnsi="Arial"/>
          <w:sz w:val="16"/>
          <w:szCs w:val="16"/>
          <w:b w:val="1"/>
          <w:bCs w:val="1"/>
          <w:color w:val="auto"/>
        </w:rPr>
        <w:t>Figure 5: RLY-4008 is a highly selective and irreversible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2677795</wp:posOffset>
            </wp:positionV>
            <wp:extent cx="1714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5349240" cy="2280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i w:val="1"/>
          <w:iCs w:val="1"/>
          <w:color w:val="auto"/>
        </w:rPr>
        <w:t>These kinome scans are based on a single experiment that tested each compound run at 500nM against 468 targets in the absence of adenosine triphosphate (ATP) and without preincubation.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KINOMEscan™ by Eurofins DiscoverX.</w:t>
      </w:r>
    </w:p>
    <w:p>
      <w:pPr>
        <w:spacing w:after="0" w:line="231"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Another unique feature of RLY-4008 is that it was designed to exhibit broad coverage against the spectrum of FGFR2 resistance mutations, including the gatekeeper position at V565 and the molecular brake position at N550, some of which can also be de novo mutations. With respect to resistance mutations, these new mutations in FGFR2 arise during treatment, reducing the potency of non-selective FGFR inhibitors and making tumors resistant to treatment. In preclinical experiments, we have shown that RLY-4008 retains activity against a broad panel of mutations known to be associated with resistance to non-selective FGFR inhibitors (</w:t>
      </w:r>
      <w:r>
        <w:rPr>
          <w:rFonts w:ascii="Arial" w:cs="Arial" w:eastAsia="Arial" w:hAnsi="Arial"/>
          <w:sz w:val="15"/>
          <w:szCs w:val="15"/>
          <w:b w:val="1"/>
          <w:bCs w:val="1"/>
          <w:color w:val="auto"/>
        </w:rPr>
        <w:t>Figure 6)</w:t>
      </w:r>
      <w:r>
        <w:rPr>
          <w:rFonts w:ascii="Arial" w:cs="Arial" w:eastAsia="Arial" w:hAnsi="Arial"/>
          <w:sz w:val="15"/>
          <w:szCs w:val="15"/>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6: RLY-4008 retains potency against common FGFR2 resistance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2035175</wp:posOffset>
            </wp:positionV>
            <wp:extent cx="1714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4705985" cy="1628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0598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spacing w:after="0" w:line="204" w:lineRule="exact"/>
        <w:rPr>
          <w:sz w:val="20"/>
          <w:szCs w:val="20"/>
          <w:color w:val="auto"/>
        </w:rPr>
      </w:pPr>
      <w:r>
        <w:rPr>
          <w:rFonts w:ascii="Arial" w:cs="Arial" w:eastAsia="Arial" w:hAnsi="Arial"/>
          <w:sz w:val="16"/>
          <w:szCs w:val="16"/>
          <w:i w:val="1"/>
          <w:iCs w:val="1"/>
          <w:color w:val="auto"/>
        </w:rPr>
        <w:t>This heatmap shows fold change in potency (IC50) on FGFR2 mutations compared to FGFR2 WT. FGFR2 WT or mutants were expressed in HEK-293 cells and potency on FGFR2 was determined using a pFGFR2 HTRF assay. Colors indicate the fold loss in potency for the mutant form vs wildtype. Gatekeeper mutations block access to the binding site of non-selective inhibitors. Molecular brake mutations disrupt an autoinhibitory conformation of FGFR2, resulting in kinase activation. Other mutations listed have various reported mechanisms of kinase activation. Numbering of mutant residues refers to the FGFR2 IIIb isoform. Fold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change of 1 indicates equivalent potency on FGFR2 WT and the indicated FGFR2 mutant.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auto"/>
        </w:rPr>
        <w:t>Our clinical development plan</w:t>
      </w:r>
    </w:p>
    <w:p>
      <w:pPr>
        <w:spacing w:after="0" w:line="23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RLY-4008 clinical development plan seeks to leverage the unique potential for enhanced tolerability and broad FGFR2 mutational coverage to rapidly generate proof-of-concept in molecularly defined patient subsets.</w:t>
      </w:r>
    </w:p>
    <w:p>
      <w:pPr>
        <w:spacing w:after="0" w:line="172" w:lineRule="exact"/>
        <w:rPr>
          <w:sz w:val="20"/>
          <w:szCs w:val="20"/>
          <w:color w:val="auto"/>
        </w:rPr>
      </w:pPr>
    </w:p>
    <w:p>
      <w:pPr>
        <w:ind w:right="40"/>
        <w:spacing w:after="0" w:line="324" w:lineRule="auto"/>
        <w:rPr>
          <w:sz w:val="20"/>
          <w:szCs w:val="20"/>
          <w:color w:val="auto"/>
        </w:rPr>
      </w:pPr>
      <w:r>
        <w:rPr>
          <w:rFonts w:ascii="Arial" w:cs="Arial" w:eastAsia="Arial" w:hAnsi="Arial"/>
          <w:sz w:val="14"/>
          <w:szCs w:val="14"/>
          <w:color w:val="auto"/>
        </w:rPr>
        <w:t>RLY-4008 is currently being evaluated in a first-in-human clinical trial in patients with advanced or metastatic FGFR2-altered solid tumors with a single arm, potentially registration-enabling cohort for FGFRi treatment-naïve, FGFR2-fusion CCA. The RLY-4008 ReFocus Trial is designed to evaluate the safety, tolerability, pharmacokinetics, pharmacodynamics and anti-tumor efficacy of RLY-4008 and consists of three parts: a dose escalation (part 1), a dose expansion (part 2), and an extension (part 3). The dose escalation part of the trial has been completed, with a 70 mg QD selected as the registrational dose, and the expansion cohorts were initiated in December 2021.</w:t>
      </w:r>
    </w:p>
    <w:p>
      <w:pPr>
        <w:spacing w:after="0" w:line="15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January 2022, the FDA granted orphan drug designation to RLY-4008 for the treatment of CCA. Additionally, in the first half of 2022, we conducted an end-of-Phase 1 meeting with the FDA to discuss next steps for the clinical development of RLY-4008. Based on discussions with the FDA, we decided to move forward with a single arm trial design for FGFRi- treatment-naïve, FGFR2-fusion CCA at 70 mg QD to potentially support accelerated approval. We also added additional supportive CCA cohorts, including frontline, FGFRi-experienced and FGFR2 mutation and amplification patients that could potentially facilitate a line and alteration agnostic label if the submission is approved.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RLY-4008 ReFocus Trial now has seven different cohorts based on FGFR2 alteration and tumor type. (Figure 7).</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7: RLY-4008 ReFocus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5349240" cy="2477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Development of RLY-4008 requires identification of appropriate patients for treatment with FGFR2 alterations using molecular diagnostic tests. In early phase clinical trials, patients have been identified using local testing performed at clinical trial sites, with retrospective centralized testing to confirm the tumor genetic status. In later phase trials, we have collaborated with diagnostic partners to identify patients for clinical trial enrollment using an analytically validated investigational molecular diagnostic. The tumor genetic contexts that we are considering for development of RLY-4008 (FGFR2 fusions, amplifications and mutations) can currently be detected using FDA-approved next generation sequencing based panel diagnostics. In September 2022, we engaged Foundation Medicine, Inc. to develop its FoundationOne®CDx as a companion diagnostic for RLY-4008, which we are using to identify patients with FGFR2 fusions, amplifications and mutations and select rearrangements in CCA who may be appropriate for treatment with RLY-4008.</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Interim clinical data</w:t>
      </w:r>
    </w:p>
    <w:p>
      <w:pPr>
        <w:spacing w:after="0" w:line="235"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In September 2022, we announced interim clinical data for the RLY-4008 ReFocus Trial that was presented at the European Society for Medical Oncology, or ESMO, Congress 2022.</w:t>
      </w:r>
    </w:p>
    <w:p>
      <w:pPr>
        <w:spacing w:after="0" w:line="17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interim clinical data were based on an August 1, 2022 data cut-off date from both the dose escalation and dose expansion phases of the RLY-4008 ReFocus Trial. The interim clinical data included a safety database of 195 patients, with 89 patients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6" w:name="page17"/>
    <w:bookmarkEnd w:id="16"/>
    <w:p>
      <w:pPr>
        <w:ind w:right="240"/>
        <w:spacing w:after="0" w:line="328" w:lineRule="auto"/>
        <w:rPr>
          <w:sz w:val="20"/>
          <w:szCs w:val="20"/>
          <w:color w:val="auto"/>
        </w:rPr>
      </w:pPr>
      <w:r>
        <w:rPr>
          <w:rFonts w:ascii="Arial" w:cs="Arial" w:eastAsia="Arial" w:hAnsi="Arial"/>
          <w:sz w:val="15"/>
          <w:szCs w:val="15"/>
          <w:color w:val="auto"/>
        </w:rPr>
        <w:t>treated at the pivotal dose of 70 mg QD, of which 17 were FGFRi treatment-naïve, FGFR2-fusion CCA patients eligible for efficacy evaluation (patients with measurable disease who had opportunity for two or more tumor assessments to confirm response or discontinued treatment with less than two tumor assessments).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Key interim clinical data include:</w:t>
      </w:r>
    </w:p>
    <w:p>
      <w:pPr>
        <w:spacing w:after="0" w:line="235" w:lineRule="exact"/>
        <w:rPr>
          <w:sz w:val="20"/>
          <w:szCs w:val="20"/>
          <w:color w:val="auto"/>
        </w:rPr>
      </w:pPr>
    </w:p>
    <w:p>
      <w:pPr>
        <w:ind w:left="1020" w:right="100" w:hanging="503"/>
        <w:spacing w:after="0" w:line="293"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15 out of 17 of the efficacy evaluable patients at the pivotal dose experienced a partial response resulting in an 88% interim ORR, with 14 confirmed partial responses and one unconfirmed partial response in an ongoing patient.</w:t>
      </w:r>
    </w:p>
    <w:p>
      <w:pPr>
        <w:spacing w:after="0" w:line="171"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o</w:t>
      </w:r>
      <w:r>
        <w:rPr>
          <w:rFonts w:ascii="Arial" w:cs="Arial" w:eastAsia="Arial" w:hAnsi="Arial"/>
          <w:sz w:val="14"/>
          <w:szCs w:val="14"/>
          <w:color w:val="auto"/>
        </w:rPr>
        <w:t>13 out of 15 responders remained on treatment as of August 1, 2022; one responder came off study to be resected with curative intent.</w:t>
      </w:r>
    </w:p>
    <w:p>
      <w:pPr>
        <w:spacing w:after="0" w:line="234"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6"/>
          <w:szCs w:val="16"/>
          <w:color w:val="auto"/>
        </w:rPr>
        <w:t>o</w:t>
      </w:r>
      <w:r>
        <w:rPr>
          <w:rFonts w:ascii="Arial" w:cs="Arial" w:eastAsia="Arial" w:hAnsi="Arial"/>
          <w:sz w:val="14"/>
          <w:szCs w:val="14"/>
          <w:color w:val="auto"/>
        </w:rPr>
        <w:t>The two patients with the best response of stable disease remained on treatment as of August 1, 2022.</w:t>
      </w:r>
    </w:p>
    <w:p>
      <w:pPr>
        <w:spacing w:after="0" w:line="234" w:lineRule="exact"/>
        <w:rPr>
          <w:rFonts w:ascii="Arial" w:cs="Arial" w:eastAsia="Arial" w:hAnsi="Arial"/>
          <w:sz w:val="16"/>
          <w:szCs w:val="16"/>
          <w:color w:val="auto"/>
        </w:rPr>
      </w:pPr>
    </w:p>
    <w:p>
      <w:pPr>
        <w:ind w:left="1020" w:hanging="503"/>
        <w:spacing w:after="0" w:line="328" w:lineRule="auto"/>
        <w:tabs>
          <w:tab w:leader="none" w:pos="10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More broadly across all dose levels and schedules, 38 FGFRi treatment-naïve, FGFR2-fusion CCA patients were eligible for efficacy evaluation, of which 24 experienced a partial response resulting in a 63% interim ORR, with 22 confirmed partial responses and 2 unconfirmed partial responses.</w:t>
      </w:r>
    </w:p>
    <w:p>
      <w:pPr>
        <w:spacing w:after="0" w:line="150" w:lineRule="exact"/>
        <w:rPr>
          <w:sz w:val="20"/>
          <w:szCs w:val="20"/>
          <w:color w:val="auto"/>
        </w:rPr>
      </w:pPr>
    </w:p>
    <w:p>
      <w:pPr>
        <w:ind w:right="320"/>
        <w:spacing w:after="0" w:line="328" w:lineRule="auto"/>
        <w:rPr>
          <w:sz w:val="20"/>
          <w:szCs w:val="20"/>
          <w:color w:val="auto"/>
        </w:rPr>
      </w:pPr>
      <w:r>
        <w:rPr>
          <w:rFonts w:ascii="Arial" w:cs="Arial" w:eastAsia="Arial" w:hAnsi="Arial"/>
          <w:sz w:val="15"/>
          <w:szCs w:val="15"/>
          <w:color w:val="auto"/>
        </w:rPr>
        <w:t>The interim safety analysis as of the August 1, 2022 data cut-off date was generally consistent with our analysis of the interim clinical data for RLY-4008 as of April 19, 2022 that was shared with the FDA as well as our initial clinical data for RLY-4008 as of September 9, 2021 that was announced in October 2021. In particular:</w:t>
      </w:r>
    </w:p>
    <w:p>
      <w:pPr>
        <w:spacing w:after="0" w:line="150"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Most treatment emergent adverse events were expected FGFR2 on-target, low-grade, monitorable, manageable and largely reversible.</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There were no observed Grade 4 or 5 adverse events.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Off-target toxicities of hyperphosphatemia and diarrhea continued to be clinically insignificant.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RLY-2608 and our mutant-PI3K</w:t>
      </w:r>
      <w:r>
        <w:rPr>
          <w:rFonts w:ascii="Arial" w:cs="Arial" w:eastAsia="Arial" w:hAnsi="Arial"/>
          <w:sz w:val="16"/>
          <w:szCs w:val="16"/>
          <w:color w:val="auto"/>
        </w:rPr>
        <w:t>α</w:t>
      </w:r>
      <w:r>
        <w:rPr>
          <w:rFonts w:ascii="Arial" w:cs="Arial" w:eastAsia="Arial" w:hAnsi="Arial"/>
          <w:sz w:val="16"/>
          <w:szCs w:val="16"/>
          <w:i w:val="1"/>
          <w:iCs w:val="1"/>
          <w:color w:val="auto"/>
        </w:rPr>
        <w:t xml:space="preserve"> inhibitor program</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Overview</w:t>
      </w:r>
    </w:p>
    <w:p>
      <w:pPr>
        <w:spacing w:after="0" w:line="235" w:lineRule="exact"/>
        <w:rPr>
          <w:sz w:val="20"/>
          <w:szCs w:val="20"/>
          <w:color w:val="auto"/>
        </w:rPr>
      </w:pPr>
    </w:p>
    <w:p>
      <w:pPr>
        <w:jc w:val="both"/>
        <w:ind w:right="140"/>
        <w:spacing w:after="0" w:line="303" w:lineRule="auto"/>
        <w:rPr>
          <w:sz w:val="20"/>
          <w:szCs w:val="20"/>
          <w:color w:val="auto"/>
        </w:rPr>
      </w:pPr>
      <w:r>
        <w:rPr>
          <w:rFonts w:ascii="Arial" w:cs="Arial" w:eastAsia="Arial" w:hAnsi="Arial"/>
          <w:sz w:val="14"/>
          <w:szCs w:val="14"/>
          <w:color w:val="auto"/>
        </w:rPr>
        <w:t>RLY-2608 is the lead program of multiple efforts to discover and develop mutant selective inhibitors of PI3Kα. PI3Kα is the most frequently mutated kinase in all cancers, with oncogenic mutations detected in about 13% of patients with solid tumors. Traditionally, the development of PI3Kα inhibitors has focused on the active, or orthosteric, site. The therapeutic index of orthosteric inhibitors is limited by the lack of clinically meaningful selectivity for mutant versus wild-type PI3Kα and off-isoform activity.</w:t>
      </w:r>
    </w:p>
    <w:p>
      <w:pPr>
        <w:spacing w:after="0" w:line="2"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Toxicity related to inhibition of wild-type PI3Kα and other PI3K isoforms results in sub-optimal inhibition of mutant PI3Kα with reductions in dose intensity and frequent discontinuation. The Dynamo platform enabled the discovery of RLY-2608, what we believe to be the first known allosteric, pan-mutant (H1047X, E542X and E545X), and isoform-selective PI3Kα inhibitor designed to overcome these limitations. By solving the full-length Cryo-EM structure of PI3Kα and performing computational long time-scale molecular dynamic simulations to elucidate conformational differences between wild-type and mutant PI3Kα, we were able to leverage these insights to support the design of RLY-2608.</w:t>
      </w:r>
    </w:p>
    <w:p>
      <w:pPr>
        <w:spacing w:after="0" w:line="190"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In the fourth quarter of 2021, we announced preclinical data for RLY-2608. The preclinical data show that in preclinical models, RLY-2608 preferentially binds to mutant PI3Kα at a novel allosteric site discovered by our Dynamo platform, which is discussed in further detail below in “—Our solution, RLY-2608”. We dosed the first patient in the RLY-2608 ReDiscover Trial in December 2021 and, in April 2022, initiated the second arm of the dose escalation part of this trial, evaluating RLY-2608 in combination with fulvestrant for patients with HR+, HER2–, PI3Kα-mutated, locally advanced or metastatic breast cancer.</w:t>
      </w:r>
    </w:p>
    <w:p>
      <w:pPr>
        <w:spacing w:after="0" w:line="18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RLY-2608 has the potential to address approximately 50,000 to 156,000 patients per year in the United States, one of the largest patient populations for a precision oncology medicine (</w:t>
      </w:r>
      <w:r>
        <w:rPr>
          <w:rFonts w:ascii="Arial" w:cs="Arial" w:eastAsia="Arial" w:hAnsi="Arial"/>
          <w:sz w:val="16"/>
          <w:szCs w:val="16"/>
          <w:b w:val="1"/>
          <w:bCs w:val="1"/>
          <w:color w:val="auto"/>
        </w:rPr>
        <w:t>Figure 8</w:t>
      </w:r>
      <w:r>
        <w:rPr>
          <w:rFonts w:ascii="Arial" w:cs="Arial" w:eastAsia="Arial" w:hAnsi="Arial"/>
          <w:sz w:val="16"/>
          <w:szCs w:val="16"/>
          <w:color w:val="auto"/>
        </w:rPr>
        <w:t>). Selectivity for all three mutation hot spots (H1047X, E542X and E545X) has the potential to effectively double the addressable patient population compared to selectivity for only H1047X.</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Figure 8: PI3Kα addressable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2609215</wp:posOffset>
            </wp:positionV>
            <wp:extent cx="1714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5349240" cy="2211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Sources: Internal analysis based on third-party industry data.</w:t>
      </w:r>
    </w:p>
    <w:p>
      <w:pPr>
        <w:spacing w:after="0" w:line="22"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Annual incidence of solid tumors with PI3Kα H1047R, PI3Kα H1047X, PI3Kα E542X + E545X alterations.</w:t>
      </w:r>
    </w:p>
    <w:p>
      <w:pPr>
        <w:spacing w:after="0" w:line="18" w:lineRule="exact"/>
        <w:rPr>
          <w:rFonts w:ascii="Arial" w:cs="Arial" w:eastAsia="Arial" w:hAnsi="Arial"/>
          <w:sz w:val="16"/>
          <w:szCs w:val="16"/>
          <w:i w:val="1"/>
          <w:iCs w:val="1"/>
          <w:color w:val="auto"/>
        </w:rPr>
      </w:pPr>
    </w:p>
    <w:p>
      <w:pPr>
        <w:ind w:left="560" w:hanging="552"/>
        <w:spacing w:after="0"/>
        <w:tabs>
          <w:tab w:leader="none" w:pos="5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Clear Cell Ovarian Cancer.</w:t>
      </w:r>
    </w:p>
    <w:p>
      <w:pPr>
        <w:spacing w:after="0" w:line="18" w:lineRule="exact"/>
        <w:rPr>
          <w:rFonts w:ascii="Arial" w:cs="Arial" w:eastAsia="Arial" w:hAnsi="Arial"/>
          <w:sz w:val="16"/>
          <w:szCs w:val="16"/>
          <w:i w:val="1"/>
          <w:iCs w:val="1"/>
          <w:color w:val="auto"/>
        </w:rPr>
      </w:pPr>
    </w:p>
    <w:p>
      <w:pPr>
        <w:ind w:left="560" w:hanging="552"/>
        <w:spacing w:after="0"/>
        <w:tabs>
          <w:tab w:leader="none" w:pos="5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Head &amp; Neck Squamous Cell Carcinoma.</w:t>
      </w:r>
    </w:p>
    <w:p>
      <w:pPr>
        <w:spacing w:after="0" w:line="18" w:lineRule="exact"/>
        <w:rPr>
          <w:rFonts w:ascii="Arial" w:cs="Arial" w:eastAsia="Arial" w:hAnsi="Arial"/>
          <w:sz w:val="16"/>
          <w:szCs w:val="16"/>
          <w:i w:val="1"/>
          <w:iCs w:val="1"/>
          <w:color w:val="auto"/>
        </w:rPr>
      </w:pPr>
    </w:p>
    <w:p>
      <w:pPr>
        <w:ind w:left="560" w:hanging="552"/>
        <w:spacing w:after="0"/>
        <w:tabs>
          <w:tab w:leader="none" w:pos="56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HR+/HER2- breast cancer patient population with a PI3Kα hotspot alteration; alterations include: H1047X, E542X, E545X.</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Role of PI3Kα in cellular proliferation and differentiation</w:t>
      </w:r>
    </w:p>
    <w:p>
      <w:pPr>
        <w:spacing w:after="0" w:line="235" w:lineRule="exact"/>
        <w:rPr>
          <w:sz w:val="20"/>
          <w:szCs w:val="20"/>
          <w:color w:val="auto"/>
        </w:rPr>
      </w:pPr>
    </w:p>
    <w:p>
      <w:pPr>
        <w:spacing w:after="0" w:line="324" w:lineRule="auto"/>
        <w:rPr>
          <w:sz w:val="20"/>
          <w:szCs w:val="20"/>
          <w:color w:val="auto"/>
        </w:rPr>
      </w:pPr>
      <w:r>
        <w:rPr>
          <w:rFonts w:ascii="Arial" w:cs="Arial" w:eastAsia="Arial" w:hAnsi="Arial"/>
          <w:sz w:val="14"/>
          <w:szCs w:val="14"/>
          <w:color w:val="auto"/>
        </w:rPr>
        <w:t>Mutations at amino acid H1047 of PI3Kα are among the most common kinase mutations in cancer and are believed to be a primary driver of carcinogenesis. There are no approved therapies that selectively target mutant versions of PI3Kα. Inhibitors that are not mutant-selective are associated with dose-limiting toxicities resulting in frequent discontinuations that restrict their therapeutic potential. Additionally, these inhibitors can also inhibit other isoforms of PI3K, including PI3Kδ, which can result in further toxicity, such as gastrointestinal toxicity. Our belief is that selectively targeting mutant PI3Kα only could result in improved target inhibition and increased clinical efficacy.</w:t>
      </w:r>
    </w:p>
    <w:p>
      <w:pPr>
        <w:spacing w:after="0" w:line="157" w:lineRule="exact"/>
        <w:rPr>
          <w:sz w:val="20"/>
          <w:szCs w:val="20"/>
          <w:color w:val="auto"/>
        </w:rPr>
      </w:pPr>
    </w:p>
    <w:p>
      <w:pPr>
        <w:ind w:right="40"/>
        <w:spacing w:after="0" w:line="324" w:lineRule="auto"/>
        <w:rPr>
          <w:sz w:val="20"/>
          <w:szCs w:val="20"/>
          <w:color w:val="auto"/>
        </w:rPr>
      </w:pPr>
      <w:r>
        <w:rPr>
          <w:rFonts w:ascii="Arial" w:cs="Arial" w:eastAsia="Arial" w:hAnsi="Arial"/>
          <w:sz w:val="14"/>
          <w:szCs w:val="14"/>
          <w:color w:val="auto"/>
        </w:rPr>
        <w:t>Leveraging our structural biology capabilities, we solved what we believe to be the first full-length structure of PI3Kα using Cryo-EM and utilized a range of experimental techniques to understand both H1047R mutant and wild-type conformations. We used this rich experimental data set to power molecular dynamics simulations of H1047R mutant PI3Kα to identify a series of dynamic structural changes caused by the mutation, which were not elucidated by prior structural studies of either H1047R mutant or wild-type PI3Kα. RLY-2608 was designed to exploit these dynamic differences and bind to a novel allosteric site to achieve heightened mutant selectivity.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Limitations of current PI3Kα inhibitors</w:t>
      </w:r>
    </w:p>
    <w:p>
      <w:pPr>
        <w:spacing w:after="0" w:line="235"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Approximately 60%-70% of the mutations in PI3Kα cluster at three amino acids (H1047, E542, and E545). Traditionally, the development of PI3Kα inhibitors has focused on the active, or orthosteric site. This site and its location make selectivity for PI3Kα over other PI3K isoforms and for mutant PI3Kα over wild-type PI3Kα difficult, and they do not enable pan-mutant coverage. Though these existing inhibitors have shown clinical activity in breast cancer as both monotherapy and in combination with hormonal therapy, as well as anecdotal monotherapy responses in patients with PI3Kα mutations in other tumor types, the therapeutic index of such orthosteric inhibitors is limited by the lack of clinically meaningful selectivity for mutant versus wild-type PI3Kα and off-isoform activity. Toxicity related to inhibition of wild-type PI3Kα and other PI3K isoforms results in sub-optimal inhibition of mutant PI3Kα with reductions in dose intensity and frequent discontinuation (</w:t>
      </w:r>
      <w:r>
        <w:rPr>
          <w:rFonts w:ascii="Arial" w:cs="Arial" w:eastAsia="Arial" w:hAnsi="Arial"/>
          <w:sz w:val="16"/>
          <w:szCs w:val="16"/>
          <w:b w:val="1"/>
          <w:bCs w:val="1"/>
          <w:color w:val="auto"/>
        </w:rPr>
        <w:t>Figure 9</w:t>
      </w:r>
      <w:r>
        <w:rPr>
          <w:rFonts w:ascii="Arial" w:cs="Arial" w:eastAsia="Arial" w:hAnsi="Arial"/>
          <w:sz w:val="16"/>
          <w:szCs w:val="16"/>
          <w:color w:val="auto"/>
        </w:rPr>
        <w:t>). These agents are generally limited by high rates of severe hyperglycemia, which is an on-target toxicity, and by gastrointestinal toxicity, which may be related to inhibition of other PI3K family members, including PI3Kδ.</w:t>
      </w:r>
    </w:p>
    <w:p>
      <w:pPr>
        <w:spacing w:after="0" w:line="19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RLY-2608, what we believe to be the first known allosteric, pan-mutant (H1047X, E542X and E545X), and isoform-selective PI3Kα inhibitor, was designed to overcome these limitations.</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8" w:right="4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Figure 9: Existing inhibitors establish proof-of-concept but could be limited in efficacy by their safety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5349240" cy="2691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i w:val="1"/>
          <w:iCs w:val="1"/>
          <w:color w:val="auto"/>
        </w:rPr>
        <w:t>Note: fulv = fulvestrant; BC= breast cancer; all referenced studies are for their patient populations which are analogous to ongoing patient populations within RLY-2608 clinical trials; Alpelisib and fulvestrant are FDA-approved, Inavolisib is in Phase 3 clinical trials.</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i w:val="1"/>
          <w:iCs w:val="1"/>
          <w:color w:val="auto"/>
        </w:rPr>
        <w:t>Sources: Alpelisib – 1. SOLAR-1: Andre 2019 N Engl J Med 380:1929, 2. Ph 1b: SABCS 2013 P2-16-14, 3. Ph 1b: SABCS 2014 PD5-5, 4. Ph 2 ByLIEVE: Rugo 2021 Lancet Oncol 22:489, SABCS 2021 #P1-18-03, 5. Ph 1b mono: Annals of Oncol 25 2014 (suppl 4), 6. Ph 2 mono: Savas Cancer Discov 2022 Sep 12:2058, 7. Ph 1a mono: Juric 2018 J Clin Oncol 36:1291; Inavolisib – 8. ASCO 2022 #1052, 9. SABCS 2020 #PS11-11, 10. AACR 2020 CT109, 11. SABCS 2019 OT1-08-04; 12. SABCS 2019 P1-19-46, 13. SABCS 2021 #P5-17-05.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Our solution, RLY-2608</w:t>
      </w:r>
    </w:p>
    <w:p>
      <w:pPr>
        <w:spacing w:after="0" w:line="235"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Given the existence of mutations in PI3Kα with different biological mechanisms underlying aberrant activity, we believe there are multiple opportunities to develop inhibitors of PI3Kα, both “pan-mutant” inhibitors as well as distinct mutant selective inhibitors, which could lead to the opportunity for “double-drugging” certain PI3Kα mutations such as H1047R. Addressing the challenge of mutant selectivity required us to express and then solve the structure of the full-length PI3Kα protein. This structure, which to our knowledge had previously not been solved, represented a technical challenge because PI3Kα is a membrane-bound protein. This type of protein is typically difficult both to purify in large quantities and to crystallize. Nonetheless, we were able to obtain the structure of full-length PI3Kα using Cryo-EM. The three-dimensional structure of PI3Kα was determined by collecting data from two-dimensional electron microscopic projections of thin layers of protein. The resulting three-dimensional protein structure provided us with fundamental insights into the mechanism of activation of PI3Kα and the impact of mutations on its function. Through the integration of these structural insights with a combination of experimental and computational techniques, our aim is to develop a franchise of mutant selective PI3Kα inhibitors. RLY-2608 is the first lead molecule derived from these efforts and is the first known allosteric, pan-mutant (H1047X, E542X and E545X) and isoform-selective PI3Kα inhibitor in clinical development.</w:t>
      </w:r>
    </w:p>
    <w:p>
      <w:pPr>
        <w:spacing w:after="0" w:line="194" w:lineRule="exact"/>
        <w:rPr>
          <w:sz w:val="20"/>
          <w:szCs w:val="20"/>
          <w:color w:val="auto"/>
        </w:rPr>
      </w:pPr>
    </w:p>
    <w:p>
      <w:pPr>
        <w:spacing w:after="0" w:line="335" w:lineRule="auto"/>
        <w:rPr>
          <w:sz w:val="20"/>
          <w:szCs w:val="20"/>
          <w:color w:val="auto"/>
        </w:rPr>
      </w:pPr>
      <w:r>
        <w:rPr>
          <w:rFonts w:ascii="Arial" w:cs="Arial" w:eastAsia="Arial" w:hAnsi="Arial"/>
          <w:sz w:val="14"/>
          <w:szCs w:val="14"/>
          <w:color w:val="auto"/>
        </w:rPr>
        <w:t>In October 2021, we shared preclinical data at the virtual AACR-NCI-EORTC Molecular Targets Conference and in December 2021, we shared additional preclinical data at the San Antonio Breast Cancer Symposium and dosed the first patient in the RLY-2608 ReDiscover Trial. In April 2022, we initiated the second arm of the dose escalation part of this trial, evaluating RLY-2608 in combination with fulvestrant for patients with HR+, HER2–, PI3Kα-mutated, locally advanced or metastatic breast cancer.</w:t>
      </w:r>
    </w:p>
    <w:p>
      <w:pPr>
        <w:spacing w:after="0" w:line="149"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preclinical data shared in 2021 show that in preclinical models, RLY-2608 preferentially binds to mutant PI3Kα at a novel allosteric site discovered by the Dynamo platform. The data also show that in biochemical and cellular assays, RLY-2608 inhibited the three major classes of PI3Kα oncogenic mutations (H1047X, E542X and E545X) while sparing wild-type PI3Kα, and in biochemical assays, RLY-2608 shows potency comparable to alpelisib on the three most commonly seen PI3Kα mutants, but unlike alpelisib and inavolisib, two other PI3Kα inhibitors, RLY-2608 is significantly less potent against wild-type PI3Kα.</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19" w:name="page20"/>
    <w:bookmarkEnd w:id="19"/>
    <w:p>
      <w:pPr>
        <w:ind w:right="520"/>
        <w:spacing w:after="0" w:line="293" w:lineRule="auto"/>
        <w:rPr>
          <w:sz w:val="20"/>
          <w:szCs w:val="20"/>
          <w:color w:val="auto"/>
        </w:rPr>
      </w:pPr>
      <w:r>
        <w:rPr>
          <w:rFonts w:ascii="Arial" w:cs="Arial" w:eastAsia="Arial" w:hAnsi="Arial"/>
          <w:sz w:val="16"/>
          <w:szCs w:val="16"/>
          <w:color w:val="auto"/>
        </w:rPr>
        <w:t>The data indicate RLY-2608 is also highly specific for PI3Kα, without residual activity on other PI3K family members which could contribute to the toxicity of non-selective PI3K inhibitors (</w:t>
      </w:r>
      <w:r>
        <w:rPr>
          <w:rFonts w:ascii="Arial" w:cs="Arial" w:eastAsia="Arial" w:hAnsi="Arial"/>
          <w:sz w:val="16"/>
          <w:szCs w:val="16"/>
          <w:b w:val="1"/>
          <w:bCs w:val="1"/>
          <w:color w:val="auto"/>
        </w:rPr>
        <w:t>Figure 10</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10: RLY-2608 has shown mutant and isoform biochemical selectivity.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2523490</wp:posOffset>
            </wp:positionV>
            <wp:extent cx="1714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5349240" cy="2125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Biochemical inhibition of PI3K isoforms including hotspot mutants of PI3Kα by RLY-2608 and orthosteric inhibitors was assessed using the ADP-Glo assay (Promega). The readout measures the adenosine diphosphate generated upon phosphorylation of a soluble PIP2 surrogate substrate by PI3K in the presence of adenosine triphosphate with a 120-minute preincubation period.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data further suggest that RLY-2608 is also highly selective against other PI3K family members and exquisitely selective across the kinome (</w:t>
      </w:r>
      <w:r>
        <w:rPr>
          <w:rFonts w:ascii="Arial" w:cs="Arial" w:eastAsia="Arial" w:hAnsi="Arial"/>
          <w:sz w:val="16"/>
          <w:szCs w:val="16"/>
          <w:b w:val="1"/>
          <w:bCs w:val="1"/>
          <w:color w:val="auto"/>
        </w:rPr>
        <w:t>Figure 11</w:t>
      </w:r>
      <w:r>
        <w:rPr>
          <w:rFonts w:ascii="Arial" w:cs="Arial" w:eastAsia="Arial" w:hAnsi="Arial"/>
          <w:sz w:val="16"/>
          <w:szCs w:val="16"/>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11: RLY-2608 is selective across the kinome.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2609215</wp:posOffset>
            </wp:positionV>
            <wp:extent cx="1714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5349240" cy="2271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4924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0"/>
        <w:spacing w:after="0" w:line="328" w:lineRule="auto"/>
        <w:rPr>
          <w:sz w:val="20"/>
          <w:szCs w:val="20"/>
          <w:color w:val="auto"/>
        </w:rPr>
      </w:pPr>
      <w:r>
        <w:rPr>
          <w:rFonts w:ascii="Arial" w:cs="Arial" w:eastAsia="Arial" w:hAnsi="Arial"/>
          <w:sz w:val="15"/>
          <w:szCs w:val="15"/>
          <w:i w:val="1"/>
          <w:iCs w:val="1"/>
          <w:color w:val="auto"/>
        </w:rPr>
        <w:t>RLY-2608 was evaluated against a panel of 321 human kinases and disease-relevant mutant variants in the Thermo Fisher Scientific SelectScreen Profiling Service fluorescence resonance energy transfer assays. The legend represents various degrees of inhibition at the test concentration of 10 μM.</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20" w:name="page21"/>
    <w:bookmarkEnd w:id="20"/>
    <w:p>
      <w:pPr>
        <w:ind w:right="80"/>
        <w:spacing w:after="0" w:line="273" w:lineRule="auto"/>
        <w:rPr>
          <w:sz w:val="20"/>
          <w:szCs w:val="20"/>
          <w:color w:val="auto"/>
        </w:rPr>
      </w:pPr>
      <w:r>
        <w:rPr>
          <w:rFonts w:ascii="Arial" w:cs="Arial" w:eastAsia="Arial" w:hAnsi="Arial"/>
          <w:sz w:val="16"/>
          <w:szCs w:val="16"/>
          <w:color w:val="auto"/>
        </w:rPr>
        <w:t>The data suggest that projected clinically relevant doses of RLY-2608 achieved tumor regression in PIK3CA mutant in vivo xenograft mouse models representing H1047R and E545K mutations with significantly reduced impact on glucose metabolism compared to non-mutant selective active site inhibitors. In higher species, dosing of RLY-2608 resulted in exposures exceeding 90% inhibition of mutant PI3Kα in cells without resulting in elevated glucose levels or histopathological changes associated with dysregulation of glucose metabolism that are seen with non-mutant selective inhibitors (</w:t>
      </w:r>
      <w:r>
        <w:rPr>
          <w:rFonts w:ascii="Arial" w:cs="Arial" w:eastAsia="Arial" w:hAnsi="Arial"/>
          <w:sz w:val="16"/>
          <w:szCs w:val="16"/>
          <w:b w:val="1"/>
          <w:bCs w:val="1"/>
          <w:color w:val="auto"/>
        </w:rPr>
        <w:t>Figure 12</w:t>
      </w:r>
      <w:r>
        <w:rPr>
          <w:rFonts w:ascii="Arial" w:cs="Arial" w:eastAsia="Arial" w:hAnsi="Arial"/>
          <w:sz w:val="16"/>
          <w:szCs w:val="16"/>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12: In vivo regressions across both mutation hotspots.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2635250</wp:posOffset>
            </wp:positionV>
            <wp:extent cx="1714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5349240" cy="22371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Activity of RLY-2608 and orthosteric inhibitors in xenograft models harboring PIK3CA hotspot mutations. RLY-2608 was administered orally once a day (QD) or twice a day (BID) for the duration of the study as indicated on the x-axis (n=8). At end of study, serum samples were collected at two timepoints and evaluated by ELISA for insulin levels. All models were grown in Balb/c nude female mice.</w:t>
      </w:r>
    </w:p>
    <w:p>
      <w:pPr>
        <w:spacing w:after="0" w:line="2" w:lineRule="exact"/>
        <w:rPr>
          <w:sz w:val="20"/>
          <w:szCs w:val="20"/>
          <w:color w:val="auto"/>
        </w:rPr>
      </w:pPr>
    </w:p>
    <w:p>
      <w:pPr>
        <w:ind w:left="560" w:hanging="552"/>
        <w:spacing w:after="0"/>
        <w:tabs>
          <w:tab w:leader="none" w:pos="5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This model also carries a second mutation at K567R.</w:t>
      </w:r>
    </w:p>
    <w:p>
      <w:pPr>
        <w:spacing w:after="0" w:line="18" w:lineRule="exact"/>
        <w:rPr>
          <w:rFonts w:ascii="Arial" w:cs="Arial" w:eastAsia="Arial" w:hAnsi="Arial"/>
          <w:sz w:val="16"/>
          <w:szCs w:val="16"/>
          <w:i w:val="1"/>
          <w:iCs w:val="1"/>
          <w:color w:val="auto"/>
        </w:rPr>
      </w:pPr>
    </w:p>
    <w:p>
      <w:pPr>
        <w:ind w:left="560" w:hanging="552"/>
        <w:spacing w:after="0"/>
        <w:tabs>
          <w:tab w:leader="none" w:pos="5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HSC2 model, 24 days.</w:t>
      </w:r>
    </w:p>
    <w:p>
      <w:pPr>
        <w:spacing w:after="0" w:line="18" w:lineRule="exact"/>
        <w:rPr>
          <w:rFonts w:ascii="Arial" w:cs="Arial" w:eastAsia="Arial" w:hAnsi="Arial"/>
          <w:sz w:val="16"/>
          <w:szCs w:val="16"/>
          <w:i w:val="1"/>
          <w:iCs w:val="1"/>
          <w:color w:val="auto"/>
        </w:rPr>
      </w:pPr>
    </w:p>
    <w:p>
      <w:pPr>
        <w:ind w:left="560" w:hanging="552"/>
        <w:spacing w:after="0"/>
        <w:tabs>
          <w:tab w:leader="none" w:pos="5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Similar results observed in the same background strain at 1hr timepoint in the MCF7 (E545K) model.</w:t>
      </w:r>
    </w:p>
    <w:p>
      <w:pPr>
        <w:spacing w:after="0" w:line="23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data show RLY-2608 is active as monotherapy in patient-derived xenograft breast cancer models, including both H1047R and E542K-mutant tumors. The data further indicate RLY-2608 also synergizes with fulvestrant (an estrogen receptor inhibitor) and abemaciclib (a CDK4/6 inhibitor), which are standard of care therapies in breast cancer, in cell viability assays in PIK3CAmut/ER+/HER2- cell lines. Oral administration of RLY-2608 in combination with fulvestrant or abemaciclib led to improved activity compared to either agent alone in ER+/HER2- xenograft models representing the most commonly observed PIK3CA mutations in breast cancer (H1047R, E542K, E545K). The triple combination of all three agents resulted in deep regressions across all models. Additionally, the combination models had similar tolerability to monotherapy models. (</w:t>
      </w:r>
      <w:r>
        <w:rPr>
          <w:rFonts w:ascii="Arial" w:cs="Arial" w:eastAsia="Arial" w:hAnsi="Arial"/>
          <w:sz w:val="16"/>
          <w:szCs w:val="16"/>
          <w:b w:val="1"/>
          <w:bCs w:val="1"/>
          <w:color w:val="auto"/>
        </w:rPr>
        <w:t>Figure 13</w:t>
      </w:r>
      <w:r>
        <w:rPr>
          <w:rFonts w:ascii="Arial" w:cs="Arial" w:eastAsia="Arial" w:hAnsi="Arial"/>
          <w:sz w:val="16"/>
          <w:szCs w:val="16"/>
          <w:color w:val="auto"/>
        </w:rPr>
        <w:t>)</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62" w:right="41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Figure 13: RLY-2608 combined with standard of care therapies facilitated regressions in ER+/HER2- breast cancer models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2326640</wp:posOffset>
            </wp:positionV>
            <wp:extent cx="1714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5349240" cy="19970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73" w:lineRule="auto"/>
        <w:rPr>
          <w:sz w:val="20"/>
          <w:szCs w:val="20"/>
          <w:color w:val="auto"/>
        </w:rPr>
      </w:pPr>
      <w:r>
        <w:rPr>
          <w:rFonts w:ascii="Arial" w:cs="Arial" w:eastAsia="Arial" w:hAnsi="Arial"/>
          <w:sz w:val="16"/>
          <w:szCs w:val="16"/>
          <w:i w:val="1"/>
          <w:iCs w:val="1"/>
          <w:color w:val="auto"/>
        </w:rPr>
        <w:t>Combination efficacy of RLY-2608 and fulvestrant and abemaciclib in ER+/HER2- patient derived xenograft models mutant for PIK3CA. RLY-2608 was administered orally twice daily (BID) at 25 mg/kg, a quarter of the full efficacious dose either alone or in combination with fulvestrant (subcutaneous injection of 5mg/mouse, weekly) and/or abemaciclib (daily oral administration of 25 mg/kg). Each bar in the waterfall plot represents an individual tumor response (percent change relative to initial tumor volume) at end of study. All mice were supplemented with estradiol to enable tumor growth.</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These results support advancement of RLY-2608 into clinical development as a differentiated mechanism of mutant PI3Kα inhibition.</w:t>
      </w:r>
    </w:p>
    <w:p>
      <w:pPr>
        <w:spacing w:after="0" w:line="23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RLY-2608 has the potential to address approximately 50,000 to 156,000 patients per year in the United States, one of the largest patient populations for a precision oncology medicine. Selectivity for all three mutation hot spots (H1047X, E542X and E545X) has the potential to effectively double the addressable patient population compared to selectivity for only H1047X.</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Our clinical development plan</w:t>
      </w:r>
    </w:p>
    <w:p>
      <w:pPr>
        <w:spacing w:after="0" w:line="235"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The RLY-2608 ReDiscover Trial is designed to evaluate the safety, tolerability, pharmacokinetics, pharmacodynamics and preliminary antitumor activity of RLY-2608, and consists of two separate arms (</w:t>
      </w:r>
      <w:r>
        <w:rPr>
          <w:rFonts w:ascii="Arial" w:cs="Arial" w:eastAsia="Arial" w:hAnsi="Arial"/>
          <w:sz w:val="16"/>
          <w:szCs w:val="16"/>
          <w:b w:val="1"/>
          <w:bCs w:val="1"/>
          <w:color w:val="auto"/>
        </w:rPr>
        <w:t>Figure 14</w:t>
      </w:r>
      <w:r>
        <w:rPr>
          <w:rFonts w:ascii="Arial" w:cs="Arial" w:eastAsia="Arial" w:hAnsi="Arial"/>
          <w:sz w:val="16"/>
          <w:szCs w:val="16"/>
          <w:color w:val="auto"/>
        </w:rPr>
        <w:t>). The first arm assesses RLY-2608 as a single agent for patients with unresectable or metastatic solid tumors with PI3Kα mutation, while the second arm evaluates RLY-2608 in combination with fulvestrant for patients with PI3Kα-mutant, HR+, HER2– locally advanced or metastatic breast cancer. Each arm has two parts, a dose escalation (part 1) to determine the maximum tolerated dose and/or recommended Phase 2 dose, followed by a dose expansion (part 2) to evaluate RLY-2608 in genomically defined populations.</w:t>
      </w:r>
    </w:p>
    <w:p>
      <w:pPr>
        <w:spacing w:after="0" w:line="190"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In the dose expansion part of the trial for RLY-2608 as a single agent, patients with the following unresectable or metastatic solid tumors with a PI3Kα mutation per local assessment continue to be enrolled in the following groups: (1) clear cell ovarian cancer; (2) head and neck squamous cell carcinoma; (3) cervical cancer; (4) other solid tumors; and (5) unresectable or metastatic solid tumors with PIK3CA double mutations defined as major (E542X, E545X, or H1047X), plus ≥1 additional PI3Kα mutations. In the dose expansion part of the trial for RLY-2608 in combination with fulvestrant, men or postmenopausal women with HR+, HER2– advanced or metastatic breast cancer with PI3Kα mutations continue to be enrolled in the following groups: (1) patients who have not received prior treatment with a PI3Kα inhibitor; and (2) patients who are intolerant to PI3Kα inhibitors. The RLY-2608 ReDiscover Trial is designed to enroll approximately 190 patients between both arms.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Figure 14: RLY-2608 ReDiscover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2592070</wp:posOffset>
            </wp:positionV>
            <wp:extent cx="1714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5349240" cy="2194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0" w:hanging="552"/>
        <w:spacing w:after="0"/>
        <w:tabs>
          <w:tab w:leader="none" w:pos="5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Excludes PIK3CAmut clear cell OvCA, HNSCC, and Cervical cancer patients.</w:t>
      </w:r>
    </w:p>
    <w:p>
      <w:pPr>
        <w:spacing w:after="0" w:line="22" w:lineRule="exact"/>
        <w:rPr>
          <w:rFonts w:ascii="Arial" w:cs="Arial" w:eastAsia="Arial" w:hAnsi="Arial"/>
          <w:sz w:val="16"/>
          <w:szCs w:val="16"/>
          <w:i w:val="1"/>
          <w:iCs w:val="1"/>
          <w:color w:val="auto"/>
        </w:rPr>
      </w:pPr>
    </w:p>
    <w:p>
      <w:pPr>
        <w:ind w:left="560" w:hanging="552"/>
        <w:spacing w:after="0"/>
        <w:tabs>
          <w:tab w:leader="none" w:pos="5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Double mutation defined as one major PIK3CA mutation (E542X, E545X, H1047X) + ≥1 additional PI3KCA mutation per local assessment.</w:t>
      </w:r>
    </w:p>
    <w:p>
      <w:pPr>
        <w:spacing w:after="0" w:line="18" w:lineRule="exact"/>
        <w:rPr>
          <w:rFonts w:ascii="Arial" w:cs="Arial" w:eastAsia="Arial" w:hAnsi="Arial"/>
          <w:sz w:val="16"/>
          <w:szCs w:val="16"/>
          <w:i w:val="1"/>
          <w:iCs w:val="1"/>
          <w:color w:val="auto"/>
        </w:rPr>
      </w:pPr>
    </w:p>
    <w:p>
      <w:pPr>
        <w:ind w:firstLine="8"/>
        <w:spacing w:after="0" w:line="288" w:lineRule="auto"/>
        <w:tabs>
          <w:tab w:leader="none" w:pos="56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Intolerance to PI3Kα inhibitors is defined as treatment discontinuation due to treatment-related adverse event (e.g., hyperglycemia, rash, diarrhea, stomatitis) other than severe hypersensitivity reaction and/or life-threatening reactions, such as anaphylaxis and Stevens-Johnson syndrome.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RLY-5836, a second and chemically distinct pan-mutant PI3Kα inhibitor</w:t>
      </w:r>
    </w:p>
    <w:p>
      <w:pPr>
        <w:spacing w:after="0" w:line="23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As a demonstration of our commitment to PI3Kα as a target, we have also developed a second preclinical molecule, RLY-5836. Developed leveraging our existing structural understanding of PI3Kα, this molecule is similar to RLY-2608 in that it is also an allosteric, pan-mutant (H1047X, E542X and E545X) and isoform-selective PI3Kα inhibitor. However, it is chemically distinct to RLY-2608 and serves as another molecule within our PI3Kα franchise.</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Preclinical data suggest that projected clinically relevant doses of RLY-5836 were associated with tumor regression in PIK3CA mutant xenograft mouse models representing H1047R and E545K mutations, the same models evaluated with RLY-2608 (</w:t>
      </w:r>
      <w:r>
        <w:rPr>
          <w:rFonts w:ascii="Arial" w:cs="Arial" w:eastAsia="Arial" w:hAnsi="Arial"/>
          <w:sz w:val="16"/>
          <w:szCs w:val="16"/>
          <w:b w:val="1"/>
          <w:bCs w:val="1"/>
          <w:color w:val="auto"/>
        </w:rPr>
        <w:t>Figure 15</w:t>
      </w:r>
      <w:r>
        <w:rPr>
          <w:rFonts w:ascii="Arial" w:cs="Arial" w:eastAsia="Arial" w:hAnsi="Arial"/>
          <w:sz w:val="16"/>
          <w:szCs w:val="16"/>
          <w:color w:val="auto"/>
        </w:rPr>
        <w: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Figure 15: RLY-5836: In vivo regressions across both mutation hotspots.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2694940</wp:posOffset>
            </wp:positionV>
            <wp:extent cx="1714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5349240" cy="2297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i w:val="1"/>
          <w:iCs w:val="1"/>
          <w:color w:val="auto"/>
        </w:rPr>
        <w:t>Activity of RLY-5836 and orthosteric inhibitors in xenograft models harboring PIK3CA hotspot mutations. RLY-5836 was administered orally twice a day (BID) for the duration of the study as indicated on the x-axis (n=8). At end of study, serum samples were collected at two timepoints and evaluated by ELISA for insulin levels. All models were grown in Balb/c nude female mice.</w:t>
      </w:r>
    </w:p>
    <w:p>
      <w:pPr>
        <w:spacing w:after="0" w:line="2" w:lineRule="exact"/>
        <w:rPr>
          <w:sz w:val="20"/>
          <w:szCs w:val="20"/>
          <w:color w:val="auto"/>
        </w:rPr>
      </w:pPr>
    </w:p>
    <w:p>
      <w:pPr>
        <w:ind w:right="7020" w:firstLine="8"/>
        <w:spacing w:after="0" w:line="621" w:lineRule="auto"/>
        <w:tabs>
          <w:tab w:leader="none" w:pos="56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This model also carries a second mutation at K567R. GDC-1971 (formerly known as RLY-1971), an inhibitor of SHP2</w:t>
      </w:r>
    </w:p>
    <w:p>
      <w:pPr>
        <w:spacing w:after="0"/>
        <w:rPr>
          <w:sz w:val="20"/>
          <w:szCs w:val="20"/>
          <w:color w:val="auto"/>
        </w:rPr>
      </w:pPr>
      <w:r>
        <w:rPr>
          <w:rFonts w:ascii="Arial" w:cs="Arial" w:eastAsia="Arial" w:hAnsi="Arial"/>
          <w:sz w:val="16"/>
          <w:szCs w:val="16"/>
          <w:u w:val="single" w:color="auto"/>
          <w:color w:val="auto"/>
        </w:rPr>
        <w:t>Overview</w:t>
      </w: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GDC-1971 is an oral, small molecule inhibitor of the protein tyrosine phosphatase SHP2 that binds and stabilizes SHP2 in its inactive conformation. SHP2 promotes cancer cell survival and growth through the RAS pathway by transducing signals downstream from RTKs. Additionally, activating SHP2 mutations results in enhanced signaling in the absence of ligand stimulation and has been identified as oncogenic drivers in a range of tumors. As a critical signaling node and regulator, SHP2 drives cancer cell proliferation and plays a key role in the way cancer cells develop resistance to targeted therapies. We believe that inhibition of SHP2 could block a common path that cancer cells exploit to avoid killing by other antitumor agents, thus overcoming or delaying the onset of resistance to those therapies. In the first quarter of 2020, we initiated a Phase 1a clinical trial for GDC-1971 as a monotherapy in patients with advanced or metastatic solid tumors. We completed enrollment of this trial in 2022. In December 2020, we entered into the Genentech Agreement, a global collaboration and license agreement with Genentech for the clinical development and commercialization of GDC-1971. Genentech initiated the cohort of GDC-1971 in combination with GDC-6036, its KRAS G12C inhibitor, in a Phase 1b trial in July 2021, and a Phase 1b trial of GDC-1971 in combination with atezolizumab, its PD-L1 antibody, in August 2022. Given the range of cancers that are related to SHP2 dependence, we believe GDC-1971 has the potential to serve as a combination backbone therapy.</w:t>
      </w:r>
    </w:p>
    <w:p>
      <w:pPr>
        <w:spacing w:after="0" w:line="178" w:lineRule="exact"/>
        <w:rPr>
          <w:sz w:val="20"/>
          <w:szCs w:val="20"/>
          <w:color w:val="auto"/>
        </w:rPr>
      </w:pPr>
    </w:p>
    <w:p>
      <w:pPr>
        <w:ind w:right="80"/>
        <w:spacing w:after="0" w:line="324" w:lineRule="auto"/>
        <w:rPr>
          <w:sz w:val="20"/>
          <w:szCs w:val="20"/>
          <w:color w:val="auto"/>
        </w:rPr>
      </w:pPr>
      <w:r>
        <w:rPr>
          <w:rFonts w:ascii="Arial" w:cs="Arial" w:eastAsia="Arial" w:hAnsi="Arial"/>
          <w:sz w:val="14"/>
          <w:szCs w:val="14"/>
          <w:color w:val="auto"/>
        </w:rPr>
        <w:t>We estimate there are approximately 37,000 patients annually in the United States with advanced lung cancer or colorectal cancer who might benefit from a combination of GDC-1971 with another targeted inhibitor. In the future, if GDC-1971 advances to earlier lines of combination treatment for lung cancer or colorectal cancer, we believe it could be applied in the treatment of approximately 69,000 patients annually in the United States. The subset of patients with KRAS G12C mutations in lung cancer and colorectal cancer who could potentially benefit from the combination of GDC-1971 with GDC-6036 is approximately 17,000 to 32,000 annually in the United States.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SHP2: A central regulator of cell signaling</w:t>
      </w:r>
    </w:p>
    <w:p>
      <w:pPr>
        <w:spacing w:after="0" w:line="235" w:lineRule="exact"/>
        <w:rPr>
          <w:sz w:val="20"/>
          <w:szCs w:val="20"/>
          <w:color w:val="auto"/>
        </w:rPr>
      </w:pPr>
    </w:p>
    <w:p>
      <w:pPr>
        <w:ind w:right="60"/>
        <w:spacing w:after="0" w:line="335" w:lineRule="auto"/>
        <w:rPr>
          <w:sz w:val="20"/>
          <w:szCs w:val="20"/>
          <w:color w:val="auto"/>
        </w:rPr>
      </w:pPr>
      <w:r>
        <w:rPr>
          <w:rFonts w:ascii="Arial" w:cs="Arial" w:eastAsia="Arial" w:hAnsi="Arial"/>
          <w:sz w:val="14"/>
          <w:szCs w:val="14"/>
          <w:color w:val="auto"/>
        </w:rPr>
        <w:t>SHP2 is a protein tyrosine phosphatase that plays a critical role in the transduction of intracellular signals downstream from RTKs, promoting cell survival and growth through the RAS pathway. SHP2 was the first phosphatase identified as a recurrently mutated oncogene, providing genetic support for the importance of SHP2 activation in promoting cancer. In addition to the central role of SHP2 in RTK signaling, some alterations in the RAS signaling pathway amplify signals transmitted by SHP2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24" w:name="page25"/>
    <w:bookmarkEnd w:id="24"/>
    <w:p>
      <w:pPr>
        <w:ind w:right="100"/>
        <w:spacing w:after="0" w:line="293" w:lineRule="auto"/>
        <w:rPr>
          <w:sz w:val="20"/>
          <w:szCs w:val="20"/>
          <w:color w:val="auto"/>
        </w:rPr>
      </w:pPr>
      <w:r>
        <w:rPr>
          <w:rFonts w:ascii="Arial" w:cs="Arial" w:eastAsia="Arial" w:hAnsi="Arial"/>
          <w:sz w:val="16"/>
          <w:szCs w:val="16"/>
          <w:color w:val="auto"/>
        </w:rPr>
        <w:t>can therefore be suppressed by SHP2 inhibition. These include specific mutant forms of RAS (KRAS G12C and KRAS G12A), genomic amplification of wild-type KRAS, loss-of-function mutations in NF1, and class 3 mutations in BRAF.</w:t>
      </w:r>
    </w:p>
    <w:p>
      <w:pPr>
        <w:spacing w:after="0" w:line="16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A key feature of SHP2 as an oncology target is its ability to regulate cell signaling that arises from multiple RTKs (</w:t>
      </w:r>
      <w:r>
        <w:rPr>
          <w:rFonts w:ascii="Arial" w:cs="Arial" w:eastAsia="Arial" w:hAnsi="Arial"/>
          <w:sz w:val="16"/>
          <w:szCs w:val="16"/>
          <w:b w:val="1"/>
          <w:bCs w:val="1"/>
          <w:color w:val="auto"/>
        </w:rPr>
        <w:t>Figure 16</w:t>
      </w:r>
      <w:r>
        <w:rPr>
          <w:rFonts w:ascii="Arial" w:cs="Arial" w:eastAsia="Arial" w:hAnsi="Arial"/>
          <w:sz w:val="16"/>
          <w:szCs w:val="16"/>
          <w:color w:val="auto"/>
        </w:rPr>
        <w:t>). Therapies targeted to these RTKs, and therapies targeting downstream nodes such as PI3K, KRAS and MEK, are often unable to durably inhibit tumor growth because these tumors are able to bypass the targeted RTK and shift growth factor signaling to an alternate RTK, rendering them less sensitive to the targeted therapy. This is generally referred to as bypass resistance. Because SHP2 regulates the activity of multiple RTKs, inhibition of SHP2 is an effective way to overcome bypass resistance as confirmed by cellular and animal model experiments. Indeed, the added benefit of SHP2 inhibition has been demonstrated pre-clinically in combination with multiple agents, such as those targeting MEK, KRAS G12C, EGFR, and ALK. We believe our SHP2 inhibitor has the potential to become a commonly used combination partner with multiple targeted therapies including those in our own pipeline.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16: SHP2 regulates the activity of multiple receptor tyrosine kinases (RTKs).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4620260" cy="2185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2026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Our solution, GDC-1971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GDC-1971 is a small molecule inhibitor of SHP2 that binds and stabilizes SHP2 in its inactive conformation.</w:t>
      </w:r>
    </w:p>
    <w:p>
      <w:pPr>
        <w:spacing w:after="0" w:line="235"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 xml:space="preserve">Our preclinical data for GDC-1971 showed minimal inhibition of targets other than SHP2. GDC-1971 has bioavailability suitable for oral dosing, was metabolically stable, and demonstrated favorable pharmacokinetic properties in preclinical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models. We do not predict that GDC-1971 will have significant drug-drug interactions based on weak inhibition of drug metabolizing enzymes. It is readily synthesized in bulk, can be formulated for oral delivery, and was well-tolerated in animal models.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key differentiating features of GDC-1971 from other SHP2 inhibitors in clinical development are:</w:t>
      </w:r>
    </w:p>
    <w:p>
      <w:pPr>
        <w:spacing w:after="0" w:line="235"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Chemical distinctiveness: it is chemically distinct from other SHP2 inhibitors in clinical development</w:t>
      </w:r>
    </w:p>
    <w:p>
      <w:pPr>
        <w:spacing w:after="0" w:line="197"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Potency: demonstrated 750 pM IC</w:t>
      </w:r>
      <w:r>
        <w:rPr>
          <w:rFonts w:ascii="Arial" w:cs="Arial" w:eastAsia="Arial" w:hAnsi="Arial"/>
          <w:sz w:val="21"/>
          <w:szCs w:val="21"/>
          <w:color w:val="auto"/>
          <w:vertAlign w:val="subscript"/>
        </w:rPr>
        <w:t>50</w:t>
      </w:r>
      <w:r>
        <w:rPr>
          <w:rFonts w:ascii="Arial" w:cs="Arial" w:eastAsia="Arial" w:hAnsi="Arial"/>
          <w:sz w:val="16"/>
          <w:szCs w:val="16"/>
          <w:color w:val="auto"/>
        </w:rPr>
        <w:t xml:space="preserve"> inhibition of SHP2 phosphatase in biochemical assays</w:t>
      </w:r>
    </w:p>
    <w:p>
      <w:pPr>
        <w:spacing w:after="0" w:line="241" w:lineRule="exact"/>
        <w:rPr>
          <w:rFonts w:ascii="Arial" w:cs="Arial" w:eastAsia="Arial" w:hAnsi="Arial"/>
          <w:sz w:val="16"/>
          <w:szCs w:val="16"/>
          <w:color w:val="auto"/>
        </w:rPr>
      </w:pPr>
    </w:p>
    <w:p>
      <w:pPr>
        <w:ind w:left="1020" w:hanging="503"/>
        <w:spacing w:after="0"/>
        <w:tabs>
          <w:tab w:leader="none" w:pos="10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Dosing potential: projections of human pharmacokinetics suggest GDC-1971 will be amenable to continuous once daily dosing at relatively low active doses</w:t>
      </w:r>
    </w:p>
    <w:p>
      <w:pPr>
        <w:spacing w:after="0" w:line="258"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Combination benefit for SHP2 inhibition has been demonstrated with KRAS G12C inhibitors in cancer xenograft models harboring KRAS G12C mutations. The efficacy of direct KRAS G12C inhibition may be limited by adaptive feedback reactivation of the RAS-MAPK pathway through upregulation of multiple RTKs. Activation of these RTKs leads to compensatory activation of wild-type RAS isoforms, which cannot be inhibited by KRAS G12C-specific inhibitors, thus leading to resistance. SHP2 is unique in that it transmits signals from multiple RTKs and is therefore critical in mediating feedback reactivation of the RAS pathway during KRAS G12C inhibition.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5" w:name="page26"/>
    <w:bookmarkEnd w:id="25"/>
    <w:p>
      <w:pPr>
        <w:ind w:right="20"/>
        <w:spacing w:after="0" w:line="293" w:lineRule="auto"/>
        <w:rPr>
          <w:sz w:val="20"/>
          <w:szCs w:val="20"/>
          <w:color w:val="auto"/>
        </w:rPr>
      </w:pPr>
      <w:r>
        <w:rPr>
          <w:rFonts w:ascii="Arial" w:cs="Arial" w:eastAsia="Arial" w:hAnsi="Arial"/>
          <w:sz w:val="15"/>
          <w:szCs w:val="15"/>
          <w:color w:val="auto"/>
        </w:rPr>
        <w:t>Given the role of SHP2 in mediating bypass resistance, we believe that SHP2 inhibitors have significant therapeutic potential when given in combination with other targeted therapies. Due to the increased potency and broader mutational coverage of next-generation targeted therapies, lower rates of on-target resistance have been observed in the clinic, with a greater number of patients progressing due to bypass resistance. An example of this is seen with EGFR inhibitors, where first-generation inhibitors (erlotinib and gefinitib) have greater on-target resistance compared to a third-generation inhibitor (osimertinib). As SHP2 is involved in signaling for numerous oncogenes, including EGFR, KRAS G12C and ALK, combination therapy with GDC-1971 represents a potential significant therapeutic opportunity.</w:t>
      </w:r>
    </w:p>
    <w:p>
      <w:pPr>
        <w:spacing w:after="0" w:line="17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addition to the therapeutic opportunity associated with combining with other targeted therapies, we believe GDC-1971 has the potential to be a combination partner with the product candidates in our own precision oncology portfolio, RLY-4008, RLY-2608 and RLY-5836.</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Our clinical development plan</w:t>
      </w:r>
    </w:p>
    <w:p>
      <w:pPr>
        <w:spacing w:after="0" w:line="235"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We initiated a Phase 1a clinical trial for GDC-1971 as a monotherapy in patients with advanced or metastatic solid tumors in the first quarter of 2020 with the primary objectives being to determine the maximum tolerated dose (MTD)/recommended Phase 2 dose (RP2D), and to define the overall safety profile of GDC-1971. The secondary objectives were to assess the pharmacokinetics and pharmacodynamics of GDC-1971, and to explore preliminary anti-tumor activity of GDC-1971. Patients received GDC-1971 administered orally, once daily. Once daily oral dosing was selected based on projected human pharmacokinetics and exposures calculated from multi-species pharmacokinetics and allometric scaling. We completed enrollment of this trial in 2022. In December 2020, we entered into the Genentech Agreement with Genentech for the development and commercialization of GDC-1971. Pursuant to the Genentech Agreement, development for GDC-1971 is governed by a joint development team between us and Genentech. In July 2021, Genentech initiated the cohort of GDC-1971 in combination with GDC-6036, its KRAS G12C inhibitor, in a Phase 1b trial, and in August 2022, Genentech initiated a Phase 1b trial of GDC-1971 in combination with atezolizumab, its PD-L1 antibody.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Discovery Programs</w:t>
      </w:r>
    </w:p>
    <w:p>
      <w:pPr>
        <w:spacing w:after="0" w:line="235"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are deploying our Dynamo platform to advance discovery-stage programs across both precision oncology and genetic disease indications. As with our lead programs, our precision oncology programs leverage insights into protein conformational dynamics to address high-value, genetically validated oncogenes that previously have been intractable to, or inadequately addressed by, conventional drug-discovery approaches. With respect to our genetic disease programs, we are also leveraging the power of our Dynamo platform to address genetically validated targets in monogenic diseases where genetic alterations lead to disease-causing defects in protein conformational dynamics. We announced three of these discovery stage programs in June 2022 as part of our HR+/HER2- breast cancer franchise, including RLY-5836, a selective CDK2 inhibitor, and a rationally designed ERα degrader. See “Our Clinical Stage Programs—RLY-5836, a second and chemically distinct pan-mutant PI3Kα inhibitor” above for more information about RLY-5836.</w:t>
      </w:r>
    </w:p>
    <w:p>
      <w:pPr>
        <w:spacing w:after="0" w:line="82" w:lineRule="exact"/>
        <w:rPr>
          <w:sz w:val="20"/>
          <w:szCs w:val="20"/>
          <w:color w:val="auto"/>
        </w:rPr>
      </w:pPr>
    </w:p>
    <w:p>
      <w:pPr>
        <w:ind w:left="1020" w:right="220" w:hanging="503"/>
        <w:spacing w:after="0" w:line="278" w:lineRule="auto"/>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CDK2 Inhibitor: CDK2 is a common cause of resistance to approximately 46,000 patients a year in the U.S. on CDK4/6 inhibitors and potentially an important PI3Kα combination partner. We progressed from first compound synthesized to an advanced CDK2 lead compound with robust selectivity over other CDK family members in less than a year.</w:t>
      </w:r>
    </w:p>
    <w:p>
      <w:pPr>
        <w:spacing w:after="0" w:line="76" w:lineRule="exact"/>
        <w:rPr>
          <w:rFonts w:ascii="Arial" w:cs="Arial" w:eastAsia="Arial" w:hAnsi="Arial"/>
          <w:sz w:val="16"/>
          <w:szCs w:val="16"/>
          <w:color w:val="auto"/>
        </w:rPr>
      </w:pPr>
    </w:p>
    <w:p>
      <w:pPr>
        <w:ind w:left="1020" w:right="380" w:hanging="503"/>
        <w:spacing w:after="0" w:line="328" w:lineRule="auto"/>
        <w:tabs>
          <w:tab w:leader="none" w:pos="10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ERα Degrader: Leveraging the Dynamo platform, we are moving from the traditional empirical design of bi-functional degraders to rationally designed molecules. We are currently collaborating with EQRx on our ERα degrader program pursuant to the Discovery Collaboration Agreement.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We also have five additional discovery stage programs across both precision oncology and genetic disease indications.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39"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The biotechnology and pharmaceutical industries are characterized by rapid innovation of new technologies, fierce competition and strong defense of intellectual property. While we believe that our platform and our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We compete in the segments of the pharmaceutical, biotechnology, and other related markets that address experimentally and computationally driven structure-based drug design in cancer and genetic diseases. There are other companies focusing on structure-based drug design to develop therapies in the fields of cancer and other diseases. These companies include divisions of large pharmaceutical companies and biotechnology companies of various sizes. Any product candidates that we successfully develop and commercialize will compete with currently approved therapies and new therapies that may become available in the</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26" w:name="page27"/>
    <w:bookmarkEnd w:id="26"/>
    <w:p>
      <w:pPr>
        <w:ind w:right="180"/>
        <w:spacing w:after="0" w:line="293" w:lineRule="auto"/>
        <w:rPr>
          <w:sz w:val="20"/>
          <w:szCs w:val="20"/>
          <w:color w:val="auto"/>
        </w:rPr>
      </w:pPr>
      <w:r>
        <w:rPr>
          <w:rFonts w:ascii="Arial" w:cs="Arial" w:eastAsia="Arial" w:hAnsi="Arial"/>
          <w:sz w:val="16"/>
          <w:szCs w:val="16"/>
          <w:color w:val="auto"/>
        </w:rPr>
        <w:t>future from segments of the pharmaceutical, biotechnology and other related markets that pursue precision medicines. Key product features that would affect our ability to effectively compete with other therapeutics include the efficacy, safety and convenience of our products.</w:t>
      </w:r>
    </w:p>
    <w:p>
      <w:pPr>
        <w:spacing w:after="0" w:line="17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We believe principal competitive factors to our business include, among other things, the rich protein structural data sets we are able to generate, the power and accuracy of our computations and predictions, ability to integrate experimental and computational capabilities, ability to successfully transition research programs into clinical development, ability to raise capital, and the scalability of the platform, pipeline, and business.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While there are many pharmaceutical and biotechnology companies that use some of the same tools that we use in our platform, we believe we compete favorably on the basis of these factors. The effort and investment required to develop a highly integrated experimental and computational platform similar to ours will hinder new entrants that are unable to invest the necessary capital and time and lack the breadth and depth of technical expertise required to develop competing capabilities. Our ability to remain competitive will largely depend on our ability to continue to augment our integrated experimental and computational platform and demonstrate success in our drug discovery efforts.</w:t>
      </w:r>
    </w:p>
    <w:p>
      <w:pPr>
        <w:spacing w:after="0" w:line="190" w:lineRule="exact"/>
        <w:rPr>
          <w:sz w:val="20"/>
          <w:szCs w:val="20"/>
          <w:color w:val="auto"/>
        </w:rPr>
      </w:pPr>
    </w:p>
    <w:p>
      <w:pPr>
        <w:jc w:val="both"/>
        <w:ind w:right="240"/>
        <w:spacing w:after="0" w:line="335" w:lineRule="auto"/>
        <w:rPr>
          <w:sz w:val="20"/>
          <w:szCs w:val="20"/>
          <w:color w:val="auto"/>
        </w:rPr>
      </w:pPr>
      <w:r>
        <w:rPr>
          <w:rFonts w:ascii="Arial" w:cs="Arial" w:eastAsia="Arial" w:hAnsi="Arial"/>
          <w:sz w:val="14"/>
          <w:szCs w:val="14"/>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49" w:lineRule="exact"/>
        <w:rPr>
          <w:sz w:val="20"/>
          <w:szCs w:val="20"/>
          <w:color w:val="auto"/>
        </w:rPr>
      </w:pPr>
    </w:p>
    <w:p>
      <w:pPr>
        <w:jc w:val="both"/>
        <w:ind w:right="100"/>
        <w:spacing w:after="0" w:line="305" w:lineRule="auto"/>
        <w:rPr>
          <w:sz w:val="20"/>
          <w:szCs w:val="20"/>
          <w:color w:val="auto"/>
        </w:rPr>
      </w:pPr>
      <w:r>
        <w:rPr>
          <w:rFonts w:ascii="Arial" w:cs="Arial" w:eastAsia="Arial" w:hAnsi="Arial"/>
          <w:sz w:val="15"/>
          <w:szCs w:val="15"/>
          <w:color w:val="auto"/>
        </w:rPr>
        <w:t>In addition, we will need to develop our product candidates in collaboration with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66"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any of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RLY-4008</w:t>
      </w:r>
    </w:p>
    <w:p>
      <w:pPr>
        <w:spacing w:after="0" w:line="235" w:lineRule="exact"/>
        <w:rPr>
          <w:sz w:val="20"/>
          <w:szCs w:val="20"/>
          <w:color w:val="auto"/>
        </w:rPr>
      </w:pPr>
    </w:p>
    <w:p>
      <w:pPr>
        <w:ind w:right="60"/>
        <w:spacing w:after="0" w:line="318" w:lineRule="auto"/>
        <w:rPr>
          <w:sz w:val="20"/>
          <w:szCs w:val="20"/>
          <w:color w:val="auto"/>
        </w:rPr>
      </w:pPr>
      <w:r>
        <w:rPr>
          <w:rFonts w:ascii="Arial" w:cs="Arial" w:eastAsia="Arial" w:hAnsi="Arial"/>
          <w:sz w:val="14"/>
          <w:szCs w:val="14"/>
          <w:color w:val="auto"/>
        </w:rPr>
        <w:t>While there are currently no approved products that selectively target FGFR2, we are aware of other companies developing therapeutics that selectively target FGFR2, including, but not limited to, Five Prime Therapeutics and Russian Pharmaceutical Technologies. Specifically, we expect RLY-4008 to compete with approved development stage non-selective inhibitors of the FGFR receptor family that are being tested in patients with FGFR2 alterations, including but not limited to, Incyte Corporation (pemigatinib), Janssen Pharmaceuticals, Inc. (erdafitinib), Otsuka Holdings Co., Ltd. through its subsidiary Taiho Pharmaceutical Co., Ltd. (futibatinib), Debiopharm Group (zoligratinib), Eisai Co., Ltd. (tasurgratinib), InnoCare Pharma Limited (gunagratinib), Kinnate BioPharma (KIN-3248), and Tyra Biosciences, Inc. (TYRA-200).</w:t>
      </w:r>
    </w:p>
    <w:p>
      <w:pPr>
        <w:spacing w:after="0" w:line="162" w:lineRule="exact"/>
        <w:rPr>
          <w:sz w:val="20"/>
          <w:szCs w:val="20"/>
          <w:color w:val="auto"/>
        </w:rPr>
      </w:pPr>
    </w:p>
    <w:p>
      <w:pPr>
        <w:spacing w:after="0" w:line="335" w:lineRule="auto"/>
        <w:rPr>
          <w:sz w:val="20"/>
          <w:szCs w:val="20"/>
          <w:color w:val="auto"/>
        </w:rPr>
      </w:pPr>
      <w:r>
        <w:rPr>
          <w:rFonts w:ascii="Arial" w:cs="Arial" w:eastAsia="Arial" w:hAnsi="Arial"/>
          <w:sz w:val="14"/>
          <w:szCs w:val="14"/>
          <w:color w:val="auto"/>
        </w:rPr>
        <w:t>The development of RLY-4008 focuses on solid tumor patients with FGFR2 alterations, including CCA patients harboring FGFR2 gene fusions. While there are no approved systemic therapies for CCA, the current standard of care for unresectable or metastatic patients is first-line gemcitabine/cisplatin chemotherapy. In addition, there are other companies developing potentially competitive drug candidates in CCA including, but not limited to, Merck &amp; Co, AstraZeneca plc, Merck KGaA, and NuCana plc.</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RLY-2608 and Mutant-PI3K</w:t>
      </w:r>
      <w:r>
        <w:rPr>
          <w:rFonts w:ascii="Arial" w:cs="Arial" w:eastAsia="Arial" w:hAnsi="Arial"/>
          <w:sz w:val="16"/>
          <w:szCs w:val="16"/>
          <w:b w:val="1"/>
          <w:bCs w:val="1"/>
          <w:color w:val="auto"/>
        </w:rPr>
        <w:t>α</w:t>
      </w:r>
      <w:r>
        <w:rPr>
          <w:rFonts w:ascii="Arial" w:cs="Arial" w:eastAsia="Arial" w:hAnsi="Arial"/>
          <w:sz w:val="16"/>
          <w:szCs w:val="16"/>
          <w:b w:val="1"/>
          <w:bCs w:val="1"/>
          <w:i w:val="1"/>
          <w:iCs w:val="1"/>
          <w:color w:val="auto"/>
        </w:rPr>
        <w:t xml:space="preserve"> Inhibitor Program</w:t>
      </w:r>
    </w:p>
    <w:p>
      <w:pPr>
        <w:spacing w:after="0" w:line="239" w:lineRule="exact"/>
        <w:rPr>
          <w:sz w:val="20"/>
          <w:szCs w:val="20"/>
          <w:color w:val="auto"/>
        </w:rPr>
      </w:pPr>
    </w:p>
    <w:p>
      <w:pPr>
        <w:jc w:val="both"/>
        <w:ind w:right="40"/>
        <w:spacing w:after="0" w:line="305" w:lineRule="auto"/>
        <w:rPr>
          <w:sz w:val="20"/>
          <w:szCs w:val="20"/>
          <w:color w:val="auto"/>
        </w:rPr>
      </w:pPr>
      <w:r>
        <w:rPr>
          <w:rFonts w:ascii="Arial" w:cs="Arial" w:eastAsia="Arial" w:hAnsi="Arial"/>
          <w:sz w:val="15"/>
          <w:szCs w:val="15"/>
          <w:color w:val="auto"/>
        </w:rPr>
        <w:t>We expect that RLY-2608, RLY-5836 and our mutant-selective PI3Kα inhibitor program generally, will compete against an approved drug, Piqray (alpelisib), a non-selective PI3Kα inhibitor marketed by Novartis for the treatment of PI3Kα mutated breast cancer. We are aware of other companies developing therapeutics that target both wild-type and mutant PI3Kα, including, but not limited to, Roche Holding AG through its subsidiary Genentech, Menarini Group, Luoxin Pharma, Shanghai HaiHe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7" w:name="page28"/>
    <w:bookmarkEnd w:id="27"/>
    <w:p>
      <w:pPr>
        <w:ind w:right="260"/>
        <w:spacing w:after="0" w:line="293" w:lineRule="auto"/>
        <w:rPr>
          <w:sz w:val="20"/>
          <w:szCs w:val="20"/>
          <w:color w:val="auto"/>
        </w:rPr>
      </w:pPr>
      <w:r>
        <w:rPr>
          <w:rFonts w:ascii="Arial" w:cs="Arial" w:eastAsia="Arial" w:hAnsi="Arial"/>
          <w:sz w:val="16"/>
          <w:szCs w:val="16"/>
          <w:color w:val="auto"/>
        </w:rPr>
        <w:t>Pharma Co. and Celcuity Inc. Loxo Oncology, a subsidiary of Eli Lilly and Company, as well as Scorpion Therapeutics, also have a preclinical development program for mutant-selective PI3Kα inhibitors.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GDC-1971</w:t>
      </w:r>
    </w:p>
    <w:p>
      <w:pPr>
        <w:spacing w:after="0" w:line="235" w:lineRule="exact"/>
        <w:rPr>
          <w:sz w:val="20"/>
          <w:szCs w:val="20"/>
          <w:color w:val="auto"/>
        </w:rPr>
      </w:pPr>
    </w:p>
    <w:p>
      <w:pPr>
        <w:jc w:val="both"/>
        <w:ind w:right="180"/>
        <w:spacing w:after="0" w:line="278" w:lineRule="auto"/>
        <w:rPr>
          <w:sz w:val="20"/>
          <w:szCs w:val="20"/>
          <w:color w:val="auto"/>
        </w:rPr>
      </w:pPr>
      <w:r>
        <w:rPr>
          <w:rFonts w:ascii="Arial" w:cs="Arial" w:eastAsia="Arial" w:hAnsi="Arial"/>
          <w:sz w:val="16"/>
          <w:szCs w:val="16"/>
          <w:color w:val="auto"/>
        </w:rPr>
        <w:t>While there are currently no approved products targeting SHP2, we are aware of other companies in clinical trials developing therapeutics that target SHP2, including, but not limited to, Revolution Medicines, Inc. in partnership with Sanofi S.A., Novartis International AG, Navire Pharma, Inc., Erasca, Inc., Jacobio Pharmaceuticals, Inc. in partnership with AbbVie Inc., Erasca Inc., Pfizer Inc., and InnoCare Pharma Limited.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CDK2 Inhibitor</w:t>
      </w:r>
    </w:p>
    <w:p>
      <w:pPr>
        <w:spacing w:after="0" w:line="235"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While there are currently no approved products targeting CDK2, we are aware of other companies in clinical trials developing therapeutics that target CDK2, including, but not limited to, Pfizer Inc, Blueprint Medicines Corporation, and Incyte Corporation, as well as companies with preclinical programs including FogPharma (via Cyclin 1E inhibition), Cedilla Therapeutics, Inc., Monte Rosa Therapeutics, Inc., Aucentra Therapeutics, Plexium, Inc., and Incyclix Bio, Inc.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ERα Degrader</w:t>
      </w:r>
    </w:p>
    <w:p>
      <w:pPr>
        <w:spacing w:after="0" w:line="235" w:lineRule="exact"/>
        <w:rPr>
          <w:sz w:val="20"/>
          <w:szCs w:val="20"/>
          <w:color w:val="auto"/>
        </w:rPr>
      </w:pPr>
    </w:p>
    <w:p>
      <w:pPr>
        <w:ind w:right="300"/>
        <w:spacing w:after="0" w:line="328" w:lineRule="auto"/>
        <w:rPr>
          <w:sz w:val="20"/>
          <w:szCs w:val="20"/>
          <w:color w:val="auto"/>
        </w:rPr>
      </w:pPr>
      <w:r>
        <w:rPr>
          <w:rFonts w:ascii="Arial" w:cs="Arial" w:eastAsia="Arial" w:hAnsi="Arial"/>
          <w:sz w:val="15"/>
          <w:szCs w:val="15"/>
          <w:color w:val="auto"/>
        </w:rPr>
        <w:t>While there are currently no approved products targeting degraders of ERα, we are aware of other companies in clinical trials developing therapeutics that degrade ERα, including, but not limited to, Arvinas, Inc., as well as other companies with preclinical programs such as Accutar Biotechnology, Inc., and AstraZeneca plc.</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Collaborations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License Agreements and Strategic Collaborations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Collaboration and License Agreement with D. E. Shaw Research, LLC</w:t>
      </w:r>
    </w:p>
    <w:p>
      <w:pPr>
        <w:spacing w:after="0" w:line="235" w:lineRule="exact"/>
        <w:rPr>
          <w:sz w:val="20"/>
          <w:szCs w:val="20"/>
          <w:color w:val="auto"/>
        </w:rPr>
      </w:pPr>
    </w:p>
    <w:p>
      <w:pPr>
        <w:ind w:right="80"/>
        <w:spacing w:after="0" w:line="315" w:lineRule="auto"/>
        <w:rPr>
          <w:sz w:val="20"/>
          <w:szCs w:val="20"/>
          <w:color w:val="auto"/>
        </w:rPr>
      </w:pPr>
      <w:r>
        <w:rPr>
          <w:rFonts w:ascii="Arial" w:cs="Arial" w:eastAsia="Arial" w:hAnsi="Arial"/>
          <w:sz w:val="14"/>
          <w:szCs w:val="14"/>
          <w:color w:val="auto"/>
        </w:rPr>
        <w:t>Our key computational collaboration is with D. E. Shaw Research, LLC, or D. E. Shaw Research, a computational biochemistry research firm operating under the scientific leadership of Dr. David E. Shaw, which has developed proprietary software and hardware to perform long timescale molecular dynamics simulations. Through an affiliate, D. E. Shaw Research is also one of our investors. We collaborate with D. E. Shaw Research scientists to research certain protein targets on an exclusive basis, with a focus on the dynamic behavior of proteins, through the use of D. E. Shaw Research’s computational modeling capabilities, such as the Anton 2 supercomputer and proprietary algorithms and software developed specifically by D. E. Shaw Research for processing long timescale molecular dynamics simulations. Our scientists work closely with D. E. Shaw Research scientists on each of our programs, especially in the discovery stage as we develop motion-based hypotheses and identify lead compounds.</w:t>
      </w:r>
    </w:p>
    <w:p>
      <w:pPr>
        <w:spacing w:after="0" w:line="163"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We originally entered into a Collaboration and License Agreement with D. E. Shaw Research on August 17, 2016, which has since been amended to extend the term and otherwise modify certain of the provisions thereof. We refer to this agreement, as amended and restated from time to time, as the DESRES Agreement. Under the DESRES Agreement, we agreed to collaborate with D. E. Shaw Research to research certain biological targets through the use of D. E. Shaw Research computational modeling capabilities focused on analysis of protein motion, with an aim to develop and commercialize compounds and products directed to such targets. After completing the computational modeling with D. E. Shaw Research and naming a compound development candidate, we develop and commercialize such compounds and products. D. E. Shaw Research has no involvement with the clinical development or potential commercialization of these compounds and products, regardless of any co-ownership rights pursuant to the terms of the DESRES Agreement, and instead receives solely milestone and royalty payments as described below.</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Under the DESRES Agreement, there are three categories of targets: Category 1 Targets, Category 2 Targets and Category 3 Targets. We and D. E. Shaw Research agreed on a list of Category 1 Targets and Category 2 Targets as part of the DESRES Agreement. Category 1 Targets are targets that, among other things, we collaborate on with D. E. Shaw Research, D. E. Shaw Research has exclusivity obligations with respect to, and we may owe royalties on; Category 2 Targets are targets in connection with the potential re-categorization of which into a Category 1 Target, we may, among other things, perform certain non-clinical research and development; and Category 3 Targets are all targets other than Category 1 Targets and Category 2 Targets. There are mechanisms for re-categorizing targets, and we and D. E. Shaw Research have re-categorized a number of targets since we entered into the collaboration. Our rights and obligations, and D. E. Shaw Research’s rights and obligations, with respect to targets vary by the category of each target. However, the parties only conduct collaborative activities together for Category 1 Targets, and we are limited to a certain number of Category 1 Targets in any collaboration year. The sum of the number of Category 1 Targets and the number of Category 2 Targets is capped at twenty. The targets associated with all of our current programs in clinical development are Category 1 Targets under the DESRES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28" w:name="page29"/>
    <w:bookmarkEnd w:id="28"/>
    <w:p>
      <w:pPr>
        <w:ind w:right="40"/>
        <w:spacing w:after="0" w:line="318" w:lineRule="auto"/>
        <w:rPr>
          <w:sz w:val="20"/>
          <w:szCs w:val="20"/>
          <w:color w:val="auto"/>
        </w:rPr>
      </w:pPr>
      <w:r>
        <w:rPr>
          <w:rFonts w:ascii="Arial" w:cs="Arial" w:eastAsia="Arial" w:hAnsi="Arial"/>
          <w:sz w:val="14"/>
          <w:szCs w:val="14"/>
          <w:color w:val="auto"/>
        </w:rPr>
        <w:t>Work product that we jointly develop with D. E. Shaw Research is initially co-owned with them. Specifically, intellectual property rights covering the composition of matter for GDC-1971 (formerly known as RLY-1971) are currently co-owned by D. E. Shaw Research and us under this arrangement. We have the right to have patents claiming certain product candidates (including one claiming GDC-1971) assigned to us upon issuance of those patents. For each Category 1 Target, there is a limit to the number of core compounds and total compounds, including derivatives of core compounds, that can be designated as solely owned by us, subject to certain adjustments. Each of we and D. E. Shaw Research grants to the other a perpetual, irrevocable, non-exclusive license for jointly held intellectual property, subject to certain exclusions.</w:t>
      </w:r>
    </w:p>
    <w:p>
      <w:pPr>
        <w:spacing w:after="0" w:line="162"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During the initial research term, which is expected to last until August 2025, unless extended by mutual agreement, D. E. Shaw Research will not, and will cause its subsidiaries not to, research any Category 1 Target (or grant certain rights with respect to such target) with the aim of pursuing any compound designed to interact with or bind to such Category 1 Target, subject to some exceptions. Following the end of the initial research term, D. E. Shaw Research will be similarly restricted with respect to any target that was a Category 1 Target at the end of the initial research term, subject to some exceptions. However, D. E. Shaw Research will not be bound by such exclusivity provisions with respect to a particular Category 1 Target if we, and parties acting on our behalf, stop using commercially reasonable efforts to research, develop or commercialize any products against such Category 1 Target. Further, D. E. Shaw Research will be released from such exclusivity obligations with respect to a particular Category 1 Target if, at least 24 months after the end of the initial research term, D. E. Shaw Research informs us that D. E. Shaw Research will forgo all future payments with respect to such Category 1 Target.</w:t>
      </w:r>
    </w:p>
    <w:p>
      <w:pPr>
        <w:spacing w:after="0" w:line="192"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During the initial research term, neither D. E. Shaw Research nor we will, and we will each cause our subsidiaries not to, research a Category 2 Target (or grant certain rights with respect to such target) with the aim of pursuing any compound designed to interact with or bind to such Category 2 Target, subject to some exceptions. These exclusivity restrictions do not extend past the initial research term.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There is no exclusivity with respect to Category 3 Targets.</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Through December 31, 2022, we have made cash payments to D. E. Shaw Research totaling $34.3 million in the aggregate. On a product-by-product basis, we have also agreed to pay D. E. Shaw Research milestone payments upon the achievement of certain development and regulatory milestone events for products we develop under the DESRES Agreement that are directed to a Category 1 Target or any target that was a Category 1 Target. Our SHP2, FGFR2 and PI3K programs are each directed to Category 1 Targets. Such payments for achievement of development and regulatory milestones total up to $7.3 million in the aggregate for each of the first three products we develop, and up to $6.3 million in the aggregate for each product we develop after the first three.</w:t>
      </w:r>
    </w:p>
    <w:p>
      <w:pPr>
        <w:spacing w:after="0" w:line="190"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Additionally, we have agreed to pay D. E. Shaw Research, on a product-by-product basis, with respect to products directed to Category 1 Targets or any target that was a Category 1 Target, royalties in the low single digits on worldwide net sales of products that we commercialize directed to the targets selected for development under the DESRES Agreement, subject to certain reductions. Royalties are payable on a product-by-product and country-by-country basis until the later of twelve years after first commercial sale in such country or the expiration of all applicable regulatory exclusivities in such country. On a product-by-product basis, we also agreed to pay D. E. Shaw Research sales milestone payments up to $36.0 million in the aggregate based on sales of each product directed to a Category 1 Target or any target that was a Category 1 Target. Further, if we enter into transactions granting third parties rights to a Category 1 Target or a compound or product directed to a Category 1 Target or any target that was a Category 1 Target such as our collaboration with Genentech for GDC-1971 discussed below, but subject to certain exclusions, we will share with D. E. Shaw Research a percentage of the proceeds of such transactions ranging from the low- to high-single digits, depending on the stage of development of compounds or products directed to such target at the time we enter into such transaction. We also initially agreed to pay D. E. Shaw Research an annual collaboration fee of $7.9 million in August of each year during the initial research term, and such fee was increased by mutual agreement of the parties to $9.9 million in May of 2021. Such increased fee is payable each year between 2021 and 2025.</w:t>
      </w:r>
    </w:p>
    <w:p>
      <w:pPr>
        <w:spacing w:after="0" w:line="183" w:lineRule="exact"/>
        <w:rPr>
          <w:sz w:val="20"/>
          <w:szCs w:val="20"/>
          <w:color w:val="auto"/>
        </w:rPr>
      </w:pPr>
    </w:p>
    <w:p>
      <w:pPr>
        <w:ind w:right="100"/>
        <w:spacing w:after="0" w:line="315" w:lineRule="auto"/>
        <w:rPr>
          <w:sz w:val="20"/>
          <w:szCs w:val="20"/>
          <w:color w:val="auto"/>
        </w:rPr>
      </w:pPr>
      <w:r>
        <w:rPr>
          <w:rFonts w:ascii="Arial" w:cs="Arial" w:eastAsia="Arial" w:hAnsi="Arial"/>
          <w:sz w:val="14"/>
          <w:szCs w:val="14"/>
          <w:color w:val="auto"/>
        </w:rPr>
        <w:t>Unless earlier terminated, the DESRES Agreement will continue at least until the end of the initial research term and thereafter on a target-by-target basis until all payment obligations have expired. D. E. Shaw Research has the right to terminate the DESRES Agreement due to non-payment. We and D. E. Shaw Research each have the right to terminate the DESRES Agreement due to an uncured material breach by the other party, or in the event the other party becomes insolvent or enters into bankruptcy or dissolution proceedings. Our payment obligations to D. E. Shaw Research survive termination of the DESRES Agreement. If D. E. Shaw Research terminates the DESRES Agreement, the exclusivity obligations will terminate. If we terminate the DESRES Agreement, D. E. Shaw Research remains bound by its exclusivity obligations with respect to certain targets until, on a target-by-target basis, there are no further payment obligations due to D. E. Shaw Research in respect of such targets.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i w:val="1"/>
          <w:iCs w:val="1"/>
          <w:color w:val="auto"/>
        </w:rPr>
        <w:t>Collaboration and License Agreement with Genentech</w:t>
      </w:r>
    </w:p>
    <w:p>
      <w:pPr>
        <w:spacing w:after="0" w:line="235" w:lineRule="exact"/>
        <w:rPr>
          <w:sz w:val="20"/>
          <w:szCs w:val="20"/>
          <w:color w:val="auto"/>
        </w:rPr>
      </w:pPr>
    </w:p>
    <w:p>
      <w:pPr>
        <w:jc w:val="both"/>
        <w:ind w:right="20"/>
        <w:spacing w:after="0" w:line="335" w:lineRule="auto"/>
        <w:rPr>
          <w:sz w:val="20"/>
          <w:szCs w:val="20"/>
          <w:color w:val="auto"/>
        </w:rPr>
      </w:pPr>
      <w:r>
        <w:rPr>
          <w:rFonts w:ascii="Arial" w:cs="Arial" w:eastAsia="Arial" w:hAnsi="Arial"/>
          <w:sz w:val="14"/>
          <w:szCs w:val="14"/>
          <w:color w:val="auto"/>
        </w:rPr>
        <w:t>On December 11, 2020, we entered into a Collaboration and License Agreement with Genentech, Inc. and F. Hoffmann-La Roche Ltd, collectively referred to as Genentech, which was amended on February 2, 2022, to modify certain terms thereof. We refer to this agreement, as amended from time to time, as the Genentech Agreement. Pursuant to the Genentech Agreement, we and Genentech will collaborate on the development and commercialization of GDC-1971 (formerly known as RLY-1971).</w:t>
      </w:r>
    </w:p>
    <w:p>
      <w:pPr>
        <w:spacing w:after="0" w:line="149"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Genentech will be responsible for conducting any additional clinical development of GDC-1971, including in any combination trials with Genentech’s compound, GDC-6036, that directly binds to and inhibits KRAS G12C, or other compounds. Genentech initiated the cohort of GDC-1971 in combination with GDC-6036 in a Phase 1b trial in July 2021, and a Phase 1b trial of GDC-1971 in combination with atezolizumab, its PD-L1 antibody, in August 2022.</w:t>
      </w:r>
    </w:p>
    <w:p>
      <w:pPr>
        <w:spacing w:after="0" w:line="184"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We retain the right to develop GDC-1971 or certain other small molecule inhibitors of SHP2 developed under the Genentech Agreement, or a Licensed Candidate, or pharmaceutical product containing a Licensed Candidate, or a Licensed Product, in combination with any of our compounds targeting FGFR2, including RLY-4008, or PI3Kα, including RLY-2608 and RLY-5836, which we refer to as a Relay Combination Product. If we opt into the Profit/Cost Share described below, Genentech may share the development costs of any clinical trial for a Relay Combination Product.</w:t>
      </w:r>
    </w:p>
    <w:p>
      <w:pPr>
        <w:spacing w:after="0" w:line="18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Genentech has the sole right and responsibility to commercialize Licensed Products, in any and all combinations, except that we have the right to co-promote a Licensed Product solely as part of our commercialization of Relay Combination Products. Genentech will be solely responsible for all regulatory matters for all Licensed Candidates and Licensed Products other than with respect to Relay Combination Products.</w:t>
      </w:r>
    </w:p>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terms of the Genentech Agreement, we received $75.0 million in an upfront payment in 2021, as well as $30.0 million in milestone payments as of December 31, 2022. We are eligible to receive $5.0 million in additional near-term payments.</w:t>
      </w:r>
    </w:p>
    <w:p>
      <w:pPr>
        <w:spacing w:after="0" w:line="172"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We have the option, exercisable one time in our sole discretion, to fund half of the development costs of GDC-1971 in the United States and share half of the net profits or net loss of commercializing GDC-1971 in the United States, which we refer to as the Profit/Cost Share. If we opt into the Profit/Cost Share, we will also be eligible to receive up to an aggregate of an additional $410.0 million upon the achievement of specified commercialization and sales-based milestones for GDC-1971 outside of the United States and tiered royalties ranging from low-to-mid teens on annual net sales of GDC-1971 outside of the United States, on a country-by-country basis, subject to reduction in certain circumstances. At any time prior to the third anniversary of the first commercial sale of GDC-1971 in the United States, we may elect to opt-out of further participation in the Profit/Cost Share. If we elect to opt-out, then Genentech’s milestone and royalty payment obligations will revert to the financial terms that would be applicable if we had not opted into the Profit/Cost Share as described below as of the effective opt-out date, with certain adjustments.</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If we do not opt into the Profit/Cost Share, Genentech will be responsible for all development costs of GDC-1971, and we will be eligible to receive up to an aggregate of an additional $685.0 million upon the achievement of specified development, commercialization and sales-based milestones for GDC-1971 worldwide. We will also be eligible to receive tiered royalties ranging from low-to-mid teens on annual worldwide net sales of GDC-1971, on a country-by-country basis, subject to reduction in certain circumstances.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regulatory approval of both GDC-1971 and GDC-6036 in combination, we are eligible to receive additional royalties.</w:t>
      </w:r>
    </w:p>
    <w:p>
      <w:pPr>
        <w:spacing w:after="0" w:line="235"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Under the Genentech Agreement, we granted an exclusive, worldwide, royalty-bearing license to Genentech, with the right to sublicense, to develop and commercialize GDC-1971. Between the parties, Genentech has the first right, but not the obligation, to file, prosecute and maintain any patents licensed to it pursuant to the Genentech Agreement, as well as to enforce infringement of or defend claims against such patents that relate to Licensed Candidates and Licensed Products. The parties will share any liabilities or damages arising from the enforcement of such patents or any third-party patent claims.</w:t>
      </w:r>
    </w:p>
    <w:p>
      <w:pPr>
        <w:spacing w:after="0" w:line="18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Other than with respect to Relay Combination Products and other activities in accordance with the Genentech Agreement, we may not, directly or indirectly, conduct any activities related to the research, development, manufacture or commercialization of any SHP2 inhibitor. During the first three years of the term of the Genentech Agreement, Genentech will cause its research and early development organization not to sponsor or conduct a registrational trial for a SHP2 inhibitor other than a Licensed Product.</w:t>
      </w:r>
    </w:p>
    <w:p>
      <w:pPr>
        <w:spacing w:after="0" w:line="189" w:lineRule="exact"/>
        <w:rPr>
          <w:sz w:val="20"/>
          <w:szCs w:val="20"/>
          <w:color w:val="auto"/>
        </w:rPr>
      </w:pPr>
    </w:p>
    <w:p>
      <w:pPr>
        <w:jc w:val="both"/>
        <w:ind w:right="120"/>
        <w:spacing w:after="0" w:line="278" w:lineRule="auto"/>
        <w:rPr>
          <w:sz w:val="20"/>
          <w:szCs w:val="20"/>
          <w:color w:val="auto"/>
        </w:rPr>
      </w:pPr>
      <w:r>
        <w:rPr>
          <w:rFonts w:ascii="Arial" w:cs="Arial" w:eastAsia="Arial" w:hAnsi="Arial"/>
          <w:sz w:val="16"/>
          <w:szCs w:val="16"/>
          <w:color w:val="auto"/>
        </w:rPr>
        <w:t>Unless earlier terminated, the Genentech Agreement will remain in effect until the later of the date on which Genentech is no longer developing or commercializing GDC-1971 in the United States if we have opted into the Profit/Cost Share and have not subsequently opted-out, or the expiration of all Genentech’s royalty payment obligations to us. The parties may terminate the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30" w:name="page31"/>
    <w:bookmarkEnd w:id="30"/>
    <w:p>
      <w:pPr>
        <w:ind w:right="20"/>
        <w:spacing w:after="0" w:line="273" w:lineRule="auto"/>
        <w:rPr>
          <w:sz w:val="20"/>
          <w:szCs w:val="20"/>
          <w:color w:val="auto"/>
        </w:rPr>
      </w:pPr>
      <w:r>
        <w:rPr>
          <w:rFonts w:ascii="Arial" w:cs="Arial" w:eastAsia="Arial" w:hAnsi="Arial"/>
          <w:sz w:val="16"/>
          <w:szCs w:val="16"/>
          <w:color w:val="auto"/>
        </w:rPr>
        <w:t>Genentech Agreement for the other party’s material breach or insolvency or, on a country-by-country basis, the failure to obtain merger control under applicable antitrust laws. Additionally, Genentech may terminate the Genentech Agreement for convenience, and we may terminate the Genentech Agreement for certain patent challenges by Genentech or if Genentech has not conducted any research, development, manufacturing or commercialization activities with respect to any Licensed Candidate or Licensed Product for a specified period.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Collaborations</w:t>
      </w:r>
    </w:p>
    <w:p>
      <w:pPr>
        <w:spacing w:after="0" w:line="23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While we have invested extensively in our in-house capabilities and know-how, we selectively work with key collaborators and field experts on certain emerging experimental and computational tools and techniques we use in our drug discovery process. Most of our experimental collaborations are focused on the technologies we use to visualize protein structure at the atomic level.</w:t>
      </w:r>
    </w:p>
    <w:p>
      <w:pPr>
        <w:spacing w:after="0" w:line="184" w:lineRule="exact"/>
        <w:rPr>
          <w:sz w:val="20"/>
          <w:szCs w:val="20"/>
          <w:color w:val="auto"/>
        </w:rPr>
      </w:pPr>
    </w:p>
    <w:p>
      <w:pPr>
        <w:ind w:right="240"/>
        <w:spacing w:after="0" w:line="328" w:lineRule="auto"/>
        <w:rPr>
          <w:sz w:val="20"/>
          <w:szCs w:val="20"/>
          <w:color w:val="auto"/>
        </w:rPr>
      </w:pPr>
      <w:r>
        <w:rPr>
          <w:rFonts w:ascii="Arial" w:cs="Arial" w:eastAsia="Arial" w:hAnsi="Arial"/>
          <w:sz w:val="15"/>
          <w:szCs w:val="15"/>
          <w:color w:val="auto"/>
        </w:rPr>
        <w:t>In September 2022, we engaged Foundation Medicine, Inc. to develop its FoundationOne®CDx as a companion diagnostic for RLY-4008, which we are using to identify patients with FGFR2 fusions, amplifications and mutations and select rearrangements in CCA who may be appropriate for treatment with RLY-4008.</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39"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We seek to protect the intellectual property and proprietary technology that we consider important to our business, including by pursuing patent applications that cover our product candidates and methods of using the same, as well as any other relevant inventions and improvements that we believe to be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provisional and PCT patent applications, and any patent applications that we may in the future file or license from third parties, may not result in the issuance of patents and any issued patents we may obtain do not guarantee us the right to practice our technology or commercialize our product candidates. We also cannot predict the breadth of claims that may be allowed or enforced in any patents we may own or in-license in the future. Any issued patents that we currently own or may own or in-license in the future may be challenged, invalidated, circumvented or have the scope of their claims narrowed.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w:t>
      </w:r>
    </w:p>
    <w:p>
      <w:pPr>
        <w:spacing w:after="0" w:line="196"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United States Patent and Trademark Office, or USPTO, in examining and granting a patent, or may be shortened if a patent is terminally disclaimed over an earlier expiring patent. The term of a patent claiming a new drug product may also be eligible for a limited patent term extension when FDA approval is granted, provided statutory and regulatory requirements are met.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The restoration period cannot be longer than five years, and the restoration period may not extend the patent term beyond 14 years from the date of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 In the future, if our product candidates receive approval by the FDA, we expect to apply for patent term extensions on one issued patent covering each of those products, depending upon the length of the clinical studies for each product and other factors. There can be no assurance that patents will issue from our current or future pending patent applications,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31" w:name="page32"/>
    <w:bookmarkEnd w:id="31"/>
    <w:p>
      <w:pPr>
        <w:ind w:right="120"/>
        <w:spacing w:after="0" w:line="293" w:lineRule="auto"/>
        <w:rPr>
          <w:sz w:val="20"/>
          <w:szCs w:val="20"/>
          <w:color w:val="auto"/>
        </w:rPr>
      </w:pPr>
      <w:r>
        <w:rPr>
          <w:rFonts w:ascii="Arial" w:cs="Arial" w:eastAsia="Arial" w:hAnsi="Arial"/>
          <w:sz w:val="16"/>
          <w:szCs w:val="16"/>
          <w:color w:val="auto"/>
        </w:rPr>
        <w:t>remedies in a particular country and the validity and enforceability of the patent. The patent term may be inadequate to protect our competitive position on our products for an adequate amount of time.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RLY-4008</w:t>
      </w:r>
    </w:p>
    <w:p>
      <w:pPr>
        <w:spacing w:after="0" w:line="235"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As of December 31, 2022, we co-owned with D. E. Shaw Research pending U.S. and foreign patent applications, which relate to our FGFR2 inhibitors. Any U.S. or foreign patents that may issue from this patent family, if granted and all appropriate maintenance fees paid, would be scheduled to expire in 2040, excluding any additional term for patent term adjustment or patent term extension, if applicable.</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As of December 31, 2022, we wholly owned a pending U.S. patent application, a pending PCT patent application, and a pending foreign patent application, relating to RLY-4008 salts composition of matter, methods of treatment, solid forms and methods of manufacture. Any U.S. or foreign patents that may issue from this patent family, if granted and all appropriate maintenance fees paid, would be scheduled to expire in 2041, excluding any additional term for patent term adjustment or patent term extension, if applicable.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RLY-2608</w:t>
      </w:r>
    </w:p>
    <w:p>
      <w:pPr>
        <w:spacing w:after="0" w:line="235"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As of December 31, 2022, we co-owned with D.E. Shaw Research pending U.S. and foreign patent applications, covering our PI3K program, which are directed to the composition of matter for the drug candidates of the program, analogs thereof, as well as methods of making and using these compounds. Any U.S. or foreign patents that may issue from this patent family, if granted and all appropriate maintenance fees paid, would be scheduled to expire in 2041, excluding any additional term for patent term adjustment or patent term extension, if applicable.</w:t>
      </w:r>
    </w:p>
    <w:p>
      <w:pPr>
        <w:spacing w:after="0" w:line="189" w:lineRule="exact"/>
        <w:rPr>
          <w:sz w:val="20"/>
          <w:szCs w:val="20"/>
          <w:color w:val="auto"/>
        </w:rPr>
      </w:pPr>
    </w:p>
    <w:p>
      <w:pPr>
        <w:ind w:right="340"/>
        <w:spacing w:after="0" w:line="305" w:lineRule="auto"/>
        <w:rPr>
          <w:sz w:val="20"/>
          <w:szCs w:val="20"/>
          <w:color w:val="auto"/>
        </w:rPr>
      </w:pPr>
      <w:r>
        <w:rPr>
          <w:rFonts w:ascii="Arial" w:cs="Arial" w:eastAsia="Arial" w:hAnsi="Arial"/>
          <w:sz w:val="15"/>
          <w:szCs w:val="15"/>
          <w:color w:val="auto"/>
        </w:rPr>
        <w:t>As of December 31, 2022, we wholly owned pending PCT and foreign patent applications relating to RLY-2608 salts composition of matter, methods of treatment, solid forms and methods of manufacture. Any U.S. or foreign patents that may issue from this patent family, if granted and all appropriate maintenance fees paid, would be scheduled to expire in 2042, excluding any additional term for patent term adjustment or patent term extension, if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RLY-5836</w:t>
      </w:r>
    </w:p>
    <w:p>
      <w:pPr>
        <w:spacing w:after="0" w:line="235" w:lineRule="exact"/>
        <w:rPr>
          <w:sz w:val="20"/>
          <w:szCs w:val="20"/>
          <w:color w:val="auto"/>
        </w:rPr>
      </w:pPr>
    </w:p>
    <w:p>
      <w:pPr>
        <w:jc w:val="both"/>
        <w:ind w:right="140"/>
        <w:spacing w:after="0" w:line="273" w:lineRule="auto"/>
        <w:rPr>
          <w:sz w:val="20"/>
          <w:szCs w:val="20"/>
          <w:color w:val="auto"/>
        </w:rPr>
      </w:pPr>
      <w:r>
        <w:rPr>
          <w:rFonts w:ascii="Arial" w:cs="Arial" w:eastAsia="Arial" w:hAnsi="Arial"/>
          <w:sz w:val="16"/>
          <w:szCs w:val="16"/>
          <w:color w:val="auto"/>
        </w:rPr>
        <w:t>As of December 31, 2022, we wholly owned pending PCT and foreign patent applications covering our PI3K program, which are directed to the composition of matter for the drug candidates of the program, analogs thereof, as well as methods of making and using these compounds. Any U.S. or foreign patents that may issue from this patent family, if granted and all appropriate maintenance fees paid, would be scheduled to expire in 2042, excluding any additional term for patent term adjustment or patent term extension, if applicable.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GDC-1971</w:t>
      </w:r>
    </w:p>
    <w:p>
      <w:pPr>
        <w:spacing w:after="0" w:line="235"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As of December 31, 2022, we wholly own a U.S. patent which relates to GDC-1971 composition of matter, that, if all appropriate maintenance fees are paid, is scheduled to expire in 2039, excluding any additional term for patent term adjustment or patent term extension, if applicable. As of December 31, 2022, we co-owned with D.E. Shaw Research pending U.S. and foreign patent applications covering our SHP2 program, which are directed to the composition of matter for drug candidates of the program, analogs thereof, as well as methods of making and using these compounds. Any U.S. or foreign patents that may issue from this patent family, if granted and all appropriate maintenance fees paid, would be scheduled to expire in 2039, excluding any additional term for patent term adjustment or patent term extension, if applicable. As of December 31, 2022, we wholly owned pending non-provisional patent applications which relate to GDC-1971, solid forms and methods of manufacture. Any U.S. or foreign patent that may issue from these patent applications would be scheduled to expire in 2040, excluding any additional term for patent term adjustment or patent term extension, if applicable.</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Pursuant to the Genentech Agreement, we have granted an exclusive, worldwide, royalty-bearing license to Genentech, with the right to sublicense, develop and commercialize GDC-1971 and any other SHP2 inhibitors developed under the Genentech Agreement. Genentech has the first right, but not the obligation, to file, prosecute and maintain any patents licensed to it, as well as to enforce infringement of or defend claims against such patents that relate to GDC-1971 or other SHP2 inhibitors. See “— Our Collaborations—Key License Agreements and Strategic Collaborations—Collaboration and License Agreement with Genentech” for more information on the Genentech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CDK2 Inhibitor</w:t>
      </w:r>
    </w:p>
    <w:p>
      <w:pPr>
        <w:spacing w:after="0" w:line="200" w:lineRule="exact"/>
        <w:rPr>
          <w:sz w:val="20"/>
          <w:szCs w:val="20"/>
          <w:color w:val="auto"/>
        </w:rPr>
      </w:pPr>
    </w:p>
    <w:p>
      <w:pPr>
        <w:spacing w:after="0" w:line="237" w:lineRule="exact"/>
        <w:rPr>
          <w:sz w:val="20"/>
          <w:szCs w:val="20"/>
          <w:color w:val="auto"/>
        </w:rPr>
      </w:pPr>
    </w:p>
    <w:p>
      <w:pPr>
        <w:ind w:right="620"/>
        <w:spacing w:after="0" w:line="328" w:lineRule="auto"/>
        <w:rPr>
          <w:sz w:val="20"/>
          <w:szCs w:val="20"/>
          <w:color w:val="auto"/>
        </w:rPr>
      </w:pPr>
      <w:r>
        <w:rPr>
          <w:rFonts w:ascii="Arial" w:cs="Arial" w:eastAsia="Arial" w:hAnsi="Arial"/>
          <w:sz w:val="15"/>
          <w:szCs w:val="15"/>
          <w:color w:val="auto"/>
        </w:rPr>
        <w:t>As of December 31, 2022, we wholly owned pending U.S. provisional, PCT, and foreign patent applications covering our CDK2 program, which are directed to the composition of matter for the drug candidates of the program, analogs thereof, as well as methods of making and using these compounds.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ERα Degrader</w:t>
      </w:r>
    </w:p>
    <w:p>
      <w:pPr>
        <w:spacing w:after="0" w:line="200" w:lineRule="exact"/>
        <w:rPr>
          <w:sz w:val="20"/>
          <w:szCs w:val="20"/>
          <w:color w:val="auto"/>
        </w:rPr>
      </w:pPr>
    </w:p>
    <w:p>
      <w:pPr>
        <w:spacing w:after="0" w:line="23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of December 31, 2022, we wholly owned pending U.S. provisional patent applications covering our ER</w:t>
      </w:r>
      <w:r>
        <w:rPr>
          <w:rFonts w:ascii="Arial" w:cs="Arial" w:eastAsia="Arial" w:hAnsi="Arial"/>
          <w:sz w:val="16"/>
          <w:szCs w:val="16"/>
          <w:i w:val="1"/>
          <w:iCs w:val="1"/>
          <w:color w:val="auto"/>
        </w:rPr>
        <w:t>α</w:t>
      </w:r>
      <w:r>
        <w:rPr>
          <w:rFonts w:ascii="Arial" w:cs="Arial" w:eastAsia="Arial" w:hAnsi="Arial"/>
          <w:sz w:val="16"/>
          <w:szCs w:val="16"/>
          <w:color w:val="auto"/>
        </w:rPr>
        <w:t xml:space="preserve"> program, which are directed to the composition of matter for the drug candidates of the program, analogs thereof, as well as methods of making and using these compounds. Under the terms of the Discovery Collaboration Agreement, EQRx has the first right to direct filing and prosecution of these patent applications.</w:t>
      </w:r>
    </w:p>
    <w:p>
      <w:pPr>
        <w:spacing w:after="0" w:line="184" w:lineRule="exact"/>
        <w:rPr>
          <w:sz w:val="20"/>
          <w:szCs w:val="20"/>
          <w:color w:val="auto"/>
        </w:rPr>
      </w:pPr>
    </w:p>
    <w:p>
      <w:pPr>
        <w:ind w:right="20"/>
        <w:spacing w:after="0" w:line="307" w:lineRule="auto"/>
        <w:rPr>
          <w:sz w:val="20"/>
          <w:szCs w:val="20"/>
          <w:color w:val="auto"/>
        </w:rPr>
      </w:pPr>
      <w:r>
        <w:rPr>
          <w:rFonts w:ascii="Arial" w:cs="Arial" w:eastAsia="Arial" w:hAnsi="Arial"/>
          <w:sz w:val="14"/>
          <w:szCs w:val="14"/>
          <w:color w:val="auto"/>
        </w:rPr>
        <w:t>Patent prosecution is a lengthy process, during which the scope of the claims initially submitted for examination by the USPTO or other foreign jurisdiction are often significantly narrowed by the time they issue, if they issue at all. Any U.S. or foreign patent issuing from these provisional, PCT, or foreign patent applications (assuming they are timely converted into non-provisional applications, and such non-provisional applications are granted as issued patents) would be scheduled to expire twenty years from their earliest non-provisional priority filing date, excluding any additional term for patent term adjustment or patent term extension, and assuming national phase entries are timely made based upon the pending PCT application, and payment of all applicable maintenance or annuity fees. Any of our pending PCT patent applications are not eligible to become issued patents until, among other things, we file national stage patent applications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Our provisional patent applications may never result in issued patents and are not eligible to become issued patents until, among other things, we file a non-provisional patent application and/or PCT patent application within 12 months of filing the related provisional patent application.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and national stage patent applications relating to our provisional and PCT patent applications, we cannot predict whether any of our current or future patent applications for any of our product candidates or technology, will issue as patents. If we do not successfully obtain patent protection, or, even if we do obtain patent protection, if the scope of the patent protection we, Genentech, or our potential licensors, obtain with respect to any of our product candidates or technology is not sufficiently broad, we will be unable to prevent others from using our technology or from developing or commercializing technology and products similar or identical to ours or other competing products and technologies.</w:t>
      </w:r>
    </w:p>
    <w:p>
      <w:pPr>
        <w:spacing w:after="0" w:line="370"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In addition to patent applications, we rely on unpatented trade secrets, know-how and continuing technological innovation to develop and maintain our competitive position. However, trade secrets and confidential know-how are difficult to protect. In particular, we anticipate that with respect to the building of our compound library, our trade secrets and know-how will over time be disseminated within the industry through independent development and public presentations describing the methodology.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consultants,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that we will have executed such agreements with all applicable employees and contractors, or that these agreements will afford us adequate protection of our intellectual property and proprietary information rights. In addition, our trade secrets and/or confidential know-how may become known or be independently developed by a third party or misused by any collaborator to whom we disclose such information. These agreements may also be breached, and we may not have an adequate remedy for any such breach.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Factors—Risks Related to our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Commercialization</w:t>
      </w:r>
    </w:p>
    <w:p>
      <w:pPr>
        <w:spacing w:after="0" w:line="239"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Subject to receiving marketing approvals, we expect to commence commercialization activities by building a focused sales and marketing organization in the United States to sell our products. We believe that such an organization will be able to address the community of oncologists who are the key specialists in treating the patient populations for which our product candidates are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3" w:name="page34"/>
    <w:bookmarkEnd w:id="33"/>
    <w:p>
      <w:pPr>
        <w:ind w:right="120"/>
        <w:spacing w:after="0" w:line="293" w:lineRule="auto"/>
        <w:rPr>
          <w:sz w:val="20"/>
          <w:szCs w:val="20"/>
          <w:color w:val="auto"/>
        </w:rPr>
      </w:pPr>
      <w:r>
        <w:rPr>
          <w:rFonts w:ascii="Arial" w:cs="Arial" w:eastAsia="Arial" w:hAnsi="Arial"/>
          <w:sz w:val="16"/>
          <w:szCs w:val="16"/>
          <w:color w:val="auto"/>
        </w:rPr>
        <w:t>being developed. Outside the United States, we expect to enter into distribution and other marketing arrangements with third parties for any of our product candidates that obtain marketing approval.</w:t>
      </w:r>
    </w:p>
    <w:p>
      <w:pPr>
        <w:spacing w:after="0" w:line="172"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39" w:lineRule="exact"/>
        <w:rPr>
          <w:sz w:val="20"/>
          <w:szCs w:val="20"/>
          <w:color w:val="auto"/>
        </w:rPr>
      </w:pPr>
    </w:p>
    <w:p>
      <w:pPr>
        <w:ind w:right="180"/>
        <w:spacing w:after="0" w:line="328" w:lineRule="auto"/>
        <w:rPr>
          <w:sz w:val="20"/>
          <w:szCs w:val="20"/>
          <w:color w:val="auto"/>
        </w:rPr>
      </w:pPr>
      <w:r>
        <w:rPr>
          <w:rFonts w:ascii="Arial" w:cs="Arial" w:eastAsia="Arial" w:hAnsi="Arial"/>
          <w:sz w:val="15"/>
          <w:szCs w:val="15"/>
          <w:color w:val="auto"/>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50"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All of our drug candidates are small molecules and are manufactured in synthetic processes from available starting materials. The chemistry appears amenable to scale-up and we rely on the specialized equipment of third parties to manufacture our product candidates. We expect to continue to develop product candidates that can be produced cost-effectively at contract manufacturing facilities.</w:t>
      </w:r>
    </w:p>
    <w:p>
      <w:pPr>
        <w:spacing w:after="0" w:line="184" w:lineRule="exact"/>
        <w:rPr>
          <w:sz w:val="20"/>
          <w:szCs w:val="20"/>
          <w:color w:val="auto"/>
        </w:rPr>
      </w:pPr>
    </w:p>
    <w:p>
      <w:pPr>
        <w:ind w:right="400"/>
        <w:spacing w:after="0" w:line="328" w:lineRule="auto"/>
        <w:rPr>
          <w:sz w:val="20"/>
          <w:szCs w:val="20"/>
          <w:color w:val="auto"/>
        </w:rPr>
      </w:pPr>
      <w:r>
        <w:rPr>
          <w:rFonts w:ascii="Arial" w:cs="Arial" w:eastAsia="Arial" w:hAnsi="Arial"/>
          <w:sz w:val="15"/>
          <w:szCs w:val="15"/>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Governmental Regulation</w:t>
      </w:r>
    </w:p>
    <w:p>
      <w:pPr>
        <w:spacing w:after="0" w:line="239"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and contract manufacturers, are and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90"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In the United States, where we are initially focusing our drug development, the FDA regulates drug products under the Federal Food, Drug, and Cosmetic Act, or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80"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color w:val="auto"/>
        </w:rPr>
        <w:t>The process required by the FDA before our product candidates are approved as drugs for therapeutic indications and may be marketed in the United States generally involves the following:</w:t>
      </w:r>
    </w:p>
    <w:p>
      <w:pPr>
        <w:spacing w:after="0" w:line="172" w:lineRule="exact"/>
        <w:rPr>
          <w:sz w:val="20"/>
          <w:szCs w:val="20"/>
          <w:color w:val="auto"/>
        </w:rPr>
      </w:pPr>
    </w:p>
    <w:p>
      <w:pPr>
        <w:ind w:left="1020" w:right="400" w:hanging="503"/>
        <w:spacing w:after="0" w:line="293"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completion of extensive preclinical studies in accordance with applicable regulations, including studies conducted in accordance with good laboratory practice, or GLP, requirements;</w:t>
      </w:r>
    </w:p>
    <w:p>
      <w:pPr>
        <w:spacing w:after="0" w:line="171" w:lineRule="exact"/>
        <w:rPr>
          <w:rFonts w:ascii="Arial" w:cs="Arial" w:eastAsia="Arial" w:hAnsi="Arial"/>
          <w:sz w:val="16"/>
          <w:szCs w:val="16"/>
          <w:color w:val="auto"/>
        </w:rPr>
      </w:pPr>
    </w:p>
    <w:p>
      <w:pPr>
        <w:ind w:left="1020" w:right="60" w:hanging="503"/>
        <w:spacing w:after="0" w:line="293"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submission to the FDA of an investigational new drug application, or IND, which must become effective before clinical trials may begin;</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approval by an institutional review board, or IRB, or independent ethics committee at each clinical trial site before each trial may be initiated;</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62" w:right="419" w:bottom="1440" w:gutter="0" w:footer="0" w:header="0"/>
        </w:sectPr>
      </w:pPr>
    </w:p>
    <w:bookmarkStart w:id="34" w:name="page35"/>
    <w:bookmarkEnd w:id="34"/>
    <w:p>
      <w:pPr>
        <w:ind w:left="1020" w:right="120" w:hanging="503"/>
        <w:spacing w:after="0" w:line="328" w:lineRule="auto"/>
        <w:tabs>
          <w:tab w:leader="none" w:pos="10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149" w:lineRule="exact"/>
        <w:rPr>
          <w:rFonts w:ascii="Arial" w:cs="Arial" w:eastAsia="Arial" w:hAnsi="Arial"/>
          <w:sz w:val="15"/>
          <w:szCs w:val="15"/>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submission to the FDA of a New Drug Application, or an NDA;</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determination by the FDA within 60 days of its receipt of an NDA, to accept the filing for review;</w:t>
      </w:r>
    </w:p>
    <w:p>
      <w:pPr>
        <w:spacing w:after="0" w:line="234" w:lineRule="exact"/>
        <w:rPr>
          <w:rFonts w:ascii="Arial" w:cs="Arial" w:eastAsia="Arial" w:hAnsi="Arial"/>
          <w:sz w:val="16"/>
          <w:szCs w:val="16"/>
          <w:color w:val="auto"/>
        </w:rPr>
      </w:pPr>
    </w:p>
    <w:p>
      <w:pPr>
        <w:ind w:left="1020" w:right="280" w:hanging="503"/>
        <w:spacing w:after="0" w:line="278"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184"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potentially, satisfactory completion of FDA audit of the clinical trial sites that generated the data in support of the NDA;</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payment of user fees for FDA review of the NDA; and</w:t>
      </w:r>
    </w:p>
    <w:p>
      <w:pPr>
        <w:spacing w:after="0" w:line="234" w:lineRule="exact"/>
        <w:rPr>
          <w:rFonts w:ascii="Arial" w:cs="Arial" w:eastAsia="Arial" w:hAnsi="Arial"/>
          <w:sz w:val="16"/>
          <w:szCs w:val="16"/>
          <w:color w:val="auto"/>
        </w:rPr>
      </w:pPr>
    </w:p>
    <w:p>
      <w:pPr>
        <w:ind w:left="1020" w:right="160" w:hanging="503"/>
        <w:spacing w:after="0" w:line="293"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FDA review and approval of the NDA, including consideration of the views of any FDA advisory committee, prior to any commercial marketing or sale of the drug in the United States.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Preclinical studies and clinical trials for drugs</w:t>
      </w: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 xml:space="preserve">Before testing any drug in humans, the product candidate must undergo rigorous preclinical testing. Preclinical studies include laboratory evaluations of drug chemistry, formulation and stability, as well as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animal studies to assess safety and in some cases to establish the rationale for therapeutic use. The conduct of preclinical studies is subject to federal and state regulation,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The FDA must notify the trial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the FDA are corrected.</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4"/>
          <w:szCs w:val="14"/>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trial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17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 sponsor who wishes to conduct a clinical trial outside of the United States may, but need not, obtain FDA authorization to conduct the clinical trial under an IND. If a foreign clinical trial is not conducted under an IND, the FDA will nevertheless accept the results of the study in support of an NDA if the study was conducted in accordance with GCP requirements, and the FDA is able to validate the data through an onsite inspection if deemed necessary.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color w:val="auto"/>
        </w:rPr>
        <w:t>Clinical trials to evaluate therapeutic indications to support NDAs for marketing approval are typically conducted in three sequential phases, which may overlap.</w:t>
      </w:r>
    </w:p>
    <w:p>
      <w:pPr>
        <w:spacing w:after="0" w:line="246" w:lineRule="exact"/>
        <w:rPr>
          <w:sz w:val="20"/>
          <w:szCs w:val="20"/>
          <w:color w:val="auto"/>
        </w:rPr>
      </w:pPr>
    </w:p>
    <w:p>
      <w:pPr>
        <w:ind w:left="1020" w:right="20" w:hanging="503"/>
        <w:spacing w:after="0" w:line="305" w:lineRule="auto"/>
        <w:tabs>
          <w:tab w:leader="none" w:pos="1020"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Phase 1</w:t>
      </w:r>
      <w:r>
        <w:rPr>
          <w:rFonts w:ascii="Arial" w:cs="Arial" w:eastAsia="Arial" w:hAnsi="Arial"/>
          <w:sz w:val="15"/>
          <w:szCs w:val="15"/>
          <w:color w:val="auto"/>
        </w:rPr>
        <w:t>—Phase 1 clinical trials involve initial introduction of the investigational product into healthy human volunteers or patients with the target disease or</w:t>
      </w:r>
      <w:r>
        <w:rPr>
          <w:rFonts w:ascii="Arial" w:cs="Arial" w:eastAsia="Arial" w:hAnsi="Arial"/>
          <w:sz w:val="15"/>
          <w:szCs w:val="15"/>
          <w:i w:val="1"/>
          <w:iCs w:val="1"/>
          <w:color w:val="auto"/>
        </w:rPr>
        <w:t xml:space="preserve"> </w:t>
      </w:r>
      <w:r>
        <w:rPr>
          <w:rFonts w:ascii="Arial" w:cs="Arial" w:eastAsia="Arial" w:hAnsi="Arial"/>
          <w:sz w:val="15"/>
          <w:szCs w:val="15"/>
          <w:color w:val="auto"/>
        </w:rPr>
        <w:t>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165" w:lineRule="exact"/>
        <w:rPr>
          <w:rFonts w:ascii="Arial" w:cs="Arial" w:eastAsia="Arial" w:hAnsi="Arial"/>
          <w:sz w:val="15"/>
          <w:szCs w:val="15"/>
          <w:color w:val="auto"/>
        </w:rPr>
      </w:pPr>
    </w:p>
    <w:p>
      <w:pPr>
        <w:jc w:val="both"/>
        <w:ind w:left="1020" w:right="280" w:hanging="503"/>
        <w:spacing w:after="0" w:line="278"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—Phase 2 clinical trials typically involve administration of the investigational product to a limited patient population with a specified disease or</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to evaluate the drug’s potential efficacy, to determine the optimal dosages and dosing schedule and to identify possible adverse side effects and safety risks.</w:t>
      </w:r>
    </w:p>
    <w:p>
      <w:pPr>
        <w:spacing w:after="0" w:line="184" w:lineRule="exact"/>
        <w:rPr>
          <w:rFonts w:ascii="Arial" w:cs="Arial" w:eastAsia="Arial" w:hAnsi="Arial"/>
          <w:sz w:val="16"/>
          <w:szCs w:val="16"/>
          <w:color w:val="auto"/>
        </w:rPr>
      </w:pPr>
    </w:p>
    <w:p>
      <w:pPr>
        <w:ind w:left="1020" w:hanging="503"/>
        <w:spacing w:after="0" w:line="273"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—Phase 3 clinical trials typically involve administration of the investigational product to an expanded patient population to further evaluate dosage,</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w:t>
      </w:r>
    </w:p>
    <w:p>
      <w:pPr>
        <w:spacing w:after="0" w:line="18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drug development and reduce development costs and time.</w:t>
      </w:r>
    </w:p>
    <w:p>
      <w:pPr>
        <w:spacing w:after="0" w:line="190"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approval.</w:t>
      </w:r>
    </w:p>
    <w:p>
      <w:pPr>
        <w:spacing w:after="0" w:line="166"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marketing approval for drugs</w:t>
      </w:r>
    </w:p>
    <w:p>
      <w:pPr>
        <w:spacing w:after="0" w:line="235" w:lineRule="exact"/>
        <w:rPr>
          <w:sz w:val="20"/>
          <w:szCs w:val="20"/>
          <w:color w:val="auto"/>
        </w:rPr>
      </w:pPr>
    </w:p>
    <w:p>
      <w:pPr>
        <w:ind w:right="120"/>
        <w:spacing w:after="0" w:line="313" w:lineRule="auto"/>
        <w:rPr>
          <w:sz w:val="20"/>
          <w:szCs w:val="20"/>
          <w:color w:val="auto"/>
        </w:rPr>
      </w:pPr>
      <w:r>
        <w:rPr>
          <w:rFonts w:ascii="Arial" w:cs="Arial" w:eastAsia="Arial" w:hAnsi="Arial"/>
          <w:sz w:val="14"/>
          <w:szCs w:val="14"/>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The FDA must approve an NDA before a drug may be marketed in the United States.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36" w:name="page37"/>
    <w:bookmarkEnd w:id="36"/>
    <w:p>
      <w:pPr>
        <w:spacing w:after="0" w:line="268" w:lineRule="auto"/>
        <w:rPr>
          <w:sz w:val="20"/>
          <w:szCs w:val="20"/>
          <w:color w:val="auto"/>
        </w:rPr>
      </w:pPr>
      <w:r>
        <w:rPr>
          <w:rFonts w:ascii="Arial" w:cs="Arial" w:eastAsia="Arial" w:hAnsi="Arial"/>
          <w:sz w:val="16"/>
          <w:szCs w:val="16"/>
          <w:color w:val="auto"/>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for the indications sought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92" w:lineRule="exact"/>
        <w:rPr>
          <w:sz w:val="20"/>
          <w:szCs w:val="20"/>
          <w:color w:val="auto"/>
        </w:rPr>
      </w:pPr>
    </w:p>
    <w:p>
      <w:pPr>
        <w:jc w:val="both"/>
        <w:ind w:right="240"/>
        <w:spacing w:after="0" w:line="305" w:lineRule="auto"/>
        <w:rPr>
          <w:sz w:val="20"/>
          <w:szCs w:val="20"/>
          <w:color w:val="auto"/>
        </w:rPr>
      </w:pPr>
      <w:r>
        <w:rPr>
          <w:rFonts w:ascii="Arial" w:cs="Arial" w:eastAsia="Arial" w:hAnsi="Arial"/>
          <w:sz w:val="15"/>
          <w:szCs w:val="15"/>
          <w:color w:val="auto"/>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66"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or other risk-minimization tools.</w:t>
      </w:r>
    </w:p>
    <w:p>
      <w:pPr>
        <w:spacing w:after="0" w:line="166"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94"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Orphan drug designation and exclusivity</w:t>
      </w:r>
    </w:p>
    <w:p>
      <w:pPr>
        <w:spacing w:after="0" w:line="235" w:lineRule="exact"/>
        <w:rPr>
          <w:sz w:val="20"/>
          <w:szCs w:val="20"/>
          <w:color w:val="auto"/>
        </w:rPr>
      </w:pPr>
    </w:p>
    <w:p>
      <w:pPr>
        <w:ind w:right="120"/>
        <w:spacing w:after="0" w:line="318" w:lineRule="auto"/>
        <w:rPr>
          <w:sz w:val="20"/>
          <w:szCs w:val="20"/>
          <w:color w:val="auto"/>
        </w:rPr>
      </w:pPr>
      <w:r>
        <w:rPr>
          <w:rFonts w:ascii="Arial" w:cs="Arial" w:eastAsia="Arial" w:hAnsi="Arial"/>
          <w:sz w:val="14"/>
          <w:szCs w:val="14"/>
          <w:color w:val="auto"/>
        </w:rPr>
        <w:t>Under the Orphan Drug Act, the FDA may grant orphan drug designation to a drug intended to treat a rare disease or condition, which is a disease or condition that affects fewer than 200,000 individuals in the United States, or if it affects 200,000 or more individuals in the United States, there is no reasonable expectation that the cost of developing and making the product available in the United States for the disease or condition will be recovered from sales of the product. Orphan drug designation must be requested before submitting an NDA.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7" w:name="page38"/>
    <w:bookmarkEnd w:id="37"/>
    <w:p>
      <w:pPr>
        <w:ind w:right="20"/>
        <w:spacing w:after="0" w:line="287" w:lineRule="auto"/>
        <w:rPr>
          <w:sz w:val="20"/>
          <w:szCs w:val="20"/>
          <w:color w:val="auto"/>
        </w:rPr>
      </w:pPr>
      <w:r>
        <w:rPr>
          <w:rFonts w:ascii="Arial" w:cs="Arial" w:eastAsia="Arial" w:hAnsi="Arial"/>
          <w:sz w:val="15"/>
          <w:szCs w:val="15"/>
          <w:color w:val="auto"/>
        </w:rPr>
        <w:t>If a product that has orphan drug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drug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drug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Expedited development and review programs for drugs</w:t>
      </w:r>
    </w:p>
    <w:p>
      <w:pPr>
        <w:spacing w:after="0" w:line="23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p>
    <w:p>
      <w:pPr>
        <w:spacing w:after="0" w:line="189"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Rolling review means that the agency may review portions of the marketing application before the sponsor submits the complete application. 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Biologics License Application is submitted, if the drug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80" w:lineRule="exact"/>
        <w:rPr>
          <w:sz w:val="20"/>
          <w:szCs w:val="20"/>
          <w:color w:val="auto"/>
        </w:rPr>
      </w:pPr>
    </w:p>
    <w:p>
      <w:pPr>
        <w:ind w:right="180"/>
        <w:spacing w:after="0" w:line="289" w:lineRule="auto"/>
        <w:rPr>
          <w:sz w:val="20"/>
          <w:szCs w:val="20"/>
          <w:color w:val="auto"/>
        </w:rPr>
      </w:pPr>
      <w:r>
        <w:rPr>
          <w:rFonts w:ascii="Arial" w:cs="Arial" w:eastAsia="Arial" w:hAnsi="Arial"/>
          <w:sz w:val="15"/>
          <w:szCs w:val="15"/>
          <w:color w:val="auto"/>
        </w:rPr>
        <w:t>Accelerated Approval is usually contingent on a sponsor’s agreement to conduct additional post-approval studies to verify and describe the product’s clinical benefit. As a condition of approval, the FDA may require that a sponsor of a drug receiving Accelerated Approval perform adequate and well-controlled post-marketing clinical trials with due diligence and, under the Food and Drug Omnibus Reform Act of 2022, or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an indication approved if, for example, the confirmatory trial fails to verify the predicted clinical benefit of the product. In addition, for products being considered for Accelerated Approval, the FDA generally requires, unless otherwise informed by the agency, pre-approval of promotional materials, which could adversely impact the timing of the commercial launch of the product.</w:t>
      </w:r>
    </w:p>
    <w:p>
      <w:pPr>
        <w:spacing w:after="0" w:line="18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Pediatric information and pediatric exclusivity</w:t>
      </w: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Under the Pediatric Research Equity Act, or PREA, as amended, certain NDAs and NDA supplements must contain data that can be used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78"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post-approval requirements for drugs</w:t>
      </w:r>
    </w:p>
    <w:p>
      <w:pPr>
        <w:spacing w:after="0" w:line="23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Manufacturers and other parties involved in the drug supply chain for prescription drug products and those supplying products, ingredients, and components of them, must also comply with product tracking and tracing requirements and are responsible for notifying the FDA of counterfeit, diverted, stolen and intentionally adulterated products or products that are otherwise unfit for distribution in the United States.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8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66"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34" w:lineRule="exact"/>
        <w:rPr>
          <w:rFonts w:ascii="Arial" w:cs="Arial" w:eastAsia="Arial" w:hAnsi="Arial"/>
          <w:sz w:val="16"/>
          <w:szCs w:val="16"/>
          <w:color w:val="auto"/>
        </w:rPr>
      </w:pPr>
    </w:p>
    <w:p>
      <w:pPr>
        <w:ind w:left="1020" w:right="100" w:hanging="503"/>
        <w:spacing w:after="0" w:line="293"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issuance of safety alerts, Dear Healthcare Provider letters, press releases or other communications containing warnings or other safety information about the product;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9" w:name="page40"/>
    <w:bookmarkEnd w:id="39"/>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fines, warning letters or holds on post-approval clinical trials;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refusal of the FDA to approve applications or supplements to approved applications, or suspension or revocation of product approvals;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 and</w:t>
      </w:r>
    </w:p>
    <w:p>
      <w:pPr>
        <w:spacing w:after="0" w:line="234" w:lineRule="exact"/>
        <w:rPr>
          <w:rFonts w:ascii="Arial" w:cs="Arial" w:eastAsia="Arial" w:hAnsi="Arial"/>
          <w:sz w:val="16"/>
          <w:szCs w:val="16"/>
          <w:color w:val="auto"/>
        </w:rPr>
      </w:pPr>
    </w:p>
    <w:p>
      <w:pPr>
        <w:ind w:left="1020" w:right="500" w:hanging="503"/>
        <w:spacing w:after="0" w:line="293"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consent decrees, corporate integrity agreements, debarment or exclusion from federal healthcare programs; or mandated modification of promotional materials and labeling and issuance of corrective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 of companion diagnostics</w:t>
      </w:r>
    </w:p>
    <w:p>
      <w:pPr>
        <w:spacing w:after="0" w:line="235"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premarket approval application, or PMA.</w:t>
      </w:r>
    </w:p>
    <w:p>
      <w:pPr>
        <w:spacing w:after="0" w:line="180"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twelve months from the date the application is completed, but can take significantly longer.</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document in July 2016 setting forth the principles for co-development of an in vitro companion diagnostic device with a therapeutic product. The draft guidance describes principles to guide the development and contemporaneous marketing authorization for the therapeutic product and its corresponding in vitro companion diagnostic.</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2" w:right="399" w:bottom="1440" w:gutter="0" w:footer="0" w:header="0"/>
        </w:sectPr>
      </w:pPr>
    </w:p>
    <w:bookmarkStart w:id="40" w:name="page41"/>
    <w:bookmarkEnd w:id="40"/>
    <w:p>
      <w:pPr>
        <w:ind w:right="200"/>
        <w:spacing w:after="0" w:line="305" w:lineRule="auto"/>
        <w:rPr>
          <w:sz w:val="20"/>
          <w:szCs w:val="20"/>
          <w:color w:val="auto"/>
        </w:rPr>
      </w:pPr>
      <w:r>
        <w:rPr>
          <w:rFonts w:ascii="Arial" w:cs="Arial" w:eastAsia="Arial" w:hAnsi="Arial"/>
          <w:sz w:val="15"/>
          <w:szCs w:val="15"/>
          <w:color w:val="auto"/>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regulatory matters</w:t>
      </w:r>
    </w:p>
    <w:p>
      <w:pPr>
        <w:spacing w:after="0" w:line="23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healthcare laws</w:t>
      </w:r>
    </w:p>
    <w:p>
      <w:pPr>
        <w:spacing w:after="0" w:line="23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Insurance coverage and reimbursement</w:t>
      </w:r>
    </w:p>
    <w:p>
      <w:pPr>
        <w:spacing w:after="0" w:line="235" w:lineRule="exact"/>
        <w:rPr>
          <w:sz w:val="20"/>
          <w:szCs w:val="20"/>
          <w:color w:val="auto"/>
        </w:rPr>
      </w:pPr>
    </w:p>
    <w:p>
      <w:pPr>
        <w:ind w:right="140"/>
        <w:spacing w:after="0" w:line="308" w:lineRule="auto"/>
        <w:rPr>
          <w:sz w:val="20"/>
          <w:szCs w:val="20"/>
          <w:color w:val="auto"/>
        </w:rPr>
      </w:pPr>
      <w:r>
        <w:rPr>
          <w:rFonts w:ascii="Arial" w:cs="Arial" w:eastAsia="Arial" w:hAnsi="Arial"/>
          <w:sz w:val="14"/>
          <w:szCs w:val="14"/>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and net prices for our products may also be reduced by any future relaxation of laws that presently restrict imports of drugs from countries where they may be sold at lower prices than in the United States.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8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1" w:name="page42"/>
    <w:bookmarkEnd w:id="41"/>
    <w:p>
      <w:pPr>
        <w:ind w:right="40"/>
        <w:spacing w:after="0" w:line="273" w:lineRule="auto"/>
        <w:rPr>
          <w:sz w:val="20"/>
          <w:szCs w:val="20"/>
          <w:color w:val="auto"/>
        </w:rPr>
      </w:pPr>
      <w:r>
        <w:rPr>
          <w:rFonts w:ascii="Arial" w:cs="Arial" w:eastAsia="Arial" w:hAnsi="Arial"/>
          <w:sz w:val="16"/>
          <w:szCs w:val="16"/>
          <w:color w:val="auto"/>
        </w:rPr>
        <w:t>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and future healthcare reform legislation</w:t>
      </w:r>
    </w:p>
    <w:p>
      <w:pPr>
        <w:spacing w:after="0" w:line="235" w:lineRule="exact"/>
        <w:rPr>
          <w:sz w:val="20"/>
          <w:szCs w:val="20"/>
          <w:color w:val="auto"/>
        </w:rPr>
      </w:pPr>
    </w:p>
    <w:p>
      <w:pPr>
        <w:ind w:right="140"/>
        <w:spacing w:after="0" w:line="297" w:lineRule="auto"/>
        <w:rPr>
          <w:sz w:val="20"/>
          <w:szCs w:val="20"/>
          <w:color w:val="auto"/>
        </w:rPr>
      </w:pPr>
      <w:r>
        <w:rPr>
          <w:rFonts w:ascii="Arial" w:cs="Arial" w:eastAsia="Arial" w:hAnsi="Arial"/>
          <w:sz w:val="15"/>
          <w:szCs w:val="15"/>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Affordable Care Act, or ACA, which, among other things, includes changes to the coverage and payment for products under government health care programs. The ACA includes provisions of importance to our potential product candidates that:</w:t>
      </w:r>
    </w:p>
    <w:p>
      <w:pPr>
        <w:spacing w:after="0" w:line="172" w:lineRule="exact"/>
        <w:rPr>
          <w:sz w:val="20"/>
          <w:szCs w:val="20"/>
          <w:color w:val="auto"/>
        </w:rPr>
      </w:pPr>
    </w:p>
    <w:p>
      <w:pPr>
        <w:ind w:left="1020" w:right="340" w:hanging="503"/>
        <w:spacing w:after="0" w:line="29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171" w:lineRule="exact"/>
        <w:rPr>
          <w:rFonts w:ascii="Arial" w:cs="Arial" w:eastAsia="Arial" w:hAnsi="Arial"/>
          <w:sz w:val="16"/>
          <w:szCs w:val="16"/>
          <w:color w:val="auto"/>
        </w:rPr>
      </w:pPr>
    </w:p>
    <w:p>
      <w:pPr>
        <w:ind w:left="1020" w:right="100" w:hanging="503"/>
        <w:spacing w:after="0" w:line="29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1" w:lineRule="exact"/>
        <w:rPr>
          <w:rFonts w:ascii="Arial" w:cs="Arial" w:eastAsia="Arial" w:hAnsi="Arial"/>
          <w:sz w:val="16"/>
          <w:szCs w:val="16"/>
          <w:color w:val="auto"/>
        </w:rPr>
      </w:pPr>
    </w:p>
    <w:p>
      <w:pPr>
        <w:ind w:left="1020" w:right="260" w:hanging="503"/>
        <w:spacing w:after="0" w:line="278"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84" w:lineRule="exact"/>
        <w:rPr>
          <w:rFonts w:ascii="Arial" w:cs="Arial" w:eastAsia="Arial" w:hAnsi="Arial"/>
          <w:sz w:val="16"/>
          <w:szCs w:val="16"/>
          <w:color w:val="auto"/>
        </w:rPr>
      </w:pPr>
    </w:p>
    <w:p>
      <w:pPr>
        <w:ind w:left="1020" w:right="140" w:hanging="503"/>
        <w:spacing w:after="0" w:line="29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addressed a new methodology by which rebates owed by manufacturers under the Medicaid Drug Rebate Program are calculated for drugs that are inhaled, infused, instilled, implanted or injected;</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expanded the types of entities eligible for the 340B drug discount program;</w:t>
      </w:r>
    </w:p>
    <w:p>
      <w:pPr>
        <w:spacing w:after="0" w:line="234" w:lineRule="exact"/>
        <w:rPr>
          <w:rFonts w:ascii="Arial" w:cs="Arial" w:eastAsia="Arial" w:hAnsi="Arial"/>
          <w:sz w:val="16"/>
          <w:szCs w:val="16"/>
          <w:color w:val="auto"/>
        </w:rPr>
      </w:pPr>
    </w:p>
    <w:p>
      <w:pPr>
        <w:ind w:left="1020" w:right="180" w:hanging="503"/>
        <w:spacing w:after="0" w:line="278"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184" w:lineRule="exact"/>
        <w:rPr>
          <w:rFonts w:ascii="Arial" w:cs="Arial" w:eastAsia="Arial" w:hAnsi="Arial"/>
          <w:sz w:val="16"/>
          <w:szCs w:val="16"/>
          <w:color w:val="auto"/>
        </w:rPr>
      </w:pPr>
    </w:p>
    <w:p>
      <w:pPr>
        <w:ind w:left="1020" w:right="80" w:hanging="503"/>
        <w:spacing w:after="0" w:line="293"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created a new Patient-Centered Outcomes Research Institute to oversee, identify priorities in, and conduct comparative clinical effectiveness research, along with funding for such research.</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Since its enactment, there have been numerous judicial, administrative, executive, and legislative challenges to certain aspects of the ACA, and we expect there will be additional challenges and amendments to the ACA in the future. For example, on December 19, 2019, former President Trump signed into law the Further Consolidated Appropriations Act (H.R. 1865), which repealed the Cadillac tax, the health insurance provider tax, and the medical device excise tax.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82" w:lineRule="exact"/>
        <w:rPr>
          <w:sz w:val="20"/>
          <w:szCs w:val="20"/>
          <w:color w:val="auto"/>
        </w:rPr>
      </w:pPr>
    </w:p>
    <w:p>
      <w:pPr>
        <w:ind w:right="80"/>
        <w:spacing w:after="0" w:line="315" w:lineRule="auto"/>
        <w:rPr>
          <w:sz w:val="20"/>
          <w:szCs w:val="20"/>
          <w:color w:val="auto"/>
        </w:rPr>
      </w:pPr>
      <w:r>
        <w:rPr>
          <w:rFonts w:ascii="Arial" w:cs="Arial" w:eastAsia="Arial" w:hAnsi="Arial"/>
          <w:sz w:val="14"/>
          <w:szCs w:val="14"/>
          <w:color w:val="auto"/>
        </w:rPr>
        <w:t>Other legislative changes have been proposed and adopted in the United States since the ACA was enacted.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 The Coronavirus Aid, Relief and Economic Security Act, or CARES Act, which was signed into law in March 2020, and subsequent legislation, suspended these reductions from May 1, 2020 through March 31, 2021. A 1% payment reduction occurred beginning April 1, 2022 through June 30, 2022, and the 2% payment reduction resumed on July 1, 2022. In January 2013, the American Taxpayer Relief Act of 2012 was signed into law, which, among other things, further reduced Medicare payments to several providers, including hospitals, imaging centers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cancer treatment centers, and increased the statute of limitations period for the government to recover overpayments to providers from three to five years.</w:t>
      </w:r>
    </w:p>
    <w:p>
      <w:pPr>
        <w:spacing w:after="0" w:line="235"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The Inflation Reduction Act of 2022, or the IRA, was signed into law in August 2022. The IRA includes several provisions that could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The effect of IRA on our business and the healthcare industry in general is not yet known.</w:t>
      </w:r>
    </w:p>
    <w:p>
      <w:pPr>
        <w:spacing w:after="0" w:line="176"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89"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In the European Union, or EU,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Compliance with other federal and state laws or requirements; changing legal requirements</w:t>
      </w:r>
    </w:p>
    <w:p>
      <w:pPr>
        <w:spacing w:after="0" w:line="23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p>
    <w:p>
      <w:pPr>
        <w:spacing w:after="0" w:line="189"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2"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3" w:name="page44"/>
    <w:bookmarkEnd w:id="43"/>
    <w:p>
      <w:pPr>
        <w:jc w:val="both"/>
        <w:ind w:right="800"/>
        <w:spacing w:after="0" w:line="305" w:lineRule="auto"/>
        <w:rPr>
          <w:sz w:val="20"/>
          <w:szCs w:val="20"/>
          <w:color w:val="auto"/>
        </w:rPr>
      </w:pPr>
      <w:r>
        <w:rPr>
          <w:rFonts w:ascii="Arial" w:cs="Arial" w:eastAsia="Arial" w:hAnsi="Arial"/>
          <w:sz w:val="15"/>
          <w:szCs w:val="15"/>
          <w:color w:val="auto"/>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U.S. environmental, health and safety laws and regulations</w:t>
      </w:r>
    </w:p>
    <w:p>
      <w:pPr>
        <w:spacing w:after="0" w:line="235"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6" w:lineRule="exact"/>
        <w:rPr>
          <w:sz w:val="20"/>
          <w:szCs w:val="20"/>
          <w:color w:val="auto"/>
        </w:rPr>
      </w:pPr>
    </w:p>
    <w:p>
      <w:pPr>
        <w:jc w:val="both"/>
        <w:ind w:right="520"/>
        <w:spacing w:after="0" w:line="369" w:lineRule="auto"/>
        <w:rPr>
          <w:sz w:val="20"/>
          <w:szCs w:val="20"/>
          <w:color w:val="auto"/>
        </w:rPr>
      </w:pPr>
      <w:r>
        <w:rPr>
          <w:rFonts w:ascii="Arial" w:cs="Arial" w:eastAsia="Arial" w:hAnsi="Arial"/>
          <w:sz w:val="14"/>
          <w:szCs w:val="14"/>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26"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regulation of drugs outside of the United States</w:t>
      </w:r>
    </w:p>
    <w:p>
      <w:pPr>
        <w:spacing w:after="0" w:line="23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To market any product outside of the United States,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approval</w:t>
      </w: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April 2014, the EU adopted the new Clinical Trials Regulation, (EU) No 536/2014 (Clinical Trials Regulation) which replaced the current Clinical Trials Directive 2001/20/EC on January 31, 2022. The Clinical Trials Regulation is directly applicable in all the EU Member States (meaning no national implementing legislation is required). The Clinical Trials Regulation aims to simplify and streamline the approval of clinical trials in the EU. The main characteristics of the Clinical Trials Regulation include: a streamlined application procedure via a single-entry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are defined by the Clinical Trials Regulation.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Drug Review and Approval</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In the EU, medicinal products must be authorized for marketing by using either the centralized authorization procedure or national authorization procedures.</w:t>
      </w:r>
    </w:p>
    <w:p>
      <w:pPr>
        <w:spacing w:after="0" w:line="235" w:lineRule="exact"/>
        <w:rPr>
          <w:sz w:val="20"/>
          <w:szCs w:val="20"/>
          <w:color w:val="auto"/>
        </w:rPr>
      </w:pPr>
    </w:p>
    <w:p>
      <w:pPr>
        <w:ind w:left="1020" w:right="100" w:hanging="503"/>
        <w:spacing w:after="0" w:line="289" w:lineRule="auto"/>
        <w:tabs>
          <w:tab w:leader="none" w:pos="1020" w:val="left"/>
        </w:tabs>
        <w:numPr>
          <w:ilvl w:val="0"/>
          <w:numId w:val="24"/>
        </w:numPr>
        <w:rPr>
          <w:rFonts w:ascii="Arial" w:cs="Arial" w:eastAsia="Arial" w:hAnsi="Arial"/>
          <w:sz w:val="15"/>
          <w:szCs w:val="15"/>
          <w:color w:val="auto"/>
        </w:rPr>
      </w:pPr>
      <w:r>
        <w:rPr>
          <w:rFonts w:ascii="Arial" w:cs="Arial" w:eastAsia="Arial" w:hAnsi="Arial"/>
          <w:sz w:val="15"/>
          <w:szCs w:val="15"/>
          <w:i w:val="1"/>
          <w:iCs w:val="1"/>
          <w:color w:val="auto"/>
        </w:rPr>
        <w:t>Centralized authorization procedure</w:t>
      </w:r>
      <w:r>
        <w:rPr>
          <w:rFonts w:ascii="Arial" w:cs="Arial" w:eastAsia="Arial" w:hAnsi="Arial"/>
          <w:sz w:val="15"/>
          <w:szCs w:val="15"/>
          <w:color w:val="auto"/>
        </w:rPr>
        <w:t>—If pursuing marketing authorization of a product candidate for a therapeutic indication under the centralized</w:t>
      </w:r>
      <w:r>
        <w:rPr>
          <w:rFonts w:ascii="Arial" w:cs="Arial" w:eastAsia="Arial" w:hAnsi="Arial"/>
          <w:sz w:val="15"/>
          <w:szCs w:val="15"/>
          <w:i w:val="1"/>
          <w:iCs w:val="1"/>
          <w:color w:val="auto"/>
        </w:rPr>
        <w:t xml:space="preserve"> </w:t>
      </w:r>
      <w:r>
        <w:rPr>
          <w:rFonts w:ascii="Arial" w:cs="Arial" w:eastAsia="Arial" w:hAnsi="Arial"/>
          <w:sz w:val="15"/>
          <w:szCs w:val="15"/>
          <w:color w:val="auto"/>
        </w:rPr>
        <w:t>procedure, following the opining of the EMA’s Committee for Medicinal Products for Human Use, or, CHMP, the European Commission issues a single marketing authorization valid across the EU and in the additional Member States of the European Economic Area (Iceland, Liechtenstein and Norway). The centralized procedure is compulsory for human medicines derived from biotechnology processes, advanced therapy medicinal products (i.e. gene therapy, somatic cell therapy and tissue engineered products), products that contain a new active substance indicated for the treatment of certain diseases, such as HIV/AIDS, cancer, neurodegenerative disorders, diabetes, autoimmune diseases and other immune dysfunctions and viral diseases, and products designated as orphan medicines. For medicines that do not fall within these categories, an applicant has the option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4" w:name="page45"/>
    <w:bookmarkEnd w:id="44"/>
    <w:p>
      <w:pPr>
        <w:ind w:left="1020"/>
        <w:spacing w:after="0" w:line="267" w:lineRule="auto"/>
        <w:rPr>
          <w:sz w:val="20"/>
          <w:szCs w:val="20"/>
          <w:color w:val="auto"/>
        </w:rPr>
      </w:pPr>
      <w:r>
        <w:rPr>
          <w:rFonts w:ascii="Arial" w:cs="Arial" w:eastAsia="Arial" w:hAnsi="Arial"/>
          <w:sz w:val="16"/>
          <w:szCs w:val="16"/>
          <w:color w:val="auto"/>
        </w:rPr>
        <w:t>of submitting an application for a centralized marketing authorization to the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can revert to the standard time limit for the centralized procedure if it considers that it is no longer appropriate to conduct an accelerated assessment.</w:t>
      </w:r>
    </w:p>
    <w:p>
      <w:pPr>
        <w:spacing w:after="0" w:line="194" w:lineRule="exact"/>
        <w:rPr>
          <w:sz w:val="20"/>
          <w:szCs w:val="20"/>
          <w:color w:val="auto"/>
        </w:rPr>
      </w:pPr>
    </w:p>
    <w:p>
      <w:pPr>
        <w:ind w:left="1020" w:right="40" w:hanging="503"/>
        <w:spacing w:after="0" w:line="293"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National authorization procedures</w:t>
      </w:r>
      <w:r>
        <w:rPr>
          <w:rFonts w:ascii="Arial" w:cs="Arial" w:eastAsia="Arial" w:hAnsi="Arial"/>
          <w:sz w:val="16"/>
          <w:szCs w:val="16"/>
          <w:color w:val="auto"/>
        </w:rPr>
        <w:t>—There are also two other possible routes to authorize products for therapeutic indications in several countries,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products that fall outside the scope of the centralized procedure:</w:t>
      </w:r>
    </w:p>
    <w:p>
      <w:pPr>
        <w:spacing w:after="0" w:line="171" w:lineRule="exact"/>
        <w:rPr>
          <w:rFonts w:ascii="Arial" w:cs="Arial" w:eastAsia="Arial" w:hAnsi="Arial"/>
          <w:sz w:val="16"/>
          <w:szCs w:val="16"/>
          <w:color w:val="auto"/>
        </w:rPr>
      </w:pPr>
    </w:p>
    <w:p>
      <w:pPr>
        <w:jc w:val="both"/>
        <w:ind w:left="1020" w:right="500" w:hanging="503"/>
        <w:spacing w:after="0" w:line="369" w:lineRule="auto"/>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Decentralized procedure</w:t>
      </w:r>
      <w:r>
        <w:rPr>
          <w:rFonts w:ascii="Arial" w:cs="Arial" w:eastAsia="Arial" w:hAnsi="Arial"/>
          <w:sz w:val="14"/>
          <w:szCs w:val="14"/>
          <w:color w:val="auto"/>
        </w:rPr>
        <w:t>—Using the decentralized procedure, an applicant may apply for simultaneous authorization in more than one EU country of</w:t>
      </w:r>
      <w:r>
        <w:rPr>
          <w:rFonts w:ascii="Arial" w:cs="Arial" w:eastAsia="Arial" w:hAnsi="Arial"/>
          <w:sz w:val="14"/>
          <w:szCs w:val="14"/>
          <w:i w:val="1"/>
          <w:iCs w:val="1"/>
          <w:color w:val="auto"/>
        </w:rPr>
        <w:t xml:space="preserve"> </w:t>
      </w:r>
      <w:r>
        <w:rPr>
          <w:rFonts w:ascii="Arial" w:cs="Arial" w:eastAsia="Arial" w:hAnsi="Arial"/>
          <w:sz w:val="14"/>
          <w:szCs w:val="14"/>
          <w:color w:val="auto"/>
        </w:rPr>
        <w:t>medicinal products that have not yet been authorized in any EU country and that do not fall within the mandatory scope of the centralized procedure.</w:t>
      </w:r>
    </w:p>
    <w:p>
      <w:pPr>
        <w:spacing w:after="0" w:line="125" w:lineRule="exact"/>
        <w:rPr>
          <w:rFonts w:ascii="Arial" w:cs="Arial" w:eastAsia="Arial" w:hAnsi="Arial"/>
          <w:sz w:val="14"/>
          <w:szCs w:val="14"/>
          <w:color w:val="auto"/>
        </w:rPr>
      </w:pPr>
    </w:p>
    <w:p>
      <w:pPr>
        <w:ind w:left="1020" w:right="40" w:hanging="503"/>
        <w:spacing w:after="0" w:line="278"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Mutual recognition procedure</w:t>
      </w:r>
      <w:r>
        <w:rPr>
          <w:rFonts w:ascii="Arial" w:cs="Arial" w:eastAsia="Arial" w:hAnsi="Arial"/>
          <w:sz w:val="16"/>
          <w:szCs w:val="16"/>
          <w:color w:val="auto"/>
        </w:rPr>
        <w:t>—In the mutual recognition procedure, a medicine is first authorized in one EU Member State, in accordance with the 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of that country. Following this, additional marketing authorizations can be sought from other EU countries in a procedure whereby the countries concerned recognize the validity of the original, national marketing authorization.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Periods of authorization and renewals</w:t>
      </w:r>
    </w:p>
    <w:p>
      <w:pPr>
        <w:spacing w:after="0" w:line="23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proceed with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Drug and market exclusivity</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the EU, innovative products for therapeutic indications that are authorized for marketing (i.e., reference products) qualify for eight years of data exclusivity and an additional two years of market exclusivity upon marketing authorization. The data exclusivity period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Pediatric studies and exclusivity</w:t>
      </w:r>
    </w:p>
    <w:p>
      <w:pPr>
        <w:spacing w:after="0" w:line="235"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5" w:name="page46"/>
    <w:bookmarkEnd w:id="45"/>
    <w:p>
      <w:pPr>
        <w:ind w:right="80"/>
        <w:spacing w:after="0" w:line="286" w:lineRule="auto"/>
        <w:rPr>
          <w:sz w:val="20"/>
          <w:szCs w:val="20"/>
          <w:color w:val="auto"/>
        </w:rPr>
      </w:pPr>
      <w:r>
        <w:rPr>
          <w:rFonts w:ascii="Arial" w:cs="Arial" w:eastAsia="Arial" w:hAnsi="Arial"/>
          <w:sz w:val="15"/>
          <w:szCs w:val="15"/>
          <w:color w:val="auto"/>
        </w:rPr>
        <w:t>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 provided an application for such extension is made at the same time as filing the SPC application for the product, or at any point up to two years before the SPC expires, even where the trial results are negative.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Orphan drug designation and exclusivity</w:t>
      </w:r>
    </w:p>
    <w:p>
      <w:pPr>
        <w:spacing w:after="0" w:line="235"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criteria for designating an “orphan medicinal product” in the EU are similar in principle to those in the United States. In the EU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for pediatric studies.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Similar to the United States, the various phases of non-clinical and clinical research in the EU are subject to significant regulatory controls.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Regulatory requirements after a marketing authorization has been obtained</w:t>
      </w:r>
    </w:p>
    <w:p>
      <w:pPr>
        <w:spacing w:after="0" w:line="235" w:lineRule="exact"/>
        <w:rPr>
          <w:sz w:val="20"/>
          <w:szCs w:val="20"/>
          <w:color w:val="auto"/>
        </w:rPr>
      </w:pPr>
    </w:p>
    <w:p>
      <w:pPr>
        <w:ind w:right="640"/>
        <w:spacing w:after="0" w:line="293" w:lineRule="auto"/>
        <w:rPr>
          <w:sz w:val="20"/>
          <w:szCs w:val="20"/>
          <w:color w:val="auto"/>
        </w:rPr>
      </w:pPr>
      <w:r>
        <w:rPr>
          <w:rFonts w:ascii="Arial" w:cs="Arial" w:eastAsia="Arial" w:hAnsi="Arial"/>
          <w:sz w:val="16"/>
          <w:szCs w:val="16"/>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172" w:lineRule="exact"/>
        <w:rPr>
          <w:sz w:val="20"/>
          <w:szCs w:val="20"/>
          <w:color w:val="auto"/>
        </w:rPr>
      </w:pPr>
    </w:p>
    <w:p>
      <w:pPr>
        <w:ind w:left="1020" w:right="340" w:hanging="503"/>
        <w:spacing w:after="0" w:line="293"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Compliance with the EU’s stringent pharmacovigilance or safety reporting rules must be ensured. These rules can impose post-authorization studies and additional monitoring obligations.</w:t>
      </w:r>
    </w:p>
    <w:p>
      <w:pPr>
        <w:spacing w:after="0" w:line="171" w:lineRule="exact"/>
        <w:rPr>
          <w:rFonts w:ascii="Arial" w:cs="Arial" w:eastAsia="Arial" w:hAnsi="Arial"/>
          <w:sz w:val="16"/>
          <w:szCs w:val="16"/>
          <w:color w:val="auto"/>
        </w:rPr>
      </w:pPr>
    </w:p>
    <w:p>
      <w:pPr>
        <w:ind w:left="1020" w:right="40" w:hanging="503"/>
        <w:spacing w:after="0" w:line="271"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189" w:lineRule="exact"/>
        <w:rPr>
          <w:rFonts w:ascii="Arial" w:cs="Arial" w:eastAsia="Arial" w:hAnsi="Arial"/>
          <w:sz w:val="16"/>
          <w:szCs w:val="16"/>
          <w:color w:val="auto"/>
        </w:rPr>
      </w:pPr>
    </w:p>
    <w:p>
      <w:pPr>
        <w:ind w:left="1020" w:right="80" w:hanging="503"/>
        <w:spacing w:after="0" w:line="278"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6" w:name="page47"/>
    <w:bookmarkEnd w:id="46"/>
    <w:p>
      <w:pPr>
        <w:ind w:right="160"/>
        <w:spacing w:after="0" w:line="293" w:lineRule="auto"/>
        <w:rPr>
          <w:sz w:val="20"/>
          <w:szCs w:val="20"/>
          <w:color w:val="auto"/>
        </w:rPr>
      </w:pPr>
      <w:r>
        <w:rPr>
          <w:rFonts w:ascii="Arial" w:cs="Arial" w:eastAsia="Arial" w:hAnsi="Arial"/>
          <w:sz w:val="16"/>
          <w:szCs w:val="16"/>
          <w:color w:val="auto"/>
        </w:rPr>
        <w:t>The aforementioned EU rules are generally applicable in the European Economic Area, or EEA, which consists of the EU Member States, plus Norway, Liechtenstein and Iceland.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Brexit and the regulatory framework in the United Kingdom</w:t>
      </w: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On June 23, 2016, the electorate in the United Kingdom, or UK, voted in favor of leaving the EU, commonly referred to as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with EU regulations, however, it is possible that these regimes will diverge in the future now that Great Britain’s regulatory system is independent from the EU and the TCA does not provide for mutual recognition of UK and EU pharmaceutical legislation.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regulation of the processing of personal data collected outside of the United States</w:t>
      </w:r>
    </w:p>
    <w:p>
      <w:pPr>
        <w:spacing w:after="0" w:line="235" w:lineRule="exact"/>
        <w:rPr>
          <w:sz w:val="20"/>
          <w:szCs w:val="20"/>
          <w:color w:val="auto"/>
        </w:rPr>
      </w:pPr>
    </w:p>
    <w:p>
      <w:pPr>
        <w:ind w:right="20"/>
        <w:spacing w:after="0" w:line="302" w:lineRule="auto"/>
        <w:rPr>
          <w:sz w:val="20"/>
          <w:szCs w:val="20"/>
          <w:color w:val="auto"/>
        </w:rPr>
      </w:pPr>
      <w:r>
        <w:rPr>
          <w:rFonts w:ascii="Arial" w:cs="Arial" w:eastAsia="Arial" w:hAnsi="Arial"/>
          <w:sz w:val="14"/>
          <w:szCs w:val="14"/>
          <w:color w:val="auto"/>
        </w:rPr>
        <w:t>In the event we conduct clinical trials in the EEA and UK, we will be subject to additional data protection restrictions. The collection and use of personal data in the EEA, is governed by the General Data Protection Regulation, or the GDPR, which became effective on May 25, 2018. The GDPR applies to the processing of personal data of data subjects in the EEA by any company established in the EEA and to companies established outside the EEA to the extent they process personal data in connection with the offering of goods or services to data subjects in the EEA or the monitoring of the behavior of data subjects in the EEA. The GDPR sets forth data protection obligations for data controllers of personal data, including stringent requirements relating to notifying data subjects about how their personal data are being handled and how they can exercise their data protection rights, ensuring there is a valid legal basis to process personal data (if this is consent, the requirements for obtaining consent carry a higher threshold), requirements to conduct privacy impact assessments for certain “high risk” processing, requirements to appoint a data protection officer where sensitive personal data are processed on a “large scale,” limitations on retention of personal data, mandatory data breach notification in certain circumstances, requirements to</w:t>
      </w:r>
    </w:p>
    <w:p>
      <w:pPr>
        <w:spacing w:after="0" w:line="3" w:lineRule="exact"/>
        <w:rPr>
          <w:sz w:val="20"/>
          <w:szCs w:val="20"/>
          <w:color w:val="auto"/>
        </w:rPr>
      </w:pPr>
    </w:p>
    <w:p>
      <w:pPr>
        <w:ind w:firstLine="40"/>
        <w:spacing w:after="0" w:line="288" w:lineRule="auto"/>
        <w:rPr>
          <w:sz w:val="20"/>
          <w:szCs w:val="20"/>
          <w:color w:val="auto"/>
        </w:rPr>
      </w:pPr>
      <w:r>
        <w:rPr>
          <w:rFonts w:ascii="Arial" w:cs="Arial" w:eastAsia="Arial" w:hAnsi="Arial"/>
          <w:sz w:val="16"/>
          <w:szCs w:val="16"/>
          <w:color w:val="auto"/>
        </w:rPr>
        <w:t>ensure appropriate technical measures are in place to safeguard personal data, and “privacy by design” requirements, and also creates direct obligations on service providers acting as data processors.</w:t>
      </w:r>
    </w:p>
    <w:p>
      <w:pPr>
        <w:spacing w:after="0" w:line="176"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The GDPR also imposes strict rules on the transfer of personal data outside of the EEA to countries that do not ensure an adequate level of protection. Failure to comply with the requirements of the GDPR and the related national data protection laws of the EEA, which may deviate slightly from the GDPR, may result in fines of up to 4% of a company’s global revenues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to ensure compliance with the new data protection rules. 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forth the UK’s data protection regime, which is independent from but aligned to the EU’s GDPR.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Resources</w:t>
      </w:r>
    </w:p>
    <w:p>
      <w:pPr>
        <w:spacing w:after="0" w:line="23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As of December 31, 2022, we had 327 full-time employees. 139 of our employees have M.D. or Ph.D. degrees. Within our workforce, 235 employees are engaged in research and development and 92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84"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We believe that our people are among our greatest assets and that a diverse and inclusive organization is more innovative and higher performing. We are committed to increasing representation of under-represented populations at our company, particularly in leadership roles. As of December 31, 2022, among our employees, 46% were female and 54% were male. Among our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7" w:name="page48"/>
    <w:bookmarkEnd w:id="47"/>
    <w:p>
      <w:pPr>
        <w:ind w:right="80"/>
        <w:spacing w:after="0" w:line="278" w:lineRule="auto"/>
        <w:rPr>
          <w:sz w:val="20"/>
          <w:szCs w:val="20"/>
          <w:color w:val="auto"/>
        </w:rPr>
      </w:pPr>
      <w:r>
        <w:rPr>
          <w:rFonts w:ascii="Arial" w:cs="Arial" w:eastAsia="Arial" w:hAnsi="Arial"/>
          <w:sz w:val="16"/>
          <w:szCs w:val="16"/>
          <w:color w:val="auto"/>
        </w:rPr>
        <w:t>leadership (which we define as employees at the vice president level and above), approximately 28% were female. As of December 31, 2022, 32% of our employees and 22% of our leadership identify as being from diverse racial and ethnic groups. On our Board of Directors, five of our eight directors are women and/or from a diverse racial and ethnic group.</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As part of our efforts to create a diverse and equitable workplace, our Diversity, Equity, Belonging and Inclusion Council, which is made up of a mix of employees from various functions and positions, provides strategic guidance, senior leader support and an operating budget to fund initiatives related to diversity, equity, belonging and inclusion. In 2022, we deepened our commitment to diversity, equity, belonging and inclusion by delivering programming focused on fostering psychological safety, so that all employees can voice their best ideas, take risks, and learn openly from mistakes. We also honored black history and celebrated Asian American and Pacific Islander heritage by hosting external speakers and leading internal employee-led discussions.</w:t>
      </w:r>
    </w:p>
    <w:p>
      <w:pPr>
        <w:spacing w:after="0" w:line="190"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We have two employee resource groups, which are led by our employees and focus on a specific community. Both organizations work in parallel to make our company the most inclusive organization possible, and to give back to the communities in and surrounding Cambridge, Massachusetts, where our primary office and laboratory space is located.</w:t>
      </w:r>
    </w:p>
    <w:p>
      <w:pPr>
        <w:spacing w:after="0" w:line="18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As our workforce grows, we’re not only focused on recruiting top talent from a diverse range of backgrounds, industries and experiences, but also focused on retaining, developing and promoting our current employees. While the competition for talent remains strong as the number of biotechnology and pharmaceutical companies in the Cambridge area increases, we believe we can attract and retain the talent we need to be successful. We maintain a robust onboarding program to ensure all new hires are grounded in our business and culture and we conduct periodic talent reviews to identify high performing and high potential talent within the organization. This data is used to inform specific development opportunities for current and future leaders, create custom leadership training, drive meaningful development conversations and enable succession planning for key roles. Additionally, all employees have access to a dedicated career coach to help foster continuous growth. As of December 31, 2022, our company turnover rate is lower than the industry average.</w:t>
      </w:r>
    </w:p>
    <w:p>
      <w:pPr>
        <w:spacing w:after="0" w:line="190" w:lineRule="exact"/>
        <w:rPr>
          <w:sz w:val="20"/>
          <w:szCs w:val="20"/>
          <w:color w:val="auto"/>
        </w:rPr>
      </w:pPr>
    </w:p>
    <w:p>
      <w:pPr>
        <w:ind w:right="380"/>
        <w:spacing w:after="0" w:line="273" w:lineRule="auto"/>
        <w:rPr>
          <w:sz w:val="20"/>
          <w:szCs w:val="20"/>
          <w:color w:val="auto"/>
        </w:rPr>
      </w:pPr>
      <w:r>
        <w:rPr>
          <w:rFonts w:ascii="Arial" w:cs="Arial" w:eastAsia="Arial" w:hAnsi="Arial"/>
          <w:sz w:val="16"/>
          <w:szCs w:val="16"/>
          <w:color w:val="auto"/>
        </w:rPr>
        <w:t>We regularly host company-wide sessions (virtual and onsite) where our employees brainstorm ideas, provide feedback on corporate initiatives, share scientific breakthroughs and recognize each other’s contributions and accomplishments. In 2022, we shifted our annual survey of employees to quarterly pulse checks to create a feedback-to-action loop, respond in a more timely fashion, celebrate team milestones and continue to leverage our strengths. These quarterly surveys help us measure employee engagement and inform future talent initiatives.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People are our most valuable resource and we are committed to protecting the health and safety of our workforce. Although we continue to monitor the ongoing COVID-19 pandemic, with the easing of travel and other restrictions, we believe that our operations have largely resumed pre-pandemic norms. We continue to enable our workforce to work remotely and maintain a flexible schedule wherever possible. We regularly update our safety protocols, taking into consideration national and local public health guidelines and input from our employees.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3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were incorporated under the laws of the State of Delaware on May 4, 2015 under the name Allostery, Inc. In December 2015, we changed our name to Relay Therapeutics, Inc. Our principal corporate office is located at 399 Binney Street, 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Floor, Cambridge, MA 02139, and our telephone number is (617) 370-8837. Our website address is www.relaytx.com. Our website and the information contained on, or that can be accessed through, the website will not be deemed to be incorporated by reference in, and are not considered part of, this Annual Report on Form 10-K.</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website address is www.relaytx.com.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&amp; Media” portion of our website free of charge as soon as reasonably practicable after we electronically file such material with, or furnish it to, the SEC. Information on our website is not part of this Annual Report on Form 10-K or any of our other filings with the SEC unless specifically incorporated herein or therein by reference. In addition, our filings with the SEC may be accessed through the SEC’s Interactive Data Electronic Applications system at www.sec.gov. All statements made in any of our filings with the SEC or documents available on our website,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92"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Our code of conduct, corporate governance guidelines and the charters of our Audit Committee, Research and Development Committee, Compensation Committee and Nominating and Corporate Governance Committee are available through the “Investors &amp; Media” portion of our website.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Item 1A. Risk Factors.</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before deciding whether to invest in our common stock. We believe the risks described below include risks that are material to us as well as other risks that may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materially harm our business, financial condition, results of operations and growth prospects and could result in a complete loss of your investment. Consequently, you should not consider the following to be a complete discussion of all potential risks or uncertainties.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Product Candidates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Clinical Development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never successfully completed any clinical trials, and we may be unable to do so for any product candidates we develop.</w:t>
      </w:r>
    </w:p>
    <w:p>
      <w:pPr>
        <w:spacing w:after="0" w:line="235"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We have not yet demonstrated our ability to successfully complete any clinical trials, including large-scale, pivotal clinical trials, obtain regulatory approvals, manufacture a commercial scale product, or arrange for a third party to do so on our behalf, or conduct sales and marketing activities necessary for successful commercialization. We have three product candidates, RLY-4008, RLY-2608 and GDC-1971 (formerly known as RLY-1971), in clinical development. We may not be able to file INDs for any of our other product candidates on the timelines we expect, if at all. For example, we may experience manufacturing delays or delays with IND-enabling studies. Moreover, we cannot be sure that once we have submitted an IND, the FDA will allow further clinical trials to begin, or that, once begun, issues will not arise that require us to suspend or terminate clinical trials. The FDA or other regulatory authorities may impose a clinical hold before or after a trial begins for a number of reasons outlined in FDA regulations, including if the FDA believes the study drug raises a significant risk of illness or injury. If the FDA imposes a clinical hold, trials may not commence or recommence without FDA authorization and then only under terms authorized by the FDA. Accordingly, the submission of an IND does not mean the FDA will allow clinical trials to begin and, if and when clinical trials do commence under an active IND, issues may arise that require suspension or termination of such trials. Further, commencing each of these clinical trials is subject to finalizing the trial design based on discussions with the FDA and other regulatory authorities. Any guidance we receive from the FDA or other regulatory authorities is subject to change. Regulatory authorities could change their position, including, on the acceptability of our trial designs or the clinical endpoints selected, which may require us to complete additional clinical trials or impose stricter approval conditions than we currently expect. Successful completion of our clinical trials is a prerequisite to submitting a new drug application, or NDA, to the FDA and a Marketing Authorization Application, or MAA, to the EMA for each product candidate and, consequently, the ultimate approval and commercial marketing of each product candidate. Our RLY-4008 and RLY-2608 first-in-human clinical trials are ongoing, but we do not know whether any of our future clinical trials will begin on time or be completed on schedule, if at all.</w:t>
      </w:r>
    </w:p>
    <w:p>
      <w:pPr>
        <w:spacing w:after="0" w:line="18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4"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product candidates;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 obtain marketing approval at all;</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be subject to post-marketing requirements; or</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have the product removed from the market after obtaining marketing approval.</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product development involves a lengthy and expensive process, with an uncertain outcome.</w:t>
      </w:r>
    </w:p>
    <w:p>
      <w:pPr>
        <w:spacing w:after="0" w:line="235" w:lineRule="exact"/>
        <w:rPr>
          <w:sz w:val="20"/>
          <w:szCs w:val="20"/>
          <w:color w:val="auto"/>
        </w:rPr>
      </w:pPr>
    </w:p>
    <w:p>
      <w:pPr>
        <w:jc w:val="both"/>
        <w:ind w:right="140"/>
        <w:spacing w:after="0" w:line="335" w:lineRule="auto"/>
        <w:rPr>
          <w:sz w:val="20"/>
          <w:szCs w:val="20"/>
          <w:color w:val="auto"/>
        </w:rPr>
      </w:pPr>
      <w:r>
        <w:rPr>
          <w:rFonts w:ascii="Arial" w:cs="Arial" w:eastAsia="Arial" w:hAnsi="Arial"/>
          <w:sz w:val="14"/>
          <w:szCs w:val="14"/>
          <w:color w:val="auto"/>
        </w:rPr>
        <w:t>It is impossible to predict when or if any of our product candidates will prove effective and safe in humans or will receive regulatory approval. Before obtaining marketing approval from regulatory authorities for the sale of any product candidate, we must complete preclinical studies and then conduct the required clinical trials to demonstrate the safety and efficacy of our product candidates in humans. Clinical testing is expensive, difficult to design and implement, can take many years to complete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49" w:name="page50"/>
    <w:bookmarkEnd w:id="49"/>
    <w:p>
      <w:pPr>
        <w:ind w:right="240"/>
        <w:spacing w:after="0" w:line="271" w:lineRule="auto"/>
        <w:rPr>
          <w:sz w:val="20"/>
          <w:szCs w:val="20"/>
          <w:color w:val="auto"/>
        </w:rPr>
      </w:pPr>
      <w:r>
        <w:rPr>
          <w:rFonts w:ascii="Arial" w:cs="Arial" w:eastAsia="Arial" w:hAnsi="Arial"/>
          <w:sz w:val="16"/>
          <w:szCs w:val="16"/>
          <w:color w:val="auto"/>
        </w:rPr>
        <w:t>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and other nonclinical studies and clinical trials have nonetheless failed to obtain marketing approval of their product candidates. Our preclinical and other nonclinical studies and future clinical trials may not be successful.</w:t>
      </w:r>
    </w:p>
    <w:p>
      <w:pPr>
        <w:spacing w:after="0" w:line="19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From time to time, we may publish interim, top-line or preliminary data from our clinical trials. Interim data from clinical trials are subject to the risk that one or more of the clinical outcomes may materially change as more participants enroll and as data mature. Preliminary or top-line data also remain subject to cleaning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90" w:lineRule="exact"/>
        <w:rPr>
          <w:sz w:val="20"/>
          <w:szCs w:val="20"/>
          <w:color w:val="auto"/>
        </w:rPr>
      </w:pPr>
    </w:p>
    <w:p>
      <w:pPr>
        <w:ind w:right="700"/>
        <w:spacing w:after="0" w:line="293" w:lineRule="auto"/>
        <w:rPr>
          <w:sz w:val="20"/>
          <w:szCs w:val="20"/>
          <w:color w:val="auto"/>
        </w:rPr>
      </w:pPr>
      <w:r>
        <w:rPr>
          <w:rFonts w:ascii="Arial" w:cs="Arial" w:eastAsia="Arial" w:hAnsi="Arial"/>
          <w:sz w:val="16"/>
          <w:szCs w:val="16"/>
          <w:b w:val="1"/>
          <w:bCs w:val="1"/>
          <w:i w:val="1"/>
          <w:iCs w:val="1"/>
          <w:color w:val="auto"/>
        </w:rPr>
        <w:t>We may incur additional costs or experience delays in completing, or ultimately be unable to complete, the development and commercialization of our product candidates.</w:t>
      </w:r>
    </w:p>
    <w:p>
      <w:pPr>
        <w:spacing w:after="0" w:line="17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product candidates, including:</w:t>
      </w:r>
    </w:p>
    <w:p>
      <w:pPr>
        <w:spacing w:after="0" w:line="184" w:lineRule="exact"/>
        <w:rPr>
          <w:sz w:val="20"/>
          <w:szCs w:val="20"/>
          <w:color w:val="auto"/>
        </w:rPr>
      </w:pPr>
    </w:p>
    <w:p>
      <w:pPr>
        <w:ind w:left="1020" w:right="220" w:hanging="503"/>
        <w:spacing w:after="0" w:line="293"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regulators or institutional review boards, or IRBs, or ethics committees may not authorize us or our investigators to commence a clinical trial or conduct a clinical trial at a prospective trial site;</w:t>
      </w:r>
    </w:p>
    <w:p>
      <w:pPr>
        <w:spacing w:after="0" w:line="171" w:lineRule="exact"/>
        <w:rPr>
          <w:rFonts w:ascii="Arial" w:cs="Arial" w:eastAsia="Arial" w:hAnsi="Arial"/>
          <w:sz w:val="16"/>
          <w:szCs w:val="16"/>
          <w:color w:val="auto"/>
        </w:rPr>
      </w:pPr>
    </w:p>
    <w:p>
      <w:pPr>
        <w:ind w:left="1020" w:right="600" w:hanging="503"/>
        <w:spacing w:after="0" w:line="369" w:lineRule="auto"/>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25" w:lineRule="exact"/>
        <w:rPr>
          <w:rFonts w:ascii="Arial" w:cs="Arial" w:eastAsia="Arial" w:hAnsi="Arial"/>
          <w:sz w:val="14"/>
          <w:szCs w:val="14"/>
          <w:color w:val="auto"/>
        </w:rPr>
      </w:pPr>
    </w:p>
    <w:p>
      <w:pPr>
        <w:ind w:left="1020" w:hanging="503"/>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existing clinical trial sites may drop out of the clinical trial, which may require that we add new clinical trial sites or investigators;</w:t>
      </w:r>
    </w:p>
    <w:p>
      <w:pPr>
        <w:spacing w:after="0" w:line="234" w:lineRule="exact"/>
        <w:rPr>
          <w:rFonts w:ascii="Arial" w:cs="Arial" w:eastAsia="Arial" w:hAnsi="Arial"/>
          <w:sz w:val="16"/>
          <w:szCs w:val="16"/>
          <w:color w:val="auto"/>
        </w:rPr>
      </w:pPr>
    </w:p>
    <w:p>
      <w:pPr>
        <w:ind w:left="1020" w:hanging="503"/>
        <w:spacing w:after="0" w:line="293"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and we may decide, or regulators may require us, to conduct additional nonclinical studies or clinical trials or we may decide to abandon product development programs;</w:t>
      </w:r>
    </w:p>
    <w:p>
      <w:pPr>
        <w:spacing w:after="0" w:line="171" w:lineRule="exact"/>
        <w:rPr>
          <w:rFonts w:ascii="Arial" w:cs="Arial" w:eastAsia="Arial" w:hAnsi="Arial"/>
          <w:sz w:val="16"/>
          <w:szCs w:val="16"/>
          <w:color w:val="auto"/>
        </w:rPr>
      </w:pPr>
    </w:p>
    <w:p>
      <w:pPr>
        <w:ind w:left="1020" w:right="20" w:hanging="503"/>
        <w:spacing w:after="0" w:line="369" w:lineRule="auto"/>
        <w:tabs>
          <w:tab w:leader="none" w:pos="10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25" w:lineRule="exact"/>
        <w:rPr>
          <w:rFonts w:ascii="Arial" w:cs="Arial" w:eastAsia="Arial" w:hAnsi="Arial"/>
          <w:sz w:val="14"/>
          <w:szCs w:val="14"/>
          <w:color w:val="auto"/>
        </w:rPr>
      </w:pPr>
    </w:p>
    <w:p>
      <w:pPr>
        <w:ind w:left="1020" w:right="200" w:hanging="503"/>
        <w:spacing w:after="0" w:line="293"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third-party contractors may fail to comply with regulatory requirements or meet their contractual obligations to us in a timely manner, or at all, or may deviate from the clinical trial protocol;</w:t>
      </w:r>
    </w:p>
    <w:p>
      <w:pPr>
        <w:spacing w:after="0" w:line="171" w:lineRule="exact"/>
        <w:rPr>
          <w:rFonts w:ascii="Arial" w:cs="Arial" w:eastAsia="Arial" w:hAnsi="Arial"/>
          <w:sz w:val="16"/>
          <w:szCs w:val="16"/>
          <w:color w:val="auto"/>
        </w:rPr>
      </w:pPr>
    </w:p>
    <w:p>
      <w:pPr>
        <w:ind w:left="1020" w:right="20" w:hanging="503"/>
        <w:spacing w:after="0" w:line="328" w:lineRule="auto"/>
        <w:tabs>
          <w:tab w:leader="none" w:pos="10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may elect to, or regulators or IRBs or ethics committees may require us or our investigators to, suspend or terminate clinical research for various reasons, including noncompliance with regulatory requirements or a finding that the participants are being exposed to unacceptable health risks;</w:t>
      </w:r>
    </w:p>
    <w:p>
      <w:pPr>
        <w:spacing w:after="0" w:line="149" w:lineRule="exact"/>
        <w:rPr>
          <w:rFonts w:ascii="Arial" w:cs="Arial" w:eastAsia="Arial" w:hAnsi="Arial"/>
          <w:sz w:val="15"/>
          <w:szCs w:val="15"/>
          <w:color w:val="auto"/>
        </w:rPr>
      </w:pPr>
    </w:p>
    <w:p>
      <w:pPr>
        <w:ind w:left="1020" w:hanging="503"/>
        <w:spacing w:after="0"/>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w:t>
      </w:r>
    </w:p>
    <w:p>
      <w:pPr>
        <w:spacing w:after="0" w:line="234" w:lineRule="exact"/>
        <w:rPr>
          <w:rFonts w:ascii="Arial" w:cs="Arial" w:eastAsia="Arial" w:hAnsi="Arial"/>
          <w:sz w:val="16"/>
          <w:szCs w:val="16"/>
          <w:color w:val="auto"/>
        </w:rPr>
      </w:pPr>
    </w:p>
    <w:p>
      <w:pPr>
        <w:ind w:left="1020" w:right="400" w:hanging="503"/>
        <w:spacing w:after="0" w:line="293"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not be able to adequately project the timing and quantity of our product candidates or other materials necessary to conduct clinical trials of our product candidates or the supply or quality of these materials may be insufficient or inadequate; and</w:t>
      </w:r>
    </w:p>
    <w:p>
      <w:pPr>
        <w:spacing w:after="0" w:line="171" w:lineRule="exact"/>
        <w:rPr>
          <w:rFonts w:ascii="Arial" w:cs="Arial" w:eastAsia="Arial" w:hAnsi="Arial"/>
          <w:sz w:val="16"/>
          <w:szCs w:val="16"/>
          <w:color w:val="auto"/>
        </w:rPr>
      </w:pPr>
    </w:p>
    <w:p>
      <w:pPr>
        <w:jc w:val="both"/>
        <w:ind w:left="1020" w:right="220" w:hanging="503"/>
        <w:spacing w:after="0" w:line="278"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product candidates may have undesirable side effects or other unexpected characteristics, causing us or our investigators, regulators or IRBs or ethics committees to suspend or terminate the clinical trials, or reports may arise from nonclinical studies or clinical testing of other therapies that raise safety or efficacy concerns about our product candidates.</w:t>
      </w:r>
    </w:p>
    <w:p>
      <w:pPr>
        <w:spacing w:after="0" w:line="18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at which such trials are being conducted, by the Data Safety Monitoring Board, or DSMB, for such trial or by the FDA or other regulatory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50" w:name="page51"/>
    <w:bookmarkEnd w:id="50"/>
    <w:p>
      <w:pPr>
        <w:ind w:right="40"/>
        <w:spacing w:after="0" w:line="291" w:lineRule="auto"/>
        <w:rPr>
          <w:sz w:val="20"/>
          <w:szCs w:val="20"/>
          <w:color w:val="auto"/>
        </w:rPr>
      </w:pPr>
      <w:r>
        <w:rPr>
          <w:rFonts w:ascii="Arial" w:cs="Arial" w:eastAsia="Arial" w:hAnsi="Arial"/>
          <w:sz w:val="15"/>
          <w:szCs w:val="15"/>
          <w:color w:val="auto"/>
        </w:rPr>
        <w:t>authorities. Such authorities may impose a suspension or termination or clinical hold due to a number of factors, including failure to conduct the clinical trial in accordance with regulatory requirements or our clinical protocols, inspection of the clinical trial operations or clinical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Our product development costs will also increase if we experience delays in preclinical studies, clinical trials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including those caused by the ongoing COVID-19 pandemic,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Any delays in our preclinical or current or future clinical development programs may harm our business, financial condition and prospects significantly.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25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will be deploying our drug discovery platform across a broad target space, our ability to enroll eligible patients may be limited or may result in slower enrollment than we anticipate.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our ability to enroll patients may be significantly delayed by developments in connection with the ongoing COVID-19 pandemic, including increased severity or additional variant outbreaks thereof, which are highly uncertain, and we cannot predict the extent and scope of such delays at this point.</w:t>
      </w:r>
    </w:p>
    <w:p>
      <w:pPr>
        <w:spacing w:after="0" w:line="190"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In addition to the competitive clinical trial environment, the eligibility criteria of our planned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and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We have engaged and may continue to engage third parties to develop companion diagnostics for use in our clinical trials, but such third parties may not be successful in developing such companion diagnostics, furthering the difficulty in identifying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or otherwise to seek to accelerate clinical development and regulatory timelines. The FDA has indicated that if we continue RLY-4008 and RLY-2608 in a specific biomarker-defined population, a companion diagnostic device will be required to ensure their safe and effective use. Although we have engaged Foundation Medicine, Inc. to develop its FoundationOne®CDx as a companion diagnostic for RLY-4008, if any of our current or future third-party companion diagnostic partners is unable or unwilling to obtain or maintain regulatory approval for a companion diagnostic for any of our product candidates, regulatory approval for such product candidates, if obtained at all, may be delayed.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Clinical trial enrollment may be affected by other factors including:</w:t>
      </w:r>
    </w:p>
    <w:p>
      <w:pPr>
        <w:spacing w:after="0" w:line="235"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severity of the disease under investigation;</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eligibility criteria for the clinical trial in question;</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availability of an appropriate genomic screening test;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51" w:name="page52"/>
    <w:bookmarkEnd w:id="51"/>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availability of approved products that treat the same indications as our product candidates;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patients; and</w:t>
      </w:r>
    </w:p>
    <w:p>
      <w:pPr>
        <w:spacing w:after="0" w:line="234" w:lineRule="exact"/>
        <w:rPr>
          <w:rFonts w:ascii="Arial" w:cs="Arial" w:eastAsia="Arial" w:hAnsi="Arial"/>
          <w:sz w:val="16"/>
          <w:szCs w:val="16"/>
          <w:color w:val="auto"/>
        </w:rPr>
      </w:pPr>
    </w:p>
    <w:p>
      <w:pPr>
        <w:ind w:left="1020" w:right="80" w:hanging="503"/>
        <w:spacing w:after="0" w:line="369" w:lineRule="auto"/>
        <w:tabs>
          <w:tab w:leader="none" w:pos="10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factors we may not be able to control that may limit patients, principal investigators or staff or clinical site availability, such as uncertain geopolitical conditions or current or future pandemics (e.g., complications due to the current conflict between Russia and Ukraine or the ongoing COVID-19 pandemic).</w:t>
      </w:r>
    </w:p>
    <w:p>
      <w:pPr>
        <w:spacing w:after="0" w:line="126" w:lineRule="exact"/>
        <w:rPr>
          <w:sz w:val="20"/>
          <w:szCs w:val="20"/>
          <w:color w:val="auto"/>
        </w:rPr>
      </w:pPr>
    </w:p>
    <w:p>
      <w:pPr>
        <w:ind w:right="300"/>
        <w:spacing w:after="0" w:line="335" w:lineRule="auto"/>
        <w:rPr>
          <w:sz w:val="20"/>
          <w:szCs w:val="20"/>
          <w:color w:val="auto"/>
        </w:rPr>
      </w:pPr>
      <w:r>
        <w:rPr>
          <w:rFonts w:ascii="Arial" w:cs="Arial" w:eastAsia="Arial" w:hAnsi="Arial"/>
          <w:sz w:val="14"/>
          <w:szCs w:val="14"/>
          <w:b w:val="1"/>
          <w:bCs w:val="1"/>
          <w:i w:val="1"/>
          <w:iCs w:val="1"/>
          <w:color w:val="auto"/>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p>
    <w:p>
      <w:pPr>
        <w:spacing w:after="0" w:line="14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Any positive data from our preclinical or early clinical studies of our product candidates may not necessarily be predictive of the results of later clinical studies and any future clinical trials of our product candidates. Similarly, even if we are able to complete our planned preclinical and clinical studies or any future clinical trials of our product candidates according to our current development timeline, the positive data from such preclinical or early clinical studies and clinical trials of our product candidates may not be replicated in subsequent nonclinical studies or clinical trial results.</w:t>
      </w:r>
    </w:p>
    <w:p>
      <w:pPr>
        <w:spacing w:after="0" w:line="189" w:lineRule="exact"/>
        <w:rPr>
          <w:sz w:val="20"/>
          <w:szCs w:val="20"/>
          <w:color w:val="auto"/>
        </w:rPr>
      </w:pPr>
    </w:p>
    <w:p>
      <w:pPr>
        <w:spacing w:after="0" w:line="318" w:lineRule="auto"/>
        <w:rPr>
          <w:sz w:val="20"/>
          <w:szCs w:val="20"/>
          <w:color w:val="auto"/>
        </w:rPr>
      </w:pPr>
      <w:r>
        <w:rPr>
          <w:rFonts w:ascii="Arial" w:cs="Arial" w:eastAsia="Arial" w:hAnsi="Arial"/>
          <w:sz w:val="14"/>
          <w:szCs w:val="14"/>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other nonclinical and clinical data are often susceptible to varying interpretations and analyses and many companies that believed their product candidates performed satisfactorily in preclinical studies and clinical trials nonetheless failed to obtain FDA, EMA or other regulatory authority approval.</w:t>
      </w:r>
    </w:p>
    <w:p>
      <w:pPr>
        <w:spacing w:after="0" w:line="162" w:lineRule="exact"/>
        <w:rPr>
          <w:sz w:val="20"/>
          <w:szCs w:val="20"/>
          <w:color w:val="auto"/>
        </w:rPr>
      </w:pPr>
    </w:p>
    <w:p>
      <w:pPr>
        <w:ind w:right="100"/>
        <w:spacing w:after="0" w:line="328" w:lineRule="auto"/>
        <w:rPr>
          <w:sz w:val="20"/>
          <w:szCs w:val="20"/>
          <w:color w:val="auto"/>
        </w:rPr>
      </w:pPr>
      <w:r>
        <w:rPr>
          <w:rFonts w:ascii="Arial" w:cs="Arial" w:eastAsia="Arial" w:hAnsi="Arial"/>
          <w:sz w:val="15"/>
          <w:szCs w:val="15"/>
          <w:b w:val="1"/>
          <w:bCs w:val="1"/>
          <w:i w:val="1"/>
          <w:iCs w:val="1"/>
          <w:color w:val="auto"/>
        </w:rPr>
        <w:t>Our current or future clinical trials or those of our future collaborators may reveal significant adverse events not seen in our preclinical or other nonclinical studies or early clinical data and may result in a safety profile that would inhibit regulatory approval or market acceptance of any of our product candidates.</w:t>
      </w:r>
    </w:p>
    <w:p>
      <w:pPr>
        <w:spacing w:after="0" w:line="150"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Before obtaining regulatory approvals for the commercial sale of any products, we must demonstrate through lengthy, complex and expensive preclinical or other nonclinical studies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or other nonclinical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or other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p>
    <w:p>
      <w:pPr>
        <w:spacing w:after="0" w:line="194" w:lineRule="exact"/>
        <w:rPr>
          <w:sz w:val="20"/>
          <w:szCs w:val="20"/>
          <w:color w:val="auto"/>
        </w:rPr>
      </w:pPr>
    </w:p>
    <w:p>
      <w:pPr>
        <w:ind w:right="740"/>
        <w:spacing w:after="0" w:line="293" w:lineRule="auto"/>
        <w:rPr>
          <w:sz w:val="20"/>
          <w:szCs w:val="20"/>
          <w:color w:val="auto"/>
        </w:rPr>
      </w:pPr>
      <w:r>
        <w:rPr>
          <w:rFonts w:ascii="Arial" w:cs="Arial" w:eastAsia="Arial" w:hAnsi="Arial"/>
          <w:sz w:val="16"/>
          <w:szCs w:val="16"/>
          <w:color w:val="auto"/>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w:t>
      </w:r>
    </w:p>
    <w:p>
      <w:pPr>
        <w:spacing w:after="0" w:line="172" w:lineRule="exact"/>
        <w:rPr>
          <w:sz w:val="20"/>
          <w:szCs w:val="20"/>
          <w:color w:val="auto"/>
        </w:rPr>
      </w:pPr>
    </w:p>
    <w:p>
      <w:pPr>
        <w:jc w:val="both"/>
        <w:ind w:right="240"/>
        <w:spacing w:after="0" w:line="278" w:lineRule="auto"/>
        <w:rPr>
          <w:sz w:val="20"/>
          <w:szCs w:val="20"/>
          <w:color w:val="auto"/>
        </w:rPr>
      </w:pPr>
      <w:r>
        <w:rPr>
          <w:rFonts w:ascii="Arial" w:cs="Arial" w:eastAsia="Arial" w:hAnsi="Arial"/>
          <w:sz w:val="16"/>
          <w:szCs w:val="16"/>
          <w:color w:val="auto"/>
        </w:rPr>
        <w:t>As is the case with many treatments for cancer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clinical trials, or we may be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6"/>
          <w:szCs w:val="16"/>
          <w:color w:val="auto"/>
        </w:rPr>
        <w:t>required to abandon the clinical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9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b w:val="1"/>
          <w:bCs w:val="1"/>
          <w:i w:val="1"/>
          <w:iCs w:val="1"/>
          <w:color w:val="auto"/>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spacing w:after="0" w:line="18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For example, pursuant to the DESRES Agreement, we collaborate with D. E. Shaw Research to develop various protein models and make predictions as to how molecules might move, with subsequent validation efforts in our and our CROs’ labs. There can be no assurance that we will find potential additional targets using this approach, that any such targets will be tractable, or that such clinical validations will be successful. Our research programs may initially show promise in identifying potential indications and/or product candidates, yet fail to yield results for clinical development for a number of reasons, including:</w:t>
      </w:r>
    </w:p>
    <w:p>
      <w:pPr>
        <w:spacing w:after="0" w:line="19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research methodology used may not be successful in identifying potential indications and/or product candidates;</w:t>
      </w:r>
    </w:p>
    <w:p>
      <w:pPr>
        <w:spacing w:after="0" w:line="234" w:lineRule="exact"/>
        <w:rPr>
          <w:rFonts w:ascii="Arial" w:cs="Arial" w:eastAsia="Arial" w:hAnsi="Arial"/>
          <w:sz w:val="16"/>
          <w:szCs w:val="16"/>
          <w:color w:val="auto"/>
        </w:rPr>
      </w:pPr>
    </w:p>
    <w:p>
      <w:pPr>
        <w:ind w:left="1020" w:right="200" w:hanging="503"/>
        <w:spacing w:after="0" w:line="293"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product candidates may, after further study, be shown to have harmful adverse effects or other characteristics that indicate they are unlikely to be effective products; or</w:t>
      </w:r>
    </w:p>
    <w:p>
      <w:pPr>
        <w:spacing w:after="0" w:line="171" w:lineRule="exact"/>
        <w:rPr>
          <w:rFonts w:ascii="Arial" w:cs="Arial" w:eastAsia="Arial" w:hAnsi="Arial"/>
          <w:sz w:val="16"/>
          <w:szCs w:val="16"/>
          <w:color w:val="auto"/>
        </w:rPr>
      </w:pPr>
    </w:p>
    <w:p>
      <w:pPr>
        <w:ind w:left="1020" w:right="180" w:hanging="503"/>
        <w:spacing w:after="0" w:line="278"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184"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Because we have limited financial and human resources, we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66" w:lineRule="exact"/>
        <w:rPr>
          <w:sz w:val="20"/>
          <w:szCs w:val="20"/>
          <w:color w:val="auto"/>
        </w:rPr>
      </w:pPr>
    </w:p>
    <w:p>
      <w:pPr>
        <w:jc w:val="both"/>
        <w:ind w:right="200"/>
        <w:spacing w:after="0" w:line="305" w:lineRule="auto"/>
        <w:rPr>
          <w:sz w:val="20"/>
          <w:szCs w:val="20"/>
          <w:color w:val="auto"/>
        </w:rPr>
      </w:pPr>
      <w:r>
        <w:rPr>
          <w:rFonts w:ascii="Arial" w:cs="Arial" w:eastAsia="Arial" w:hAnsi="Arial"/>
          <w:sz w:val="15"/>
          <w:szCs w:val="15"/>
          <w:color w:val="auto"/>
        </w:rPr>
        <w:t>Accordingly, there can be no assurance that we will ever be able to identify additional therapeutic opportunities for our product candidates or to develop suitable potential product candidates through internal research programs or in collaboration with third parties, which could materially adversely affect our future growth and prospects. We may focus our efforts and resources on potential product candidates or other potential programs that ultimately prove to be unsuccessful.</w:t>
      </w:r>
    </w:p>
    <w:p>
      <w:pPr>
        <w:spacing w:after="0" w:line="166"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b w:val="1"/>
          <w:bCs w:val="1"/>
          <w:i w:val="1"/>
          <w:iCs w:val="1"/>
          <w:color w:val="auto"/>
        </w:rPr>
        <w:t>We intend to develop our current product candidates and potentially future product candidates, in combination with other therapies, which exposes us to additional risks.</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intend to develop our current product candidates, and may develop future product candidates, for use in combination with one or more currently approved cancer therapies. Even if any product candidate we develop was to receive marketing approval or be commercialized for use in combination with other existing therapies, we would continue to bear the risks that the FDA or similar regulatory authorities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194" w:lineRule="exact"/>
        <w:rPr>
          <w:sz w:val="20"/>
          <w:szCs w:val="20"/>
          <w:color w:val="auto"/>
        </w:rPr>
      </w:pPr>
    </w:p>
    <w:p>
      <w:pPr>
        <w:ind w:right="140"/>
        <w:spacing w:after="0" w:line="318" w:lineRule="auto"/>
        <w:rPr>
          <w:sz w:val="20"/>
          <w:szCs w:val="20"/>
          <w:color w:val="auto"/>
        </w:rPr>
      </w:pPr>
      <w:r>
        <w:rPr>
          <w:rFonts w:ascii="Arial" w:cs="Arial" w:eastAsia="Arial" w:hAnsi="Arial"/>
          <w:sz w:val="14"/>
          <w:szCs w:val="14"/>
          <w:color w:val="auto"/>
        </w:rPr>
        <w:t>We may also evaluate our current product candidates or any other future product candidates in combination with one or more other cancer therapies that have not yet been approved for marketing by the FDA or similar regulatory authorities. We will not be able to market and sell any of our product candidates we develop in combination with any such unapproved cancer therapies that do not ultimately obtain marketing approval. Pursuant to the Genentech Agreement, Genentech will assume the development of GDC-1971, including developing GDC-1971 in combination with Genentech’s KRAS G12C program and in combination with atezolizumab, its PD-L1 antibody. See “Business – Our Collaborations – Key License Agreements and Strategic Collaborations – Collaboration and License Agreement with Genentech.”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53" w:name="page54"/>
    <w:bookmarkEnd w:id="53"/>
    <w:p>
      <w:pPr>
        <w:jc w:val="both"/>
        <w:ind w:right="20"/>
        <w:spacing w:after="0" w:line="278" w:lineRule="auto"/>
        <w:rPr>
          <w:sz w:val="20"/>
          <w:szCs w:val="20"/>
          <w:color w:val="auto"/>
        </w:rPr>
      </w:pPr>
      <w:r>
        <w:rPr>
          <w:rFonts w:ascii="Arial" w:cs="Arial" w:eastAsia="Arial" w:hAnsi="Arial"/>
          <w:sz w:val="16"/>
          <w:szCs w:val="16"/>
          <w:color w:val="auto"/>
        </w:rPr>
        <w:t>If the FDA or similar regulatory authorities do not approve these other drugs or revoke their approval of, or if safety, efficacy, manufacturing, or supply issues arise with, the drugs we choose to evaluate in combination with our current product candidates or any product candidate we develop, we may be unable to obtain approval of or market any of the product candidates we develop.</w:t>
      </w:r>
    </w:p>
    <w:p>
      <w:pPr>
        <w:spacing w:after="0" w:line="18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i w:val="1"/>
          <w:iCs w:val="1"/>
          <w:color w:val="auto"/>
        </w:rPr>
        <w:t>Our product candidates utilize a novel mechanism of action and novel binding locations, which may result in greater research and development expenses, regulatory issues that could delay or prevent approval, or discovery of unknown or unanticipated adverse effects.</w:t>
      </w:r>
    </w:p>
    <w:p>
      <w:pPr>
        <w:spacing w:after="0" w:line="172"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Our product candidates utilize novel mechanisms of action and novel binding locations, which may result in greater research and development expenses, regulatory issues that could delay or prevent approval, or discovery of unknown or unanticipated adverse effects. Our Dynamo platform uses advanced computational models in tight integration with our medicinal chemistry, structural biology, enzymology and biophysics capabilities to predict and design the compounds that will achieve the most desirable characteristics, including potency, selectivity, bioavailability, and drug-like properties. A disruption in any of these capabilities may have significant adverse effects in our abilities to expand our Dynamo platform, and we cannot predict whether we will continue to have access to these capabilities in the future to support our Dynamo platform. In addition, there can be no assurance that we will be able to rapidly identify, design and synthesize the necessary compounds or that these or other problems related to the development of this novel mechanism will not arise in the future, which may cause significant delays, or we raise problems we may not be able to resolve.</w:t>
      </w:r>
    </w:p>
    <w:p>
      <w:pPr>
        <w:spacing w:after="0" w:line="164"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Because our inhibitors utilize a novel mechanism of action that has not been the subject of extensive study compared to more well-known product candidates, there is also an increased risk that we may discover previously unknown or unanticipated adverse effects during our preclinical or other nonclinical studies and clinical trials. Any such events could adversely impact our business prospects, financial condition and results of operations.</w:t>
      </w:r>
    </w:p>
    <w:p>
      <w:pPr>
        <w:spacing w:after="0" w:line="196"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b w:val="1"/>
          <w:bCs w:val="1"/>
          <w:i w:val="1"/>
          <w:iCs w:val="1"/>
          <w:color w:val="auto"/>
        </w:rPr>
        <w:t>We are conducting, or have filed clinical trial applications to conduct, clinical trials for our product candidates outside the United States, and the FDA and similar foreign regulatory authorities may not accept data from such trials.</w:t>
      </w:r>
    </w:p>
    <w:p>
      <w:pPr>
        <w:spacing w:after="0" w:line="172"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auto"/>
        </w:rPr>
        <w:t>We are conducting, or have filed clinical trial applications to conduct, additional clinical trials outside the United States, including Australia, the United Kingdom, Europe and Asia and may conduct, or file clinical trial applications to conduct, additional clinical trials in other foreign jurisdictions in the future.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 in the need for additional clinical trials, which would be costly and time-consuming and delay aspects of our business plan, and which may result in our product candidates not receiving approval or clearance for commercialization in the applicable jurisdiction.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Obtaining Regulatory Approvals</w:t>
      </w:r>
    </w:p>
    <w:p>
      <w:pPr>
        <w:spacing w:after="0" w:line="23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i w:val="1"/>
          <w:iCs w:val="1"/>
          <w:color w:val="auto"/>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spacing w:after="0" w:line="172" w:lineRule="exact"/>
        <w:rPr>
          <w:sz w:val="20"/>
          <w:szCs w:val="20"/>
          <w:color w:val="auto"/>
        </w:rPr>
      </w:pPr>
    </w:p>
    <w:p>
      <w:pPr>
        <w:ind w:right="40"/>
        <w:spacing w:after="0" w:line="335" w:lineRule="auto"/>
        <w:rPr>
          <w:sz w:val="20"/>
          <w:szCs w:val="20"/>
          <w:color w:val="auto"/>
        </w:rPr>
      </w:pPr>
      <w:r>
        <w:rPr>
          <w:rFonts w:ascii="Arial" w:cs="Arial" w:eastAsia="Arial" w:hAnsi="Arial"/>
          <w:sz w:val="14"/>
          <w:szCs w:val="14"/>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similar authorities in other countries. Before we can commercialize any of our product candidates, we must obtain marketing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4" w:name="page55"/>
    <w:bookmarkEnd w:id="54"/>
    <w:p>
      <w:pPr>
        <w:spacing w:after="0" w:line="310" w:lineRule="auto"/>
        <w:rPr>
          <w:sz w:val="20"/>
          <w:szCs w:val="20"/>
          <w:color w:val="auto"/>
        </w:rPr>
      </w:pPr>
      <w:r>
        <w:rPr>
          <w:rFonts w:ascii="Arial" w:cs="Arial" w:eastAsia="Arial" w:hAnsi="Arial"/>
          <w:sz w:val="14"/>
          <w:szCs w:val="14"/>
          <w:color w:val="auto"/>
        </w:rPr>
        <w:t>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nonclinical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The process of obtaining regulatory approvals, both in the United States and abroad, is expensive and often takes many years. If the FDA or a similar foreign regulatory authority requires that we perform additional nonclinical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a 510(k) or other premarket approval application, or PMA, or equivalent application types, may cause delays in the approval or rejection of an application. The FDA and similar authorities in other countries have substantial discretion in the approval process and may refuse to accept any application or may decide that our data are insufficient for approval and require additional nonclinical, clinical or other studies. Our product candidates could be delayed in receiving, or fail to receive, regulatory approval for many reasons, including the following:</w:t>
      </w:r>
    </w:p>
    <w:p>
      <w:pPr>
        <w:spacing w:after="0" w:line="192"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FDA or similar foreign regulatory authorities may disagree with or change their position regarding the design or implementation of our clinical trials;</w:t>
      </w:r>
    </w:p>
    <w:p>
      <w:pPr>
        <w:spacing w:after="0" w:line="246" w:lineRule="exact"/>
        <w:rPr>
          <w:rFonts w:ascii="Arial" w:cs="Arial" w:eastAsia="Arial" w:hAnsi="Arial"/>
          <w:sz w:val="15"/>
          <w:szCs w:val="15"/>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not be able to enroll a sufficient number of patients in our clinical studies;</w:t>
      </w:r>
    </w:p>
    <w:p>
      <w:pPr>
        <w:spacing w:after="0" w:line="234" w:lineRule="exact"/>
        <w:rPr>
          <w:rFonts w:ascii="Arial" w:cs="Arial" w:eastAsia="Arial" w:hAnsi="Arial"/>
          <w:sz w:val="16"/>
          <w:szCs w:val="16"/>
          <w:color w:val="auto"/>
        </w:rPr>
      </w:pPr>
    </w:p>
    <w:p>
      <w:pPr>
        <w:ind w:left="1020" w:right="120" w:hanging="503"/>
        <w:spacing w:after="0" w:line="293"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similar foreign regulatory authorities that a product candidate is safe and effective for its proposed indication or a related companion diagnostic is suitable to identify appropriate patient populations;</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results of clinical trials may not meet the level of statistical significance required by the FDA or similar foreign regulatory authorities for approval;</w:t>
      </w:r>
    </w:p>
    <w:p>
      <w:pPr>
        <w:spacing w:after="0" w:line="246" w:lineRule="exact"/>
        <w:rPr>
          <w:rFonts w:ascii="Arial" w:cs="Arial" w:eastAsia="Arial" w:hAnsi="Arial"/>
          <w:sz w:val="15"/>
          <w:szCs w:val="15"/>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similar foreign regulatory authorities may disagree with our interpretation of data from nonclinical studies or clinical trials;</w:t>
      </w:r>
    </w:p>
    <w:p>
      <w:pPr>
        <w:spacing w:after="0" w:line="234" w:lineRule="exact"/>
        <w:rPr>
          <w:rFonts w:ascii="Arial" w:cs="Arial" w:eastAsia="Arial" w:hAnsi="Arial"/>
          <w:sz w:val="16"/>
          <w:szCs w:val="16"/>
          <w:color w:val="auto"/>
        </w:rPr>
      </w:pPr>
    </w:p>
    <w:p>
      <w:pPr>
        <w:ind w:left="1020" w:right="160" w:hanging="503"/>
        <w:spacing w:after="0" w:line="293"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an NDA or other submission or to obtain regulatory approval in the United States or elsewhere;</w:t>
      </w:r>
    </w:p>
    <w:p>
      <w:pPr>
        <w:spacing w:after="0" w:line="171" w:lineRule="exact"/>
        <w:rPr>
          <w:rFonts w:ascii="Arial" w:cs="Arial" w:eastAsia="Arial" w:hAnsi="Arial"/>
          <w:sz w:val="16"/>
          <w:szCs w:val="16"/>
          <w:color w:val="auto"/>
        </w:rPr>
      </w:pPr>
    </w:p>
    <w:p>
      <w:pPr>
        <w:ind w:left="1020" w:right="540" w:hanging="503"/>
        <w:spacing w:after="0" w:line="293"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similar foreign regulatory authorities may find deficiencies with or fail to approve the manufacturing processes or facilities of third-party manufacturers with which we contract for clinical and commercial supplies; and</w:t>
      </w:r>
    </w:p>
    <w:p>
      <w:pPr>
        <w:spacing w:after="0" w:line="171" w:lineRule="exact"/>
        <w:rPr>
          <w:rFonts w:ascii="Arial" w:cs="Arial" w:eastAsia="Arial" w:hAnsi="Arial"/>
          <w:sz w:val="16"/>
          <w:szCs w:val="16"/>
          <w:color w:val="auto"/>
        </w:rPr>
      </w:pPr>
    </w:p>
    <w:p>
      <w:pPr>
        <w:ind w:left="1020" w:right="140" w:hanging="503"/>
        <w:spacing w:after="0" w:line="293" w:lineRule="auto"/>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approval policies or regulations of the FDA or similar foreign regulatory authorities may significantly change such that our clinical data are insufficient for approval.</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55" w:name="page56"/>
    <w:bookmarkEnd w:id="55"/>
    <w:p>
      <w:pPr>
        <w:ind w:right="160"/>
        <w:spacing w:after="0" w:line="293" w:lineRule="auto"/>
        <w:rPr>
          <w:sz w:val="20"/>
          <w:szCs w:val="20"/>
          <w:color w:val="auto"/>
        </w:rPr>
      </w:pPr>
      <w:r>
        <w:rPr>
          <w:rFonts w:ascii="Arial" w:cs="Arial" w:eastAsia="Arial" w:hAnsi="Arial"/>
          <w:sz w:val="16"/>
          <w:szCs w:val="16"/>
          <w:color w:val="auto"/>
        </w:rPr>
        <w:t>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Commercialization</w:t>
      </w:r>
    </w:p>
    <w:p>
      <w:pPr>
        <w:spacing w:after="0" w:line="23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 2022, we completed enrollment of a Phase 1a dose escalation study of GDC-1971 as a monotherapy in patients with advanced or metastatic solid tumors, and pursuant to the Genentech Agreement entered into in December 2020, future development for GDC-1971, including the potential to conduct multiple combination studies, is governed by a joint development team between us and Genentech. Genentech initiated the cohort of GDC-1971 in combination with GDC-6036, its KRAS G12C inhibitor, in a Phase 1b trial in July 2021, and a Phase 1b trial of GDC-1971 in combination with atezolizumab, its PD-L1 antibody, in August 2022. We estimate there are approximately 37,000 patients annually in the United States with advanced lung cancer or colorectal cancer who might benefit from a combination of GDC-1971 with another targeted inhibitor. In the future, if GDC-1971 advances to earlier lines of combination treatment for lung cancer or colorectal cancer, we believe it could be applied in the treatment of approximately 69,000 patients annually in the United States. The subset of patients with KRAS G12C mutations in lung cancer and colorectal cancer who could potentially benefit from the combination of GDC-1971 with GDC-6036 is approximately 17,000 to 32,000 annually in the United States.</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are also evaluating the safety and tolerability of RLY-4008 in a first-in-human clinical trial initiated in September 2020 in patients with advanced or metastatic FGFR2-altered solid tumors with a single arm, potentially registration-enabling cohort for FGFRi treatment-naïve FGFR2-fusion CCA. We believe FGFR2-mediated cancers affect approximately 11,000 late-line patients annually in the United States. In the future, if RLY-4008 advances to earlier lines of treatment, we believe it could potentially address approximately 35,000 patients annually in the United States. These numbers reflect the inclusion of patients with additional FGFR2 gene fusions and rearrangements that result from truncation of the protein at exon 18 based on recently published research suggesting that patients with these truncations should be considered for FGFR-targeted therapies.</w:t>
      </w:r>
    </w:p>
    <w:p>
      <w:pPr>
        <w:spacing w:after="0" w:line="194" w:lineRule="exact"/>
        <w:rPr>
          <w:sz w:val="20"/>
          <w:szCs w:val="20"/>
          <w:color w:val="auto"/>
        </w:rPr>
      </w:pPr>
    </w:p>
    <w:p>
      <w:pPr>
        <w:jc w:val="both"/>
        <w:ind w:right="440"/>
        <w:spacing w:after="0" w:line="278" w:lineRule="auto"/>
        <w:rPr>
          <w:sz w:val="20"/>
          <w:szCs w:val="20"/>
          <w:color w:val="auto"/>
        </w:rPr>
      </w:pPr>
      <w:r>
        <w:rPr>
          <w:rFonts w:ascii="Arial" w:cs="Arial" w:eastAsia="Arial" w:hAnsi="Arial"/>
          <w:sz w:val="16"/>
          <w:szCs w:val="16"/>
          <w:color w:val="auto"/>
        </w:rPr>
        <w:t>In December 2021, we dosed the first patient in a first-in-human clinical trial for RLY-2608, the first known allosteric, pan-mutant (H1047X, E542X and E545X) and isoform-selective PI3Kα inhibitor in clinical development. We believe RLY-2608 has the potential to address approximately 50,000 to 156,000 patients per year in the United States, one of the largest patient populations for a precision oncology medicine.</w:t>
      </w:r>
    </w:p>
    <w:p>
      <w:pPr>
        <w:spacing w:after="0" w:line="18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projections of both the number of people who have these diseases, as well as the subset of people with these diseases who have the potential to benefit from treatment with RLY-4008, RLY-2608 or GDC-1971, or our other product candidates, are based on estimates.</w:t>
      </w:r>
    </w:p>
    <w:p>
      <w:pPr>
        <w:spacing w:after="0" w:line="17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total addressable market opportunity will ultimately depend upon, among other things, the diagnosis criteria included in the final label, and, if our product candidates are approved for sale for these indications, acceptance by the medical community and patient access, product pricing and reimbursement. The number of patients with cancers and solid tumors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we do.</w:t>
      </w:r>
    </w:p>
    <w:p>
      <w:pPr>
        <w:spacing w:after="0" w:line="246"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The development and commercialization of new products in the biopharmaceutical and related industries is highly competitive. We compete in the segments of the pharmaceutical, biotechnology, and other related markets that address computationally focused structure-based drug design in cancer and genetic diseases. There are other companies focusing on structure-based drug design to develop therapies in the fields of cancer and other diseases.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56" w:name="page57"/>
    <w:bookmarkEnd w:id="56"/>
    <w:p>
      <w:pPr>
        <w:ind w:right="260"/>
        <w:spacing w:after="0" w:line="278" w:lineRule="auto"/>
        <w:rPr>
          <w:sz w:val="20"/>
          <w:szCs w:val="20"/>
          <w:color w:val="auto"/>
        </w:rPr>
      </w:pPr>
      <w:r>
        <w:rPr>
          <w:rFonts w:ascii="Arial" w:cs="Arial" w:eastAsia="Arial" w:hAnsi="Arial"/>
          <w:sz w:val="16"/>
          <w:szCs w:val="16"/>
          <w:color w:val="auto"/>
        </w:rPr>
        <w:t>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 We believe principal competitive factors to our business include, among other things, the accuracy of our computations and predictions, ability to integrate computational and experimental capabilities, ability to successfully transition research programs into clinical development, ability to raise capital, and the scalability of the platform, pipeline, and business.</w:t>
      </w:r>
    </w:p>
    <w:p>
      <w:pPr>
        <w:spacing w:after="0" w:line="176"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Many of the companies that we compete against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earlier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In addition, we cannot predict whether our current competitive advantages, such as our ability to leverage our Dynamo platform and our relationship with D. E. Shaw Research, will remain in place in the future. If these or other barriers to entry do not remain in place, other companies may be able to more directly or effectively compete with us.</w:t>
      </w:r>
    </w:p>
    <w:p>
      <w:pPr>
        <w:spacing w:after="0" w:line="180"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more rapidly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176" w:lineRule="exact"/>
        <w:rPr>
          <w:sz w:val="20"/>
          <w:szCs w:val="20"/>
          <w:color w:val="auto"/>
        </w:rPr>
      </w:pPr>
    </w:p>
    <w:p>
      <w:pPr>
        <w:ind w:right="240"/>
        <w:spacing w:after="0" w:line="369" w:lineRule="auto"/>
        <w:rPr>
          <w:sz w:val="20"/>
          <w:szCs w:val="20"/>
          <w:color w:val="auto"/>
        </w:rPr>
      </w:pPr>
      <w:r>
        <w:rPr>
          <w:rFonts w:ascii="Arial" w:cs="Arial" w:eastAsia="Arial" w:hAnsi="Arial"/>
          <w:sz w:val="14"/>
          <w:szCs w:val="14"/>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126"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3" w:lineRule="exact"/>
        <w:rPr>
          <w:sz w:val="20"/>
          <w:szCs w:val="20"/>
          <w:color w:val="auto"/>
        </w:rPr>
      </w:pPr>
    </w:p>
    <w:p>
      <w:pPr>
        <w:ind w:right="140"/>
        <w:spacing w:after="0" w:line="335" w:lineRule="auto"/>
        <w:rPr>
          <w:sz w:val="20"/>
          <w:szCs w:val="20"/>
          <w:color w:val="auto"/>
        </w:rPr>
      </w:pPr>
      <w:r>
        <w:rPr>
          <w:rFonts w:ascii="Arial" w:cs="Arial" w:eastAsia="Arial" w:hAnsi="Arial"/>
          <w:sz w:val="14"/>
          <w:szCs w:val="14"/>
          <w:color w:val="auto"/>
        </w:rPr>
        <w:t>There is also significant uncertainty related to the insurance coverage and reimbursement of newly approved products and coverage may be more limited than the purposes for which the medicine is approved by the FDA or similar foreign regulatory authorities. In the United States, the principal decisions about reimbursement for new medicines are typically made by the Centers for Medicare &amp; Medicaid Services, or CMS, an agency within the U.S. Department of Health and Human Services. CMS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7" w:name="page58"/>
    <w:bookmarkEnd w:id="57"/>
    <w:p>
      <w:pPr>
        <w:spacing w:after="0"/>
        <w:rPr>
          <w:sz w:val="20"/>
          <w:szCs w:val="20"/>
          <w:color w:val="auto"/>
        </w:rPr>
      </w:pPr>
      <w:r>
        <w:rPr>
          <w:rFonts w:ascii="Arial" w:cs="Arial" w:eastAsia="Arial" w:hAnsi="Arial"/>
          <w:sz w:val="15"/>
          <w:szCs w:val="15"/>
          <w:color w:val="auto"/>
        </w:rPr>
        <w:t>decides whether and to what extent a new medicine will be covered and reimbursed under Medicare and private payors tend to follow CMS to a substantial degree.</w:t>
      </w:r>
    </w:p>
    <w:p>
      <w:pPr>
        <w:spacing w:after="0" w:line="246"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Factors payors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17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in a timely manner. Further, these prices for drugs may be reduced by mandatory discounts or rebates required by government healthcare programs.</w:t>
      </w:r>
    </w:p>
    <w:p>
      <w:pPr>
        <w:spacing w:after="0" w:line="19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23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b w:val="1"/>
          <w:bCs w:val="1"/>
          <w:i w:val="1"/>
          <w:iCs w:val="1"/>
          <w:color w:val="auto"/>
        </w:rPr>
        <w:t>Under the DESRES Agreement, as amended, we collaborate with D. E. Shaw Research to rapidly develop various protein models, a process that depends on D. E. Shaw Research’s use of their proprietary supercomputer, Anton 2. A termination of the DESRES Agreement could have a material adverse effect on our business, financial condition, results of operations, and prospects.</w:t>
      </w:r>
    </w:p>
    <w:p>
      <w:pPr>
        <w:spacing w:after="0" w:line="184" w:lineRule="exact"/>
        <w:rPr>
          <w:sz w:val="20"/>
          <w:szCs w:val="20"/>
          <w:color w:val="auto"/>
        </w:rPr>
      </w:pPr>
    </w:p>
    <w:p>
      <w:pPr>
        <w:ind w:right="60"/>
        <w:spacing w:after="0" w:line="310" w:lineRule="auto"/>
        <w:rPr>
          <w:sz w:val="20"/>
          <w:szCs w:val="20"/>
          <w:color w:val="auto"/>
        </w:rPr>
      </w:pPr>
      <w:r>
        <w:rPr>
          <w:rFonts w:ascii="Arial" w:cs="Arial" w:eastAsia="Arial" w:hAnsi="Arial"/>
          <w:sz w:val="14"/>
          <w:szCs w:val="14"/>
          <w:color w:val="auto"/>
        </w:rPr>
        <w:t>Under the DESRES Agreement, we collaborate with D. E. Shaw Research to develop various protein models to make predictions as to how molecules might move in connection with identifying potential new biological targets and prospective drug compounds. There can be no assurance these protein models, or the technology used by D. E. Shaw Research to develop them (including the Anton 2 supercomputer), will provide reliable data or target information, or that the findings from these activities and our subsequent validation efforts will translate into the ability to develop therapeutically effective compounds. Our collaboration with D. E. Shaw Research is our key computational collaboration, and there can be no assurance that this collaboration will continue past the current term of the DESRES Agreement, on favorable terms or at all, or that at any time while the collaboration is in effect D. E. Shaw Research will provide a level of service that benefits our programs in a meaningfully positive manner. While we also have other computational collaborations, mostly focused on developing machine learning models, such collaborations do not provide a substitute for the technology made available through our collaboration with D. E. Shaw Research. The termination of the DESRES Agreement or any reduction in our collaboration with D. E. Shaw Research would require us to rely more heavily on these other collaborations and our own internal resources, and may delay or impair our development efforts.</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Furthermore, while the termination of the DESRES Agreement would not directly impact the development of our lead product candidates, we cannot predict the effects such termination could have on our preclinical studies and development efforts and our ability to discover and develop additional product candidates. In particular, the technologies accessed through D. E. Shaw Research, including the Anton 2 supercomputer, are important aspects of our Dynamo platform, and we do not currently have access to another source of computational power comparable to that provided by the Anton 2 supercomputer. Currently, not only is our collaboration with D. E. Shaw Research for a limited time period, but it is also limited with respect to the number of target proteins available under the collaboration (with such number subject to increases or decreases from year to year, and with the number of total targets across categories capped at twenty, subject to some limitations), which could restrict our ability to broaden our platform across a larger number of targets and programs.</w:t>
      </w:r>
    </w:p>
    <w:p>
      <w:pPr>
        <w:spacing w:after="0" w:line="19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Under the DESRES Agreement, D. E. Shaw Research controls the rights to its technology, we control the rights to certain compounds, and we jointly own with D. E. Shaw Research any other work product created by D. E. Shaw Research and us. 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8" w:name="page59"/>
    <w:bookmarkEnd w:id="58"/>
    <w:p>
      <w:pPr>
        <w:ind w:right="20"/>
        <w:spacing w:after="0" w:line="269" w:lineRule="auto"/>
        <w:rPr>
          <w:sz w:val="20"/>
          <w:szCs w:val="20"/>
          <w:color w:val="auto"/>
        </w:rPr>
      </w:pPr>
      <w:r>
        <w:rPr>
          <w:rFonts w:ascii="Arial" w:cs="Arial" w:eastAsia="Arial" w:hAnsi="Arial"/>
          <w:sz w:val="16"/>
          <w:szCs w:val="16"/>
          <w:color w:val="auto"/>
        </w:rPr>
        <w:t>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future potential collaborators, regarding intellectual property subject to the DESRES Agreement. If disputes over intellectual property that we co-own or we own individually prevent or impair our ability to maintain our current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We are generally also subject to all of the same risks with respect to protection of intellectual property that we co-own, as we are for intellectual property that we own. See “</w:t>
      </w:r>
    </w:p>
    <w:p>
      <w:pPr>
        <w:spacing w:after="0" w:line="4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Risks Related to Our Intellectual Property – Risks Related to Protecting our Intellectual Property.” If we or D. E. Shaw Research fail to adequately protect this intellectual property, our ability to commercialize products could suffer.</w:t>
      </w:r>
    </w:p>
    <w:p>
      <w:pPr>
        <w:spacing w:after="0" w:line="17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Moreover, we are subject to certain payment obligations under the DESRES Agreement, including payments to D. E. Shaw Research in connection with certain transactions, including our collaboration with Genentech pursuant to the Genentech Agreement. These payment obligations may decrease the value to us of certain transactional opportunities or otherwise burden our ability to enter into such transactions.</w:t>
      </w:r>
    </w:p>
    <w:p>
      <w:pPr>
        <w:spacing w:after="0" w:line="184"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b w:val="1"/>
          <w:bCs w:val="1"/>
          <w:i w:val="1"/>
          <w:iCs w:val="1"/>
          <w:color w:val="auto"/>
        </w:rPr>
        <w:t>We rely on third parties to conduct our ongoing clinical trials of RLY-4008 and RLY-2608 and expect to rely on third parties to conduct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89" w:lineRule="exact"/>
        <w:rPr>
          <w:sz w:val="20"/>
          <w:szCs w:val="20"/>
          <w:color w:val="auto"/>
        </w:rPr>
      </w:pPr>
    </w:p>
    <w:p>
      <w:pPr>
        <w:ind w:right="80"/>
        <w:spacing w:after="0" w:line="318" w:lineRule="auto"/>
        <w:rPr>
          <w:sz w:val="20"/>
          <w:szCs w:val="20"/>
          <w:color w:val="auto"/>
        </w:rPr>
      </w:pPr>
      <w:r>
        <w:rPr>
          <w:rFonts w:ascii="Arial" w:cs="Arial" w:eastAsia="Arial" w:hAnsi="Arial"/>
          <w:sz w:val="14"/>
          <w:szCs w:val="14"/>
          <w:color w:val="auto"/>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162"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80"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72" w:lineRule="exact"/>
        <w:rPr>
          <w:sz w:val="20"/>
          <w:szCs w:val="20"/>
          <w:color w:val="auto"/>
        </w:rPr>
      </w:pPr>
    </w:p>
    <w:p>
      <w:pPr>
        <w:jc w:val="both"/>
        <w:ind w:right="160"/>
        <w:spacing w:after="0" w:line="305" w:lineRule="auto"/>
        <w:rPr>
          <w:sz w:val="20"/>
          <w:szCs w:val="20"/>
          <w:color w:val="auto"/>
        </w:rPr>
      </w:pPr>
      <w:r>
        <w:rPr>
          <w:rFonts w:ascii="Arial" w:cs="Arial" w:eastAsia="Arial" w:hAnsi="Arial"/>
          <w:sz w:val="15"/>
          <w:szCs w:val="15"/>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9" w:name="page60"/>
    <w:bookmarkEnd w:id="59"/>
    <w:p>
      <w:pPr>
        <w:spacing w:after="0" w:line="287" w:lineRule="auto"/>
        <w:rPr>
          <w:sz w:val="20"/>
          <w:szCs w:val="20"/>
          <w:color w:val="auto"/>
        </w:rPr>
      </w:pPr>
      <w:r>
        <w:rPr>
          <w:rFonts w:ascii="Arial" w:cs="Arial" w:eastAsia="Arial" w:hAnsi="Arial"/>
          <w:sz w:val="15"/>
          <w:szCs w:val="15"/>
          <w:color w:val="auto"/>
        </w:rPr>
        <w:t>Member States of the European Economic Area and similar foreign regulatory authorities for any products in clinical development, including the EMA and the Medicines and Healthcare Products Regulatory Agency. These regulatory authorities enforce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similar foreign regulatory authorities may require us to perform additional clinical trials before approving our marketing applications. We cannot assure you that, upon inspection, these regulatory authorities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Although we designed our first-in-human clinical trials of RLY-4008, RLY-2608 and GDC-1971, and intend to design the future clinical trials for the product candidates that we develop, we expect that CROs will conduct all of our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0"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have staffing difficulties;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fail to comply with contractual obligations;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experience regulatory compliance issues;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undergo changes in priorities or become financially distressed; or</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form relationships with other entities, some of which may be our competitors.</w:t>
      </w:r>
    </w:p>
    <w:p>
      <w:pPr>
        <w:spacing w:after="0" w:line="23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94"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If any of our relationships with these third-party principal investigators or CROs terminate, we may not be able to enter into arrangements with alternative CROs. If principal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6"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We contract with third parties for the manufacture of our product candidates for preclinical development,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4"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products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60" w:name="page61"/>
    <w:bookmarkEnd w:id="60"/>
    <w:p>
      <w:pPr>
        <w:spacing w:after="0" w:line="286" w:lineRule="auto"/>
        <w:rPr>
          <w:sz w:val="20"/>
          <w:szCs w:val="20"/>
          <w:color w:val="auto"/>
        </w:rPr>
      </w:pPr>
      <w:r>
        <w:rPr>
          <w:rFonts w:ascii="Arial" w:cs="Arial" w:eastAsia="Arial" w:hAnsi="Arial"/>
          <w:sz w:val="15"/>
          <w:szCs w:val="15"/>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similar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72"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reliance on the third party for regulatory compliance and quality assurance;</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possible breach of the manufacturing agreement by the third party;</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possible termination or nonrenewal of the agreement by the third party at a time that is costly or inconvenient for us.</w:t>
      </w:r>
    </w:p>
    <w:p>
      <w:pPr>
        <w:spacing w:after="0" w:line="235"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 Due to capacity constraints at cGMP manufacturers relating to the ongoing COVID-19 pandemic, we have been required to forecast the amount of clinical trial supply needed for our clinical trials further in advance than had typically been required, and there is limited flexibility to adjust our manufacturing needs as our clinical trials progress, which may lead to added costs or delays in our clinical trials.</w:t>
      </w:r>
    </w:p>
    <w:p>
      <w:pPr>
        <w:spacing w:after="0" w:line="190"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Any performance failure on the part of our existing or future manufacturers could delay clinical development or marketing approval. We are also unable to predict how the ongoing COVID-19 pandemic or the current conflict between Russia and Ukraine may affect our third-party manufacturers, including any potential disruptions to our global supply chain. If our current contract manufacturers cannot perform as agreed, we may be required to replace such manufacturers, which we may not be able to do on reasonable terms, if at all, or manufacture the materials ourselves, for which we may not have the capabilities or resources. In either scenario, our clinical trials supply could be delayed significantly as we establish alternative supply sources. In some cases, the technical skills required to manufacture our products or product candidates may be unique or proprietary to the original contract manufacturing organization, or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may incur added costs and delays in identifying and qualifying any such replacement.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w:t>
      </w:r>
    </w:p>
    <w:p>
      <w:pPr>
        <w:spacing w:after="0" w:line="18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61" w:name="page62"/>
    <w:bookmarkEnd w:id="61"/>
    <w:p>
      <w:pPr>
        <w:spacing w:after="0" w:line="293" w:lineRule="auto"/>
        <w:rPr>
          <w:sz w:val="20"/>
          <w:szCs w:val="20"/>
          <w:color w:val="auto"/>
        </w:rPr>
      </w:pPr>
      <w:r>
        <w:rPr>
          <w:rFonts w:ascii="Arial" w:cs="Arial" w:eastAsia="Arial" w:hAnsi="Arial"/>
          <w:sz w:val="16"/>
          <w:szCs w:val="16"/>
          <w:b w:val="1"/>
          <w:bCs w:val="1"/>
          <w:i w:val="1"/>
          <w:iCs w:val="1"/>
          <w:color w:val="auto"/>
        </w:rPr>
        <w:t>The third parties upon whom we rely for the supply of the active pharmaceutical ingredients, drug product and starting materials used in our product candidates are our sole source of supply, and the loss of any of these suppliers could significantly harm our business.</w:t>
      </w:r>
    </w:p>
    <w:p>
      <w:pPr>
        <w:spacing w:after="0" w:line="17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active pharmaceutical ingredients, or API, drug product and starting materials used in our product candidates are supplied to us primarily from single-source suppliers. Our ability to successfully develop our product candidates, and to ultimately supply our commercial products in quantities sufficient to meet the market demand, depends in part on our ability to obtain the API, drug product and starting materials for these products in accordance with regulatory requirements and in sufficient quantities for clinical testing and commercialization. We do not currently have arrangements in place for a redundant or second-source supply of any such API, drug product or starting materials in the event any of our current suppliers of such API, drug product or starting materials ceases its operations for any reason. If any of our third-party suppliers or manufacturers ceases its operations for any reason or is unable or unwilling to supply API, drug product or starting material in sufficient quantities, on the timelines necessary, or at acceptable prices, to meet our needs, it could impede, delay, limit or prevent our development efforts, which could harm our business, results of operations, financial condition and prospects. We are also unable to predict how changing global economic or political conditions, such as the current conflict between Russia and Ukraine and related global economic sanctions, or potential global health concerns, such as the ongoing COVID-19 pandemic, will affect our third-party suppliers and manufacturers. Any negative impact of such matters on our third-party suppliers and manufacturers may also have an adverse impact on our results of operations or financial condition.</w:t>
      </w:r>
    </w:p>
    <w:p>
      <w:pPr>
        <w:spacing w:after="0" w:line="192" w:lineRule="exact"/>
        <w:rPr>
          <w:sz w:val="20"/>
          <w:szCs w:val="20"/>
          <w:color w:val="auto"/>
        </w:rPr>
      </w:pPr>
    </w:p>
    <w:p>
      <w:pPr>
        <w:ind w:right="200"/>
        <w:spacing w:after="0" w:line="293" w:lineRule="auto"/>
        <w:rPr>
          <w:sz w:val="20"/>
          <w:szCs w:val="20"/>
          <w:color w:val="auto"/>
        </w:rPr>
      </w:pPr>
      <w:r>
        <w:rPr>
          <w:rFonts w:ascii="Arial" w:cs="Arial" w:eastAsia="Arial" w:hAnsi="Arial"/>
          <w:sz w:val="15"/>
          <w:szCs w:val="15"/>
          <w:color w:val="auto"/>
        </w:rPr>
        <w:t>For all of our product candidates, we intend to identify and qualify additional manufacturers to provide such API, drug product and starting materials prior to or after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76"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Establishing additional or replacement suppliers for the API, drug product and starting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drug product and starting materials used in our product candidates, any interruption or delay in the supply of components or materials, or our inability to obtain such API, drug product or starting materials from alternate sources at acceptable prices in a timely manner could impede, delay, limit or prevent our development efforts, which could harm our business, results of operations, financial condition and prospects.</w:t>
      </w:r>
    </w:p>
    <w:p>
      <w:pPr>
        <w:spacing w:after="0" w:line="19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We have and may enter into other collaborations with third parties for the research, development, manufacture and commercialization of one or more of our programs or product candidates. If these collaborations are not successful, our business could be adversely affected.</w:t>
      </w:r>
    </w:p>
    <w:p>
      <w:pPr>
        <w:spacing w:after="0" w:line="172"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We have entered into and may enter into collaborations with third parties for one or more of our programs or product candidates, such as our Genentech Agreement to develop and commercialize GDC-1971. If we enter into any such arrangements with any third parties, we will likely have limited control over the amount and timing of resources that any future collaborators dedicate to the development or commercialization of our product candidates. Our ability to generate revenue from these arrangements will depend on our collaborators’ abilities to successfully perform the functions assigned to them.</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Any collaborations we have entered into or will enter into may pose risks, including the following:</w:t>
      </w:r>
    </w:p>
    <w:p>
      <w:pPr>
        <w:spacing w:after="0" w:line="235"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may have significant discretion in determining the efforts and resources that they will apply to these collaborations;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may not perform their obligations as expected;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clinical trials conducted as part of these collaborations may not be successful;</w:t>
      </w:r>
    </w:p>
    <w:p>
      <w:pPr>
        <w:spacing w:after="0" w:line="234" w:lineRule="exact"/>
        <w:rPr>
          <w:rFonts w:ascii="Arial" w:cs="Arial" w:eastAsia="Arial" w:hAnsi="Arial"/>
          <w:sz w:val="16"/>
          <w:szCs w:val="16"/>
          <w:color w:val="auto"/>
        </w:rPr>
      </w:pPr>
    </w:p>
    <w:p>
      <w:pPr>
        <w:ind w:left="1020" w:right="20" w:hanging="503"/>
        <w:spacing w:after="0" w:line="278"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may not pursue development and/or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2" w:name="page63"/>
    <w:bookmarkEnd w:id="62"/>
    <w:p>
      <w:pPr>
        <w:ind w:left="1020" w:right="160" w:hanging="503"/>
        <w:spacing w:after="0" w:line="293"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clinical trials, stop a clinical trial or abandon a product candidate, repeat or conduct new clinical trials or require a new formulation of a product candidate for clinical testing;</w:t>
      </w:r>
    </w:p>
    <w:p>
      <w:pPr>
        <w:spacing w:after="0" w:line="171" w:lineRule="exact"/>
        <w:rPr>
          <w:rFonts w:ascii="Arial" w:cs="Arial" w:eastAsia="Arial" w:hAnsi="Arial"/>
          <w:sz w:val="16"/>
          <w:szCs w:val="16"/>
          <w:color w:val="auto"/>
        </w:rPr>
      </w:pPr>
    </w:p>
    <w:p>
      <w:pPr>
        <w:ind w:left="1020" w:hanging="503"/>
        <w:spacing w:after="0" w:line="328" w:lineRule="auto"/>
        <w:tabs>
          <w:tab w:leader="none" w:pos="10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149" w:lineRule="exact"/>
        <w:rPr>
          <w:rFonts w:ascii="Arial" w:cs="Arial" w:eastAsia="Arial" w:hAnsi="Arial"/>
          <w:sz w:val="15"/>
          <w:szCs w:val="15"/>
          <w:color w:val="auto"/>
        </w:rPr>
      </w:pPr>
    </w:p>
    <w:p>
      <w:pPr>
        <w:ind w:left="1020" w:right="380" w:hanging="503"/>
        <w:spacing w:after="0" w:line="278"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84" w:lineRule="exact"/>
        <w:rPr>
          <w:rFonts w:ascii="Arial" w:cs="Arial" w:eastAsia="Arial" w:hAnsi="Arial"/>
          <w:sz w:val="16"/>
          <w:szCs w:val="16"/>
          <w:color w:val="auto"/>
        </w:rPr>
      </w:pPr>
    </w:p>
    <w:p>
      <w:pPr>
        <w:ind w:left="1020" w:right="260" w:hanging="503"/>
        <w:spacing w:after="0" w:line="293"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Product candidates developed in collaboration with us may be viewed by any collaborators as competitive with their own product candidates or products, which may cause collaborators to cease to devote resources to the commercialization of our product candidates;</w:t>
      </w:r>
    </w:p>
    <w:p>
      <w:pPr>
        <w:spacing w:after="0" w:line="171" w:lineRule="exact"/>
        <w:rPr>
          <w:rFonts w:ascii="Arial" w:cs="Arial" w:eastAsia="Arial" w:hAnsi="Arial"/>
          <w:sz w:val="16"/>
          <w:szCs w:val="16"/>
          <w:color w:val="auto"/>
        </w:rPr>
      </w:pPr>
    </w:p>
    <w:p>
      <w:pPr>
        <w:ind w:left="1020" w:right="200" w:hanging="503"/>
        <w:spacing w:after="0" w:line="293"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71" w:lineRule="exact"/>
        <w:rPr>
          <w:rFonts w:ascii="Arial" w:cs="Arial" w:eastAsia="Arial" w:hAnsi="Arial"/>
          <w:sz w:val="16"/>
          <w:szCs w:val="16"/>
          <w:color w:val="auto"/>
        </w:rPr>
      </w:pPr>
    </w:p>
    <w:p>
      <w:pPr>
        <w:ind w:left="1020" w:right="320" w:hanging="503"/>
        <w:spacing w:after="0" w:line="273"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of any programs or product candidates, may cause delays or termination of the research, development, manufacture or commercialization of such programs or product candidates, may lead to additional responsibilities for us with respect to such programs or product candidates or may result in litigation or arbitration, any of which would be time-consuming and expensive;</w:t>
      </w:r>
    </w:p>
    <w:p>
      <w:pPr>
        <w:spacing w:after="0" w:line="188" w:lineRule="exact"/>
        <w:rPr>
          <w:rFonts w:ascii="Arial" w:cs="Arial" w:eastAsia="Arial" w:hAnsi="Arial"/>
          <w:sz w:val="16"/>
          <w:szCs w:val="16"/>
          <w:color w:val="auto"/>
        </w:rPr>
      </w:pPr>
    </w:p>
    <w:p>
      <w:pPr>
        <w:ind w:left="1020" w:hanging="503"/>
        <w:spacing w:after="0" w:line="297" w:lineRule="auto"/>
        <w:tabs>
          <w:tab w:leader="none" w:pos="10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For example, Genentech has the first right to enforce or defend certain of our intellectual property rights under our collaboration, and although we may have the right to assume the enforcement and defense of such intellectual property rights if Genentech does not, our ability to do so may be compromised by Genentech’s actions;</w:t>
      </w:r>
    </w:p>
    <w:p>
      <w:pPr>
        <w:spacing w:after="0" w:line="172" w:lineRule="exact"/>
        <w:rPr>
          <w:rFonts w:ascii="Arial" w:cs="Arial" w:eastAsia="Arial" w:hAnsi="Arial"/>
          <w:sz w:val="15"/>
          <w:szCs w:val="15"/>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Disputes may arise with respect to the ownership of intellectual property developed pursuant to our collaborations;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Collaborators may infringe the intellectual property rights of third parties, which may expose us to litigation and potential liability; and</w:t>
      </w:r>
    </w:p>
    <w:p>
      <w:pPr>
        <w:spacing w:after="0" w:line="234" w:lineRule="exact"/>
        <w:rPr>
          <w:rFonts w:ascii="Arial" w:cs="Arial" w:eastAsia="Arial" w:hAnsi="Arial"/>
          <w:sz w:val="16"/>
          <w:szCs w:val="16"/>
          <w:color w:val="auto"/>
        </w:rPr>
      </w:pPr>
    </w:p>
    <w:p>
      <w:pPr>
        <w:ind w:left="1020" w:right="20" w:hanging="503"/>
        <w:spacing w:after="0" w:line="278"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Collaborations may be terminated for the convenience of the collaborator and, if terminated, we could be required to raise additional capital to pursue further development or commercialization of the applicable product candidates. For example, Genentech may terminate its collaboration with us for convenience after a specified notice period.</w:t>
      </w:r>
    </w:p>
    <w:p>
      <w:pPr>
        <w:spacing w:after="0" w:line="184" w:lineRule="exact"/>
        <w:rPr>
          <w:sz w:val="20"/>
          <w:szCs w:val="20"/>
          <w:color w:val="auto"/>
        </w:rPr>
      </w:pPr>
    </w:p>
    <w:p>
      <w:pPr>
        <w:jc w:val="both"/>
        <w:ind w:right="180"/>
        <w:spacing w:after="0" w:line="297" w:lineRule="auto"/>
        <w:rPr>
          <w:sz w:val="20"/>
          <w:szCs w:val="20"/>
          <w:color w:val="auto"/>
        </w:rPr>
      </w:pPr>
      <w:r>
        <w:rPr>
          <w:rFonts w:ascii="Arial" w:cs="Arial" w:eastAsia="Arial" w:hAnsi="Arial"/>
          <w:sz w:val="15"/>
          <w:szCs w:val="15"/>
          <w:color w:val="auto"/>
        </w:rPr>
        <w:t>If our collaborations do not result in the successful development and commercialization of products, or if one of any future collaborators terminates its agreement with us, we may not receive any milestone or royalty payments under the collaboration. If we do not receive the payments we expect under these agreements, our development of product candidates could be delayed and we may need additional resources to develop our product candidates. All of the risks relating to product development, regulatory approval and commercialization summarized and described in this report also apply to the activities of our collaborators.</w:t>
      </w:r>
    </w:p>
    <w:p>
      <w:pPr>
        <w:spacing w:after="0" w:line="172"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color w:val="auto"/>
        </w:rPr>
        <w:t>In addition, if any collaborator terminates its agreement with us, we may find it more difficult to attract new collaborators and our reputation among the business and financial communities could be adversely affected.</w:t>
      </w:r>
    </w:p>
    <w:p>
      <w:pPr>
        <w:spacing w:after="0" w:line="172"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17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63" w:name="page64"/>
    <w:bookmarkEnd w:id="63"/>
    <w:p>
      <w:pPr>
        <w:spacing w:after="0" w:line="288" w:lineRule="auto"/>
        <w:rPr>
          <w:sz w:val="20"/>
          <w:szCs w:val="20"/>
          <w:color w:val="auto"/>
        </w:rPr>
      </w:pPr>
      <w:r>
        <w:rPr>
          <w:rFonts w:ascii="Arial" w:cs="Arial" w:eastAsia="Arial" w:hAnsi="Arial"/>
          <w:sz w:val="15"/>
          <w:szCs w:val="15"/>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4"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b w:val="1"/>
          <w:bCs w:val="1"/>
          <w:i w:val="1"/>
          <w:iCs w:val="1"/>
          <w:color w:val="auto"/>
        </w:rPr>
        <w:t>We may be required to pay certain milestones and royalties under our license or collaboration agreements with third-party licensors or collaborators, which may adversely affect the overall profitability of any products that we may seek to commercialize.</w:t>
      </w:r>
    </w:p>
    <w:p>
      <w:pPr>
        <w:spacing w:after="0" w:line="17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Under our current and future license or collaboration agreements, including our DESRES Agreement, we may be required to pay milestones, royalties and other payments based on our revenues, including revenues from product sales, and these milestones and royalty payments could adversely affect the overall profitability of any products that we may seek to commercialize. In order to maintain our rights under these agreements, we may need to meet certain specified milestones in the development of our product candidates. Further, our licensors (or their licensors), licensees or other strategic collaborators may dispute the terms, including amounts, that we are required to pay under the respective license or collaboration agreements. If these claims result in a material increase in the amounts that we are required to pay to our licensors or collaborators, or in the event of a claim of breach of the license, our ability to research, develop and obtain approval of product candidates or to commercialize our products could be significantly impaired.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Position and Ability to Raise Additional Capital</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Our Operating History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biopharmaceutical company with a limited operating history.</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We are a biopharmaceutical company with a limited operating history and have incurred net losses in each year since our inception. Our net losses were $290.5 million,</w:t>
      </w:r>
    </w:p>
    <w:p>
      <w:pPr>
        <w:spacing w:after="0" w:line="34"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$363.9 million, and $52.4 million for the years ended December 31, 2022, 2021, and 2020, respectively. We had an accumulated deficit of $1.1 billion as of December 31, 2022. Biopharmaceutical product development is a highly speculative undertaking and involves a substantial degree of risk. We commenced operations in May 2015. Since inception, we have focused substantially all of our efforts and financial resources on developing our Dynamo drug discovery platform and initial product candidates.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anticipate that we will incur continued losses for the foreseeable future.</w:t>
      </w:r>
    </w:p>
    <w:p>
      <w:pPr>
        <w:spacing w:after="0" w:line="23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outsourced-manufacturing expenses.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90"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The amount of our future losses is uncertain and our quarterly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184" w:lineRule="exact"/>
        <w:rPr>
          <w:sz w:val="20"/>
          <w:szCs w:val="20"/>
          <w:color w:val="auto"/>
        </w:rPr>
      </w:pPr>
    </w:p>
    <w:p>
      <w:pPr>
        <w:ind w:left="1020" w:right="580" w:hanging="503"/>
        <w:spacing w:after="0" w:line="293"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ability to successfully recruit and retain subjects for clinical trials, and any delays caused by difficulties in such efforts;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ability to obtain marketing approval for our product candidates, and the timing and scope of any such approvals we may receive;</w:t>
      </w:r>
    </w:p>
    <w:p>
      <w:pPr>
        <w:spacing w:after="0" w:line="234" w:lineRule="exact"/>
        <w:rPr>
          <w:rFonts w:ascii="Arial" w:cs="Arial" w:eastAsia="Arial" w:hAnsi="Arial"/>
          <w:sz w:val="16"/>
          <w:szCs w:val="16"/>
          <w:color w:val="auto"/>
        </w:rPr>
      </w:pPr>
    </w:p>
    <w:p>
      <w:pPr>
        <w:ind w:left="1020" w:right="280" w:hanging="503"/>
        <w:spacing w:after="0" w:line="293"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activities relating to our product candidates, which may change from time to time;</w:t>
      </w:r>
    </w:p>
    <w:p>
      <w:pPr>
        <w:spacing w:after="0" w:line="171" w:lineRule="exact"/>
        <w:rPr>
          <w:rFonts w:ascii="Arial" w:cs="Arial" w:eastAsia="Arial" w:hAnsi="Arial"/>
          <w:sz w:val="16"/>
          <w:szCs w:val="16"/>
          <w:color w:val="auto"/>
        </w:rPr>
      </w:pPr>
    </w:p>
    <w:p>
      <w:pPr>
        <w:ind w:left="1020" w:right="820" w:hanging="503"/>
        <w:spacing w:after="0" w:line="293"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 of manufacturing our product candidates, which may vary depending on the quantity of production and the terms of our agreements with manufacturers;</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ability to attract, hire and retain qualified personnel;</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expenditures that we will or may incur to develop additional product candidates;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level of demand for our product candidates should they receive approval, which may vary significantly;</w:t>
      </w:r>
    </w:p>
    <w:p>
      <w:pPr>
        <w:spacing w:after="0" w:line="234" w:lineRule="exact"/>
        <w:rPr>
          <w:rFonts w:ascii="Arial" w:cs="Arial" w:eastAsia="Arial" w:hAnsi="Arial"/>
          <w:sz w:val="16"/>
          <w:szCs w:val="16"/>
          <w:color w:val="auto"/>
        </w:rPr>
      </w:pPr>
    </w:p>
    <w:p>
      <w:pPr>
        <w:ind w:left="1020" w:right="260" w:hanging="503"/>
        <w:spacing w:after="0" w:line="293"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risk/benefit profile, cost and reimbursement policies with respect to our product candidates, if approved, and existing and potential future therapeutics that compete with our product candidates;</w:t>
      </w:r>
    </w:p>
    <w:p>
      <w:pPr>
        <w:spacing w:after="0" w:line="171" w:lineRule="exact"/>
        <w:rPr>
          <w:rFonts w:ascii="Arial" w:cs="Arial" w:eastAsia="Arial" w:hAnsi="Arial"/>
          <w:sz w:val="16"/>
          <w:szCs w:val="16"/>
          <w:color w:val="auto"/>
        </w:rPr>
      </w:pPr>
    </w:p>
    <w:p>
      <w:pPr>
        <w:ind w:left="1020" w:hanging="503"/>
        <w:spacing w:after="0" w:line="293"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changing and volatile U.S. and global economic environments, including as a result of the ongoing COVID-19 pandemic, or unstable political conditions, such as the current conflict between Russia and Ukraine; and</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w:t>
      </w:r>
    </w:p>
    <w:p>
      <w:pPr>
        <w:spacing w:after="0" w:line="235"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securities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i w:val="1"/>
          <w:iCs w:val="1"/>
          <w:color w:val="auto"/>
        </w:rPr>
        <w:t>We have no products approved for commercial sale and we have not generated any revenue from product sales.</w:t>
      </w:r>
    </w:p>
    <w:p>
      <w:pPr>
        <w:spacing w:after="0" w:line="23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Our ability to become profitable depends upon our ability to generate revenue. To date, we have no products approved for commercial sale, we have not generated any revenue from our product sales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189"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successfully complete preclinical studies;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successfully enroll subjects in, and complete, clinical trials;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have our IND applications go into effect for our planned clinical trials or future clinical trials;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receive regulatory approvals from applicable regulatory authorities;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U.S. and foreign marketing approval for our product candidates;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establish commercial manufacturing capabilities or make arrangements with third-party manufacturers for clinical supply and commercial manufacturing;</w:t>
      </w:r>
    </w:p>
    <w:p>
      <w:pPr>
        <w:spacing w:after="0" w:line="246" w:lineRule="exact"/>
        <w:rPr>
          <w:rFonts w:ascii="Arial" w:cs="Arial" w:eastAsia="Arial" w:hAnsi="Arial"/>
          <w:sz w:val="15"/>
          <w:szCs w:val="15"/>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obtain and maintain patent and trade secret protection or regulatory exclusivity for our product candidates;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launch commercial sales of our product candidates, if and when approved, whether alone or in collaboration with others;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obtain and maintain acceptance of the product candidates, if and when approved, by patients, the medical community and third-party payors;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effectively compete with other therapies;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obtain and maintain healthcare coverage and adequate reimbursement;</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enforce and defend intellectual property rights and claims;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take precautionary measures to help minimize the risk of COVID-19 or any future pandemics or similar outbreaks to our employees; and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maintain a continued acceptable safety profile of the product candidates following approval.</w:t>
      </w:r>
    </w:p>
    <w:p>
      <w:pPr>
        <w:spacing w:after="0" w:line="235"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If we do not achieve one or more of these factors in a timely manner or at all, we may experience significant delays in our commercialization efforts or we may be unable to successfully commercialize our product candidates at all, which would materially harm our business and prospects. In addition, if we do not receive regulatory approvals for our product candidates, we may not be able to continue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Raising Additional Capital</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We will need to raise substantial additional funding. If we are unable to raise capital when needed, we would be forced to delay, reduce or eliminate some of our product development programs or commercialization efforts.</w:t>
      </w:r>
    </w:p>
    <w:p>
      <w:pPr>
        <w:spacing w:after="0" w:line="172"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development of pharmaceutical products is capital-intensive. We are continuing our clinical trials of our lead product candidates, RLY-4008 and RLY-2608, and advancing our other product candidates through preclinical development. We expect our expenses to increase in connection with our ongoing activities, particularly as we continue the research and development of, initiate clinical trials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66" w:name="page67"/>
    <w:bookmarkEnd w:id="66"/>
    <w:p>
      <w:pPr>
        <w:jc w:val="both"/>
        <w:ind w:right="80"/>
        <w:spacing w:after="0" w:line="305" w:lineRule="auto"/>
        <w:rPr>
          <w:sz w:val="20"/>
          <w:szCs w:val="20"/>
          <w:color w:val="auto"/>
        </w:rPr>
      </w:pPr>
      <w:r>
        <w:rPr>
          <w:rFonts w:ascii="Arial" w:cs="Arial" w:eastAsia="Arial" w:hAnsi="Arial"/>
          <w:sz w:val="15"/>
          <w:szCs w:val="15"/>
          <w:color w:val="auto"/>
        </w:rPr>
        <w:t>expand more rapidly than we presently anticipate. Furthermore, we continue to incur additional costs associated with operating as a public company. Accordingly, we will need to obtain substantial additional funding in connection with our continuing operations. If we are unable to raise capital when needed or fail to do so on attractive terms, we would be forced to delay, reduce or eliminate certain of our research and development programs or future commercialization efforts.</w:t>
      </w:r>
    </w:p>
    <w:p>
      <w:pPr>
        <w:spacing w:after="0" w:line="166"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We expect that our existing cash and cash equivalents and investments will be sufficient to fund our operations through at least the next 12 months. Our future capital requirements will depend on and could increase significantly as a result of many factors, including:</w:t>
      </w:r>
    </w:p>
    <w:p>
      <w:pPr>
        <w:spacing w:after="0" w:line="172" w:lineRule="exact"/>
        <w:rPr>
          <w:sz w:val="20"/>
          <w:szCs w:val="20"/>
          <w:color w:val="auto"/>
        </w:rPr>
      </w:pPr>
    </w:p>
    <w:p>
      <w:pPr>
        <w:ind w:left="1020" w:right="260" w:hanging="503"/>
        <w:spacing w:after="0" w:line="278"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impact of any business interruptions to our operations, including the timing and enrollment of patients in our planned clinical trials, or to those of our manufacturers, suppliers, or other vendors, resulting from the ongoing COVID-19 pandemic or similar public health crisis or the changing political conditions such as the current conflict between Russia and Ukraine and related global economic sanctions;</w:t>
      </w:r>
    </w:p>
    <w:p>
      <w:pPr>
        <w:spacing w:after="0" w:line="184" w:lineRule="exact"/>
        <w:rPr>
          <w:rFonts w:ascii="Arial" w:cs="Arial" w:eastAsia="Arial" w:hAnsi="Arial"/>
          <w:sz w:val="16"/>
          <w:szCs w:val="16"/>
          <w:color w:val="auto"/>
        </w:rPr>
      </w:pPr>
    </w:p>
    <w:p>
      <w:pPr>
        <w:ind w:left="1020" w:right="340" w:hanging="503"/>
        <w:spacing w:after="0" w:line="293"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scope, progress, results and costs of our current and future clinical trials of RLY-4008 and RLY-2608 and additional preclinical research of our other programs;</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preclinical research and clinical trials for our other product candidates;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number of future product candidates that we pursue and their development requirements;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product candidates;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establish and maintain collaborations on favorable terms, if at all;</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success of any existing or future collaborations that we may enter into with third parties;</w:t>
      </w:r>
    </w:p>
    <w:p>
      <w:pPr>
        <w:spacing w:after="0" w:line="234" w:lineRule="exact"/>
        <w:rPr>
          <w:rFonts w:ascii="Arial" w:cs="Arial" w:eastAsia="Arial" w:hAnsi="Arial"/>
          <w:sz w:val="16"/>
          <w:szCs w:val="16"/>
          <w:color w:val="auto"/>
        </w:rPr>
      </w:pPr>
    </w:p>
    <w:p>
      <w:pPr>
        <w:ind w:left="1020" w:hanging="503"/>
        <w:spacing w:after="0" w:line="293"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and technologies, including entering into licensing or collaboration arrangements for product candidates, such as our collaboration with Genentech;</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achievement of milestones or occurrence of other developments that trigger payments under any existing or future collaboration agreements, if any;</w:t>
      </w:r>
    </w:p>
    <w:p>
      <w:pPr>
        <w:spacing w:after="0" w:line="246" w:lineRule="exact"/>
        <w:rPr>
          <w:rFonts w:ascii="Arial" w:cs="Arial" w:eastAsia="Arial" w:hAnsi="Arial"/>
          <w:sz w:val="15"/>
          <w:szCs w:val="15"/>
          <w:color w:val="auto"/>
        </w:rPr>
      </w:pPr>
    </w:p>
    <w:p>
      <w:pPr>
        <w:ind w:left="1020" w:right="100" w:hanging="503"/>
        <w:spacing w:after="0" w:line="293"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any existing or future collaboration agreements, if any;</w:t>
      </w:r>
    </w:p>
    <w:p>
      <w:pPr>
        <w:spacing w:after="0" w:line="171" w:lineRule="exact"/>
        <w:rPr>
          <w:rFonts w:ascii="Arial" w:cs="Arial" w:eastAsia="Arial" w:hAnsi="Arial"/>
          <w:sz w:val="16"/>
          <w:szCs w:val="16"/>
          <w:color w:val="auto"/>
        </w:rPr>
      </w:pPr>
    </w:p>
    <w:p>
      <w:pPr>
        <w:ind w:left="1020" w:right="60" w:hanging="503"/>
        <w:spacing w:after="0" w:line="278"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sales, marketing, manufacturing and distribution, for any of our product candidates for which we receive marketing approval, to the extent that such sales, marketing, manufacturing and distribution are not the responsibility of any collaborator that we may have at such time;</w:t>
      </w:r>
    </w:p>
    <w:p>
      <w:pPr>
        <w:spacing w:after="0" w:line="184"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 of revenue, if any, received from commercial sales of our product candidates, should any of our product candidates receive marketing approval;</w:t>
      </w:r>
    </w:p>
    <w:p>
      <w:pPr>
        <w:spacing w:after="0" w:line="257" w:lineRule="exact"/>
        <w:rPr>
          <w:rFonts w:ascii="Arial" w:cs="Arial" w:eastAsia="Arial" w:hAnsi="Arial"/>
          <w:sz w:val="14"/>
          <w:szCs w:val="14"/>
          <w:color w:val="auto"/>
        </w:rPr>
      </w:pPr>
    </w:p>
    <w:p>
      <w:pPr>
        <w:ind w:left="1020" w:right="480" w:hanging="503"/>
        <w:spacing w:after="0" w:line="293"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business operations and our research and development activities; and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costs of operating as a public company.</w:t>
      </w:r>
    </w:p>
    <w:p>
      <w:pPr>
        <w:spacing w:after="0" w:line="235" w:lineRule="exact"/>
        <w:rPr>
          <w:sz w:val="20"/>
          <w:szCs w:val="20"/>
          <w:color w:val="auto"/>
        </w:rPr>
      </w:pPr>
    </w:p>
    <w:p>
      <w:pPr>
        <w:ind w:right="160"/>
        <w:spacing w:after="0" w:line="335" w:lineRule="auto"/>
        <w:rPr>
          <w:sz w:val="20"/>
          <w:szCs w:val="20"/>
          <w:color w:val="auto"/>
        </w:rPr>
      </w:pPr>
      <w:r>
        <w:rPr>
          <w:rFonts w:ascii="Arial" w:cs="Arial" w:eastAsia="Arial" w:hAnsi="Arial"/>
          <w:sz w:val="14"/>
          <w:szCs w:val="14"/>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commercially available for many years, if at all. Accordingly, we will need to continue to rely on additional financing to achieve our business objectives.</w:t>
      </w: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Any additional fundraising efforts may divert our management from their day-to-day activities, which may adversely affect our ability to develop and commercialize our product candidates. Disruptions in the financial markets may make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8"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capital may cause dilution to our stockholders, restrict our operations or require us to relinquish rights to our technologies or product candidates.</w:t>
      </w:r>
    </w:p>
    <w:p>
      <w:pPr>
        <w:spacing w:after="0" w:line="258"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private and public equity offerings, debt financings, collaborations, strategic alliances and licensing arrangements. We do not have any committed external source of funds. To the extent that we raise additional capital through the sale of common stock or securities convertible or exchangeable into common stock, the ownership interest of our stockholders will be diluted, and the terms of those securities may include liquidation or other preferences that materially adversely affect their rights as a common stockholder. We may offer and sell up to an aggregate amount of $300.0 million of our common stock from time to time in “at the market” offerings pursuant to the sales agreement, or the Sales Agreement, with Cowen and Company, LLC, subject to the limitations thereof. As of December 31, 2022, no shares of common stock have been sold under the Sales Agreement.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0"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If we raise funds through additional collaborations, strategic alliances or licensing arrangements with third parties, we may have to relinquish valuable rights to our intellectual property,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COVID-19 and the Global Economy</w:t>
      </w:r>
    </w:p>
    <w:p>
      <w:pPr>
        <w:spacing w:after="0" w:line="239"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b w:val="1"/>
          <w:bCs w:val="1"/>
          <w:i w:val="1"/>
          <w:iCs w:val="1"/>
          <w:color w:val="auto"/>
        </w:rPr>
        <w:t>The ongoing COVID-19 pandemic has impacted our business and any future pandemic, epidemic, or outbreak of an infectious disease could similarly affect our business and our financial results and could cause further disruption to the development of our product candidates.</w:t>
      </w:r>
    </w:p>
    <w:p>
      <w:pPr>
        <w:spacing w:after="0" w:line="172"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Public health crises such as pandemics or similar outbreaks could adversely impact our business. The COVID-19 pandemic continues to evolve as new variants of COVID-19 have been identified and spread, which has led to various responses and public health safety measures. The extent to which the ongoing COVID-19 pandemic may continue to affect our operations or those of our third-party partners, including our preclinical or other nonclinical studies or clinical trial operations, will depend on future developments, which are highly uncertain and cannot be predicted with confidence, including the severity and duration of additional variant outbreaks (including acceleration of the spread of more transmissible variants of COVID-19 in the areas in which the we or our third party partners conduct operations), plateauing or stagnant vaccination and booster vaccination rates in geographies where we or our third party partners conduct operations, and the actions to contain COVID-19 or treat its impact, among others. The continued spread of COVID-19 globally could adversely impact our preclinical, other nonclinical or clinical trial operations in the United States, including our ability to obtain slots for IND-enabling studies and recruit and retain patients and principal investigators and site staff who, as healthcare providers, may have heightened exposure to COVID-19 if infection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8" w:name="page69"/>
    <w:bookmarkEnd w:id="68"/>
    <w:p>
      <w:pPr>
        <w:ind w:right="80"/>
        <w:spacing w:after="0" w:line="269" w:lineRule="auto"/>
        <w:rPr>
          <w:sz w:val="20"/>
          <w:szCs w:val="20"/>
          <w:color w:val="auto"/>
        </w:rPr>
      </w:pPr>
      <w:r>
        <w:rPr>
          <w:rFonts w:ascii="Arial" w:cs="Arial" w:eastAsia="Arial" w:hAnsi="Arial"/>
          <w:sz w:val="16"/>
          <w:szCs w:val="16"/>
          <w:color w:val="auto"/>
        </w:rPr>
        <w:t>rates substantially increase. For example, similar to other biopharmaceutical companies, we may experience delays in initiating IND-enabling studies, enrolling our clinical trials, or dosing of patients in our clinical trials as well as in activating new trial sites, and protocol deviations. COVID-19 may also affect employees of third-party CROs located in affected geographies that we rely upon to carry out our clinical trials. In addition, if any patients enrolled in our clinical trials are infected with COVID-19, they may not be able to complete these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94" w:lineRule="exact"/>
        <w:rPr>
          <w:sz w:val="20"/>
          <w:szCs w:val="20"/>
          <w:color w:val="auto"/>
        </w:rPr>
      </w:pPr>
    </w:p>
    <w:p>
      <w:pPr>
        <w:ind w:right="40"/>
        <w:spacing w:after="0" w:line="335" w:lineRule="auto"/>
        <w:rPr>
          <w:sz w:val="20"/>
          <w:szCs w:val="20"/>
          <w:color w:val="auto"/>
        </w:rPr>
      </w:pPr>
      <w:r>
        <w:rPr>
          <w:rFonts w:ascii="Arial" w:cs="Arial" w:eastAsia="Arial" w:hAnsi="Arial"/>
          <w:sz w:val="14"/>
          <w:szCs w:val="14"/>
          <w:color w:val="auto"/>
        </w:rPr>
        <w:t>Additionally, timely enrollment in ongoing and planned future clinical trials is dependent upon clinical trial sites which could be adversely affected by global health matters, such as pandemics. We conduct clinical trials for our product candidates in geographies which continue to be affected by COVID-19. Some factors from the ongoing COVID-19 pandemic that will delay or otherwise adversely affect enrollment in the clinical trials of our product candidates, as well as our business generally, include:</w:t>
      </w:r>
    </w:p>
    <w:p>
      <w:pPr>
        <w:spacing w:after="0" w:line="149" w:lineRule="exact"/>
        <w:rPr>
          <w:sz w:val="20"/>
          <w:szCs w:val="20"/>
          <w:color w:val="auto"/>
        </w:rPr>
      </w:pPr>
    </w:p>
    <w:p>
      <w:pPr>
        <w:ind w:left="1020" w:right="140" w:hanging="503"/>
        <w:spacing w:after="0" w:line="369" w:lineRule="auto"/>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clinical trials;</w:t>
      </w:r>
    </w:p>
    <w:p>
      <w:pPr>
        <w:spacing w:after="0" w:line="125" w:lineRule="exact"/>
        <w:rPr>
          <w:rFonts w:ascii="Arial" w:cs="Arial" w:eastAsia="Arial" w:hAnsi="Arial"/>
          <w:sz w:val="14"/>
          <w:szCs w:val="14"/>
          <w:color w:val="auto"/>
        </w:rPr>
      </w:pPr>
    </w:p>
    <w:p>
      <w:pPr>
        <w:ind w:left="1020" w:right="240" w:hanging="503"/>
        <w:spacing w:after="0" w:line="297" w:lineRule="auto"/>
        <w:tabs>
          <w:tab w:leader="none" w:pos="10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172" w:lineRule="exact"/>
        <w:rPr>
          <w:rFonts w:ascii="Arial" w:cs="Arial" w:eastAsia="Arial" w:hAnsi="Arial"/>
          <w:sz w:val="15"/>
          <w:szCs w:val="15"/>
          <w:color w:val="auto"/>
        </w:rPr>
      </w:pPr>
    </w:p>
    <w:p>
      <w:pPr>
        <w:ind w:left="1020" w:right="180" w:hanging="503"/>
        <w:spacing w:after="0" w:line="278"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potential negative effect on the operations of our third-party manufacturers, suppliers or other collaboration partners, including issues due to worker shortages, supply chain disruptions such as delays in procurement of manufacturing equipment and any related parts, facilities and production suspensions and a sudden increase in demand for certain goods and services, such as medical services and supplies;</w:t>
      </w:r>
    </w:p>
    <w:p>
      <w:pPr>
        <w:spacing w:after="0" w:line="184" w:lineRule="exact"/>
        <w:rPr>
          <w:rFonts w:ascii="Arial" w:cs="Arial" w:eastAsia="Arial" w:hAnsi="Arial"/>
          <w:sz w:val="16"/>
          <w:szCs w:val="16"/>
          <w:color w:val="auto"/>
        </w:rPr>
      </w:pPr>
    </w:p>
    <w:p>
      <w:pPr>
        <w:ind w:left="1020" w:right="80" w:hanging="503"/>
        <w:spacing w:after="0" w:line="293" w:lineRule="auto"/>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interruption in global shipping affecting the transport of clinical trial materials, such as patient samples, investigational drug product and conditioning drugs and other supplies used in our clinical trials; and</w:t>
      </w:r>
    </w:p>
    <w:p>
      <w:pPr>
        <w:spacing w:after="0" w:line="171" w:lineRule="exact"/>
        <w:rPr>
          <w:rFonts w:ascii="Arial" w:cs="Arial" w:eastAsia="Arial" w:hAnsi="Arial"/>
          <w:sz w:val="16"/>
          <w:szCs w:val="16"/>
          <w:color w:val="auto"/>
        </w:rPr>
      </w:pPr>
    </w:p>
    <w:p>
      <w:pPr>
        <w:ind w:left="1020" w:right="20" w:hanging="503"/>
        <w:spacing w:after="0" w:line="335" w:lineRule="auto"/>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We cannot presently predict the scope and severity of the planned and potential shutdowns or disruptions of businesses and government agencies, such as the SEC or FDA.</w:t>
      </w:r>
    </w:p>
    <w:p>
      <w:pPr>
        <w:spacing w:after="0" w:line="258"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These and other factors arising from the ongoing COVID-19 pandemic could worsen as the pandemic continues to evolve. Any of these factors, and other factors related to any unforeseen disruptions, have had and could continue to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w:t>
      </w:r>
    </w:p>
    <w:p>
      <w:pPr>
        <w:spacing w:after="0" w:line="189" w:lineRule="exact"/>
        <w:rPr>
          <w:sz w:val="20"/>
          <w:szCs w:val="20"/>
          <w:color w:val="auto"/>
        </w:rPr>
      </w:pPr>
    </w:p>
    <w:p>
      <w:pPr>
        <w:jc w:val="both"/>
        <w:ind w:right="40"/>
        <w:spacing w:after="0" w:line="278" w:lineRule="auto"/>
        <w:rPr>
          <w:sz w:val="20"/>
          <w:szCs w:val="20"/>
          <w:color w:val="auto"/>
        </w:rPr>
      </w:pPr>
      <w:r>
        <w:rPr>
          <w:rFonts w:ascii="Arial" w:cs="Arial" w:eastAsia="Arial" w:hAnsi="Arial"/>
          <w:sz w:val="16"/>
          <w:szCs w:val="16"/>
          <w:b w:val="1"/>
          <w:bCs w:val="1"/>
          <w:i w:val="1"/>
          <w:iCs w:val="1"/>
          <w:color w:val="auto"/>
        </w:rPr>
        <w:t>Global economic and political conditions, including the economic uncertainty tied to inflation and rising interest rates as well as political uncertainty relating to Russia and Ukraine, are difficult to mitigate and could pose challenges to our growth and profitability and could adversely affect our business, financial condition or results of operations.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Unstable market and economic conditions may have adverse consequences on our business, financial condition or results of operations. The global economy, in particular the credit and financial markets, has recently experienced significant volatility and disruptions, including diminished liquidity and credit availability, volatility in commodity prices, declines in consumer confidence and economic growth, and supply chain interruptions. Other factors, including rising interest rates and record inflation, may also increase the general cost of doing business. Continued economic uncertainty caused by these and other factors, including political instability, conflicts or crises involving individual countries or regions, such as the current conflict between Russia and Ukraine, and any associated economic sanctions, could result in a variety of risks to our business, including difficulty in enrolling participants in our clinical trials, difficulty in forecasting our financial results and managing inventory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69" w:name="page70"/>
    <w:bookmarkEnd w:id="69"/>
    <w:p>
      <w:pPr>
        <w:ind w:right="80"/>
        <w:spacing w:after="0" w:line="289" w:lineRule="auto"/>
        <w:rPr>
          <w:sz w:val="20"/>
          <w:szCs w:val="20"/>
          <w:color w:val="auto"/>
        </w:rPr>
      </w:pPr>
      <w:r>
        <w:rPr>
          <w:rFonts w:ascii="Arial" w:cs="Arial" w:eastAsia="Arial" w:hAnsi="Arial"/>
          <w:sz w:val="15"/>
          <w:szCs w:val="15"/>
          <w:color w:val="auto"/>
        </w:rPr>
        <w:t>levels, increases in our business costs, which in turn affect our ability to develop our current and future product candidates, and negatively impacting our ability to raise additional capital when needed on acceptable terms, if at all. In addition, political developments impacting government spending and international trade, including changes in trade agreements, potential government shutdowns and trade disputes and tariffs, such as the ongoing trade dispute between the United States and China, may negatively impact markets and cause weaker macroeconomic conditions. These global economic and political factors have also strained and could continue to strain certain of our suppliers and manufacturers, possibly resulting in supply disruptions or increased raw material or manufacturing costs, or adversely impacting their ability to manufacture clinical trial materials for our product candidates. Any of the foregoing could harm our business and prospects and we cannot anticipate all of the ways in which the current economic climate and financial market conditions could adversely impact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Protecting Our Intellectual Property</w:t>
      </w:r>
    </w:p>
    <w:p>
      <w:pPr>
        <w:spacing w:after="0" w:line="23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b w:val="1"/>
          <w:bCs w:val="1"/>
          <w:i w:val="1"/>
          <w:iCs w:val="1"/>
          <w:color w:val="auto"/>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p>
    <w:p>
      <w:pPr>
        <w:spacing w:after="0" w:line="184"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Our commercial success will depend in part on our ability to obtain and maintain proprietary or intellectual property protection in the United States and other countries for our product candidates, and our core technologies, including our novel target discovery technology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 Other than our U.S. patent relating to RLY-1971 (now referred to as GDC-1971) composition of matter, we do not own or in-license any issued patents relating to our platform or our lead product candidates under clinical development.</w:t>
      </w:r>
    </w:p>
    <w:p>
      <w:pPr>
        <w:spacing w:after="0" w:line="190"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Pursuant to the Genentech Agreement, we have granted an exclusive, worldwide, royalty-bearing license to Genentech, with the right to sublicense, develop and commercialize GDC-1971 and any other SHP2 inhibitors developed under the Genentech Agreement. Genentech has the first right, but not the obligation, to file, prosecute and maintain any patents licensed to it, as well as to enforce infringement of or defend claims against such patents that relate to GDC-1971 or other SHP2 inhibitors. See “Risks Related to Our Reliance on Third Parties</w:t>
      </w:r>
      <w:r>
        <w:rPr>
          <w:rFonts w:ascii="Arial" w:cs="Arial" w:eastAsia="Arial" w:hAnsi="Arial"/>
          <w:sz w:val="15"/>
          <w:szCs w:val="15"/>
          <w:i w:val="1"/>
          <w:iCs w:val="1"/>
          <w:color w:val="auto"/>
        </w:rPr>
        <w:t>— We have and may enter into collaborations with third parties for the research, development, manufacture and</w:t>
      </w:r>
      <w:r>
        <w:rPr>
          <w:rFonts w:ascii="Arial" w:cs="Arial" w:eastAsia="Arial" w:hAnsi="Arial"/>
          <w:sz w:val="15"/>
          <w:szCs w:val="15"/>
          <w:color w:val="auto"/>
        </w:rPr>
        <w:t xml:space="preserve"> </w:t>
      </w:r>
      <w:r>
        <w:rPr>
          <w:rFonts w:ascii="Arial" w:cs="Arial" w:eastAsia="Arial" w:hAnsi="Arial"/>
          <w:sz w:val="15"/>
          <w:szCs w:val="15"/>
          <w:i w:val="1"/>
          <w:iCs w:val="1"/>
          <w:color w:val="auto"/>
        </w:rPr>
        <w:t>commercialization of one or more of our programs or product candidates. If these collaborations are not successful, our business could be adversely affected</w:t>
      </w:r>
      <w:r>
        <w:rPr>
          <w:rFonts w:ascii="Arial" w:cs="Arial" w:eastAsia="Arial" w:hAnsi="Arial"/>
          <w:sz w:val="15"/>
          <w:szCs w:val="15"/>
          <w:color w:val="auto"/>
        </w:rPr>
        <w:t>.” for a</w:t>
      </w:r>
      <w:r>
        <w:rPr>
          <w:rFonts w:ascii="Arial" w:cs="Arial" w:eastAsia="Arial" w:hAnsi="Arial"/>
          <w:sz w:val="15"/>
          <w:szCs w:val="15"/>
          <w:i w:val="1"/>
          <w:iCs w:val="1"/>
          <w:color w:val="auto"/>
        </w:rPr>
        <w:t xml:space="preserve"> </w:t>
      </w:r>
      <w:r>
        <w:rPr>
          <w:rFonts w:ascii="Arial" w:cs="Arial" w:eastAsia="Arial" w:hAnsi="Arial"/>
          <w:sz w:val="15"/>
          <w:szCs w:val="15"/>
          <w:color w:val="auto"/>
        </w:rPr>
        <w:t>discussion of risks related to the protection of our intellectual property rights under our collaborations.</w:t>
      </w:r>
    </w:p>
    <w:p>
      <w:pPr>
        <w:spacing w:after="0" w:line="17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Most of the research and development for our programs has been performed under the DESRES Agreement. Under the DESRES Agreement, D. E. Shaw Research controls the rights to its technology (including its supercomputer and software, each of which are important aspects of our Dynamo platform), we control the rights to certain compounds, and we jointly own with D. E. Shaw Research any other work product created by D. E. Shaw Research and us. Subject to certain limits, we have the right to have the following work product assigned to us: the composition of matter, method of use, and method of manufacture of certain compounds directed to a Category 1 Target, as set forth in the DESRES Agreement.</w:t>
      </w:r>
    </w:p>
    <w:p>
      <w:pPr>
        <w:spacing w:after="0" w:line="19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not yet designated all of the compounds for which we will have this right of assignment, and thus, we do not yet know the scope of exclusivity we will enjoy under our patent rights for our product candidates.</w:t>
      </w:r>
    </w:p>
    <w:p>
      <w:pPr>
        <w:spacing w:after="0" w:line="172"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After any work product is assigned to us, we will have the right to prepare, file, prosecute and maintain patents that cover such assigned work product. We also have the implicit right to defend patents that cover work product owned by us.</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To date, much of the work product created under our agreement with D. E. Shaw Research has been created by D. E. Shaw Research and us, together, and is thus co-owned. We have the first right to prepare, file, prosecute, maintain and defend patents that cover work product jointly created by D. E. Shaw Research and us. If we choose not to exercise those rights with respect to patents and patent applications that cover joint work product, D. E. Shaw Research will have the right to take over such activities, unless such rights are waived, as is the case for our co-owned SHP2 patent applications. The party that is preparing, filing, prosecuting and maintaining a patent that covers joint work product also has the right to enforce such patent against infringers.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70" w:name="page71"/>
    <w:bookmarkEnd w:id="70"/>
    <w:p>
      <w:pPr>
        <w:ind w:right="60"/>
        <w:spacing w:after="0" w:line="293" w:lineRule="auto"/>
        <w:rPr>
          <w:sz w:val="20"/>
          <w:szCs w:val="20"/>
          <w:color w:val="auto"/>
        </w:rPr>
      </w:pPr>
      <w:r>
        <w:rPr>
          <w:rFonts w:ascii="Arial" w:cs="Arial" w:eastAsia="Arial" w:hAnsi="Arial"/>
          <w:sz w:val="16"/>
          <w:szCs w:val="16"/>
          <w:b w:val="1"/>
          <w:bCs w:val="1"/>
          <w:i w:val="1"/>
          <w:iCs w:val="1"/>
          <w:color w:val="auto"/>
        </w:rPr>
        <w:t>The patent position of biotechnology and pharmaceutical companies generally is highly uncertain, involves complex legal and factual questions and has in recent years been the subject of much litigation.</w:t>
      </w:r>
    </w:p>
    <w:p>
      <w:pPr>
        <w:spacing w:after="0" w:line="172" w:lineRule="exact"/>
        <w:rPr>
          <w:sz w:val="20"/>
          <w:szCs w:val="20"/>
          <w:color w:val="auto"/>
        </w:rPr>
      </w:pPr>
    </w:p>
    <w:p>
      <w:pPr>
        <w:ind w:right="140"/>
        <w:spacing w:after="0" w:line="310" w:lineRule="auto"/>
        <w:rPr>
          <w:sz w:val="20"/>
          <w:szCs w:val="20"/>
          <w:color w:val="auto"/>
        </w:rPr>
      </w:pPr>
      <w:r>
        <w:rPr>
          <w:rFonts w:ascii="Arial" w:cs="Arial" w:eastAsia="Arial" w:hAnsi="Arial"/>
          <w:sz w:val="14"/>
          <w:szCs w:val="14"/>
          <w:color w:val="auto"/>
        </w:rPr>
        <w:t>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pending patent applications will issue, or that any of our pending patent applications that mature into issued patents will include claims with a scope sufficient to protect our lead product candidates under clinical development, RLY-4008, RLY-2608, GDC-1971, or our other product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patent portfolio and any patent portfolio we may license in the future may not provide us with adequate and continuing patent protection sufficient to exclude others from commercializing products similar or identical to our product candidates, including generic versions of such products.</w:t>
      </w:r>
    </w:p>
    <w:p>
      <w:pPr>
        <w:spacing w:after="0" w:line="16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have licensed patent rights, and in the future may license additional patent rights, to or from third parties. For example, we have licensed our patent rights to our SHP2 program to Genentech. These licensed patent rights may be valuable to our business, and we may not have the right to control the preparation, filing and prosecution of patent applications, or to maintain the patents, covering technology or medicines underlying such licenses. We cannot be certain that these patents and applications will be prosecuted and enforced in a manner consistent with the best interests of our business. If any such licensors or licensees fail to maintain such patents, or lose rights to those patents, the rights we have licensed may be reduced or eliminated and our right to develop and commercialize any of our products that are the subject of such licensed rights could be adversely affected.</w:t>
      </w:r>
    </w:p>
    <w:p>
      <w:pPr>
        <w:spacing w:after="0" w:line="194"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0"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product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90"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parties review, post-grant review or interference proceedings challenging our patent rights or the patent rights of others from whom we have obtained licenses to such rights.</w:t>
      </w:r>
    </w:p>
    <w:p>
      <w:pPr>
        <w:spacing w:after="0" w:line="163"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1" w:name="page72"/>
    <w:bookmarkEnd w:id="71"/>
    <w:p>
      <w:pPr>
        <w:ind w:right="20"/>
        <w:spacing w:after="0" w:line="289" w:lineRule="auto"/>
        <w:rPr>
          <w:sz w:val="20"/>
          <w:szCs w:val="20"/>
          <w:color w:val="auto"/>
        </w:rPr>
      </w:pPr>
      <w:r>
        <w:rPr>
          <w:rFonts w:ascii="Arial" w:cs="Arial" w:eastAsia="Arial" w:hAnsi="Arial"/>
          <w:sz w:val="15"/>
          <w:szCs w:val="15"/>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With respect to intellectual property arising in the course of our collaboration with D. E. Shaw Research, disagreements between us and D. E. Shaw Research may impact our exclusive control of intellectual property important for protecting our product candidates and proprietary position. A loss of exclusivity, in whole or in part, could allow others to compete with us and harm our business.</w:t>
      </w:r>
    </w:p>
    <w:p>
      <w:pPr>
        <w:spacing w:after="0" w:line="180" w:lineRule="exact"/>
        <w:rPr>
          <w:sz w:val="20"/>
          <w:szCs w:val="20"/>
          <w:color w:val="auto"/>
        </w:rPr>
      </w:pPr>
    </w:p>
    <w:p>
      <w:pPr>
        <w:ind w:right="20"/>
        <w:spacing w:after="0" w:line="318" w:lineRule="auto"/>
        <w:rPr>
          <w:sz w:val="20"/>
          <w:szCs w:val="20"/>
          <w:color w:val="auto"/>
        </w:rPr>
      </w:pPr>
      <w:r>
        <w:rPr>
          <w:rFonts w:ascii="Arial" w:cs="Arial" w:eastAsia="Arial" w:hAnsi="Arial"/>
          <w:sz w:val="14"/>
          <w:szCs w:val="14"/>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2"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Even if they are unchallenged, our owned patent portfolio and any patent portfolio we may license in the future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spacing w:after="0" w:line="194" w:lineRule="exact"/>
        <w:rPr>
          <w:sz w:val="20"/>
          <w:szCs w:val="20"/>
          <w:color w:val="auto"/>
        </w:rPr>
      </w:pPr>
    </w:p>
    <w:p>
      <w:pPr>
        <w:ind w:right="200"/>
        <w:spacing w:after="0" w:line="328"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product candidates, which would have a material adverse effect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secure trademark registrations could adversely affect our business and our ability to market our products and product candidates.</w:t>
      </w:r>
    </w:p>
    <w:p>
      <w:pPr>
        <w:spacing w:after="0" w:line="235"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Our trademark applications in the United States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USPTO and in corresponding foreign agencies,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business and our ability to market our products and product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our business and competitive position may be harmed.</w:t>
      </w:r>
    </w:p>
    <w:p>
      <w:pPr>
        <w:spacing w:after="0" w:line="235"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2" w:name="page73"/>
    <w:bookmarkEnd w:id="72"/>
    <w:p>
      <w:pPr>
        <w:ind w:right="40"/>
        <w:spacing w:after="0" w:line="291" w:lineRule="auto"/>
        <w:rPr>
          <w:sz w:val="20"/>
          <w:szCs w:val="20"/>
          <w:color w:val="auto"/>
        </w:rPr>
      </w:pPr>
      <w:r>
        <w:rPr>
          <w:rFonts w:ascii="Arial" w:cs="Arial" w:eastAsia="Arial" w:hAnsi="Arial"/>
          <w:sz w:val="15"/>
          <w:szCs w:val="15"/>
          <w:color w:val="auto"/>
        </w:rPr>
        <w:t>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76"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products, our competitive position could be adversely affected, as could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Intellectual Property Litigation</w:t>
      </w:r>
    </w:p>
    <w:p>
      <w:pPr>
        <w:spacing w:after="0" w:line="23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product candidates and technology, including interference proceedings before the USPTO. Our competitors or other third parties may assert infringement claims against us, alleging that our products or technologies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SHP2 inhibitors, FGFR2 inhibitors, PI3K inhibitors, CDK2 inhibitors and ERα degraders. Some of these patent applications have already been allowed or issued, and others may issue in the future. Since these areas are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or the practice of our technology. If a patent holder believes our product or product candidate infringes on its patent, the patent holder may sue us even if we have received patent protection for our technology. Moreover, we may face patent infringement claims from non-practicing entities that have no relevant product revenue and against whom our owned patent portfolio and any patent portfolio we may license in the future may thus have no deterrent effect.</w:t>
      </w:r>
    </w:p>
    <w:p>
      <w:pPr>
        <w:spacing w:after="0" w:line="181"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product candidates and technology. We may choose to obtain a license, even in the absence of an action or finding of infringement. In either case,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product candidates. In addition, we could be found liable for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If we lose a foreign patent lawsuit, alleging our infringement of a competitor’s patents, we could be prevented from marketing our products in one or more foreign countries, which would have a materially adverse effect on our business.</w:t>
      </w:r>
    </w:p>
    <w:p>
      <w:pPr>
        <w:spacing w:after="0" w:line="196"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2"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3" w:name="page74"/>
    <w:bookmarkEnd w:id="73"/>
    <w:p>
      <w:pPr>
        <w:ind w:right="40"/>
        <w:spacing w:after="0" w:line="267" w:lineRule="auto"/>
        <w:rPr>
          <w:sz w:val="20"/>
          <w:szCs w:val="20"/>
          <w:color w:val="auto"/>
        </w:rPr>
      </w:pPr>
      <w:r>
        <w:rPr>
          <w:rFonts w:ascii="Arial" w:cs="Arial" w:eastAsia="Arial" w:hAnsi="Arial"/>
          <w:sz w:val="16"/>
          <w:szCs w:val="16"/>
          <w:color w:val="auto"/>
        </w:rPr>
        <w:t>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product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product candidates, which would have an adverse effect on our business, results of operations and financial condition.</w:t>
      </w:r>
    </w:p>
    <w:p>
      <w:pPr>
        <w:spacing w:after="0" w:line="194" w:lineRule="exact"/>
        <w:rPr>
          <w:sz w:val="20"/>
          <w:szCs w:val="20"/>
          <w:color w:val="auto"/>
        </w:rPr>
      </w:pPr>
    </w:p>
    <w:p>
      <w:pPr>
        <w:ind w:right="900"/>
        <w:spacing w:after="0" w:line="293"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and other intellectual property rights, which could be expensive, time consuming and unsuccessful.</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any patents that may issue invalid. Moreover, it is also possible that prior art may exist that we are aware of but do not believe is relevant to our future patents, should they issue, but that could nevertheless be determined to render our patents invalid.</w:t>
      </w:r>
    </w:p>
    <w:p>
      <w:pPr>
        <w:spacing w:after="0" w:line="178" w:lineRule="exact"/>
        <w:rPr>
          <w:sz w:val="20"/>
          <w:szCs w:val="20"/>
          <w:color w:val="auto"/>
        </w:rPr>
      </w:pPr>
    </w:p>
    <w:p>
      <w:pPr>
        <w:jc w:val="both"/>
        <w:ind w:right="220"/>
        <w:spacing w:after="0" w:line="305" w:lineRule="auto"/>
        <w:rPr>
          <w:sz w:val="20"/>
          <w:szCs w:val="20"/>
          <w:color w:val="auto"/>
        </w:rPr>
      </w:pPr>
      <w:r>
        <w:rPr>
          <w:rFonts w:ascii="Arial" w:cs="Arial" w:eastAsia="Arial" w:hAnsi="Arial"/>
          <w:sz w:val="15"/>
          <w:szCs w:val="15"/>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product candidates, we would lose at least part, and perhaps all, of the patent protection covering such product candidate. Competing products may also be sold in other countries in which our patent coverage might not exist or be as strong.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distract our personnel from their normal responsibilities.</w:t>
      </w:r>
    </w:p>
    <w:p>
      <w:pPr>
        <w:spacing w:after="0" w:line="23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0"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u w:val="single" w:color="auto"/>
          <w:color w:val="auto"/>
        </w:rPr>
        <w:t>Risks Related to Enforcement of Our Intellectual Property Rights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effectively enforce our intellectual property rights throughout the world.</w:t>
      </w:r>
    </w:p>
    <w:p>
      <w:pPr>
        <w:spacing w:after="0" w:line="235"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 candidates, and our patents or other intellectual property rights may not be effective or sufficient to prevent them from competing.</w:t>
      </w:r>
    </w:p>
    <w:p>
      <w:pPr>
        <w:spacing w:after="0" w:line="183"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Third Party Intellectual Property</w:t>
      </w:r>
    </w:p>
    <w:p>
      <w:pPr>
        <w:spacing w:after="0" w:line="235"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i w:val="1"/>
          <w:iCs w:val="1"/>
          <w:color w:val="auto"/>
        </w:rPr>
        <w:t>We may need to license certain intellectual property from third parties, and such licenses may not be available or may not be available on commercially reasonable terms.</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Although we believe that licenses to these patents are available from these third parties on commercially reasonable terms, if we were not able to obtain a license, or were not able to obtain a license on commercially reasonable terms, our business could be harmed, possibly materially.</w:t>
      </w:r>
    </w:p>
    <w:p>
      <w:pPr>
        <w:spacing w:after="0" w:line="190" w:lineRule="exact"/>
        <w:rPr>
          <w:sz w:val="20"/>
          <w:szCs w:val="20"/>
          <w:color w:val="auto"/>
        </w:rPr>
      </w:pPr>
    </w:p>
    <w:p>
      <w:pPr>
        <w:ind w:right="500"/>
        <w:spacing w:after="0" w:line="369" w:lineRule="auto"/>
        <w:rPr>
          <w:sz w:val="20"/>
          <w:szCs w:val="20"/>
          <w:color w:val="auto"/>
        </w:rPr>
      </w:pPr>
      <w:r>
        <w:rPr>
          <w:rFonts w:ascii="Arial" w:cs="Arial" w:eastAsia="Arial" w:hAnsi="Arial"/>
          <w:sz w:val="14"/>
          <w:szCs w:val="14"/>
          <w:b w:val="1"/>
          <w:bCs w:val="1"/>
          <w:i w:val="1"/>
          <w:iCs w:val="1"/>
          <w:color w:val="auto"/>
        </w:rPr>
        <w:t>If we fail to comply with our obligations in the agreements under which we collaborate with or license intellectual property rights from third parties, or otherwise experience disruptions to our business relationships with our collaborators or licensors, we could lose rights that are important to our business.</w:t>
      </w:r>
    </w:p>
    <w:p>
      <w:pPr>
        <w:spacing w:after="0" w:line="126" w:lineRule="exact"/>
        <w:rPr>
          <w:sz w:val="20"/>
          <w:szCs w:val="20"/>
          <w:color w:val="auto"/>
        </w:rPr>
      </w:pPr>
    </w:p>
    <w:p>
      <w:pPr>
        <w:ind w:right="280"/>
        <w:spacing w:after="0" w:line="335" w:lineRule="auto"/>
        <w:rPr>
          <w:sz w:val="20"/>
          <w:szCs w:val="20"/>
          <w:color w:val="auto"/>
        </w:rPr>
      </w:pPr>
      <w:r>
        <w:rPr>
          <w:rFonts w:ascii="Arial" w:cs="Arial" w:eastAsia="Arial" w:hAnsi="Arial"/>
          <w:sz w:val="14"/>
          <w:szCs w:val="14"/>
          <w:color w:val="auto"/>
        </w:rPr>
        <w:t>We expect our future license agreements will impose various development, diligence, commercialization, and other obligations on us in order to maintain the licenses. In spite of our efforts,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in-licenses are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5" w:name="page76"/>
    <w:bookmarkEnd w:id="75"/>
    <w:p>
      <w:pPr>
        <w:ind w:right="200"/>
        <w:spacing w:after="0" w:line="335" w:lineRule="auto"/>
        <w:rPr>
          <w:sz w:val="20"/>
          <w:szCs w:val="20"/>
          <w:color w:val="auto"/>
        </w:rPr>
      </w:pPr>
      <w:r>
        <w:rPr>
          <w:rFonts w:ascii="Arial" w:cs="Arial" w:eastAsia="Arial" w:hAnsi="Arial"/>
          <w:sz w:val="14"/>
          <w:szCs w:val="14"/>
          <w:color w:val="auto"/>
        </w:rPr>
        <w:t>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Moreover, disputes may arise regarding intellectual property subject to a licensing agreement, including:</w:t>
      </w:r>
    </w:p>
    <w:p>
      <w:pPr>
        <w:spacing w:after="0" w:line="235"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scope of rights granted under the license agreement and other interpretation-related issues;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sublicensing of patent and other rights under our collaborative development relationships;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234" w:lineRule="exact"/>
        <w:rPr>
          <w:rFonts w:ascii="Arial" w:cs="Arial" w:eastAsia="Arial" w:hAnsi="Arial"/>
          <w:sz w:val="16"/>
          <w:szCs w:val="16"/>
          <w:color w:val="auto"/>
        </w:rPr>
      </w:pPr>
    </w:p>
    <w:p>
      <w:pPr>
        <w:ind w:left="1020" w:right="160" w:hanging="503"/>
        <w:spacing w:after="0" w:line="293"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 us and our partners; and</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priority of invention of patented technology.</w:t>
      </w:r>
    </w:p>
    <w:p>
      <w:pPr>
        <w:spacing w:after="0" w:line="235"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The agreements under which we may license intellectual property or technology from third parties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These and similar issues may arise with respect to our collaboration agreements, such as our DESRES Agreement, as amended. Our collaboration with D. E. Shaw Research is our key computational collaboration, and there can be no assurance that this collaboration will continue past the current term of the DESRES Agreement, on favorable terms or at all, or that at any time while the collaboration is in effect D. E. Shaw Research will provide any particular level of services or that the parties will operate under the agreement without disputes. These disputes may involve ownership or control of intellectual property rights, exclusivity obligations, diligence and payment obligations, for example.</w:t>
      </w:r>
    </w:p>
    <w:p>
      <w:pPr>
        <w:spacing w:after="0" w:line="190"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The DESRES Agreement imposes certain exclusivity obligations on us during the term of the agreement with respect to Category 2 targets, and certain exclusivity obligations on D. E. Shaw Research during and after the term of the agreement. While we have some degree of control over how we designate various targets under the DESRES Agreement, D. E. Shaw Research has some degree of control over such designations as well, and our exclusivity obligations limit or delay our ability to conduct research on selected targets with third parties.</w:t>
      </w:r>
    </w:p>
    <w:p>
      <w:pPr>
        <w:spacing w:after="0" w:line="189" w:lineRule="exact"/>
        <w:rPr>
          <w:sz w:val="20"/>
          <w:szCs w:val="20"/>
          <w:color w:val="auto"/>
        </w:rPr>
      </w:pPr>
    </w:p>
    <w:p>
      <w:pPr>
        <w:spacing w:after="0" w:line="311" w:lineRule="auto"/>
        <w:rPr>
          <w:sz w:val="20"/>
          <w:szCs w:val="20"/>
          <w:color w:val="auto"/>
        </w:rPr>
      </w:pPr>
      <w:r>
        <w:rPr>
          <w:rFonts w:ascii="Arial" w:cs="Arial" w:eastAsia="Arial" w:hAnsi="Arial"/>
          <w:sz w:val="14"/>
          <w:szCs w:val="14"/>
          <w:color w:val="auto"/>
        </w:rPr>
        <w:t>Under the DESRES Agreement, D. E. Shaw Research controls the rights to its technology, we control the rights to certain compounds, and we jointly own with D. E. Shaw Research any other work product created by D. E. Shaw Research and us. Any 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future potential collaborators, regarding intellectual property subject to the DESRES Agreement. If disputes over intellectual property that we co-own or we own individually prevent or impair our ability to maintain our current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auto"/>
        </w:rPr>
        <w:t>Risks Related to Intellectual Property Laws</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Changes to the patent law in the United States and other jurisdictions could diminish the value of patents in general, thereby impairing our ability to protect our product candidates.</w:t>
      </w:r>
    </w:p>
    <w:p>
      <w:pPr>
        <w:spacing w:after="0" w:line="172"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2" w:lineRule="exact"/>
        <w:rPr>
          <w:sz w:val="20"/>
          <w:szCs w:val="20"/>
          <w:color w:val="auto"/>
        </w:rPr>
      </w:pPr>
    </w:p>
    <w:p>
      <w:pPr>
        <w:ind w:right="220"/>
        <w:spacing w:after="0" w:line="318" w:lineRule="auto"/>
        <w:rPr>
          <w:sz w:val="20"/>
          <w:szCs w:val="20"/>
          <w:color w:val="auto"/>
        </w:rPr>
      </w:pPr>
      <w:r>
        <w:rPr>
          <w:rFonts w:ascii="Arial" w:cs="Arial" w:eastAsia="Arial" w:hAnsi="Arial"/>
          <w:sz w:val="14"/>
          <w:szCs w:val="14"/>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rights in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any patents that we may obtain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threats.</w:t>
      </w:r>
    </w:p>
    <w:p>
      <w:pPr>
        <w:spacing w:after="0" w:line="23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2" w:lineRule="exact"/>
        <w:rPr>
          <w:sz w:val="20"/>
          <w:szCs w:val="20"/>
          <w:color w:val="auto"/>
        </w:rPr>
      </w:pPr>
    </w:p>
    <w:p>
      <w:pPr>
        <w:ind w:left="1020" w:right="380" w:hanging="503"/>
        <w:spacing w:after="0" w:line="293"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others may be able to make products that are similar to our product candidates or utilize similar technology but that are not covered by the claims of the patents that we license or may own;</w:t>
      </w:r>
    </w:p>
    <w:p>
      <w:pPr>
        <w:spacing w:after="0" w:line="171" w:lineRule="exact"/>
        <w:rPr>
          <w:rFonts w:ascii="Arial" w:cs="Arial" w:eastAsia="Arial" w:hAnsi="Arial"/>
          <w:sz w:val="16"/>
          <w:szCs w:val="16"/>
          <w:color w:val="auto"/>
        </w:rPr>
      </w:pPr>
    </w:p>
    <w:p>
      <w:pPr>
        <w:ind w:left="1020" w:right="140" w:hanging="503"/>
        <w:spacing w:after="0" w:line="293"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or our licensors or collaborators, might not have been the first to make the inventions covered by the issued patent or pending patent application that we license or own now or in the future;</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or our licensors or collaborators, might not have been the first to file patent applications covering certain of our or their inventions;</w:t>
      </w:r>
    </w:p>
    <w:p>
      <w:pPr>
        <w:spacing w:after="0" w:line="234" w:lineRule="exact"/>
        <w:rPr>
          <w:rFonts w:ascii="Arial" w:cs="Arial" w:eastAsia="Arial" w:hAnsi="Arial"/>
          <w:sz w:val="16"/>
          <w:szCs w:val="16"/>
          <w:color w:val="auto"/>
        </w:rPr>
      </w:pPr>
    </w:p>
    <w:p>
      <w:pPr>
        <w:ind w:left="1020" w:right="660" w:hanging="503"/>
        <w:spacing w:after="0" w:line="293"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it is possible that our present or future pending patent applications (whether owned or licensed) will not lead to issued patents;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issued patents that we hold rights to may be held invalid or unenforceable, including as a result of legal challenges by our competitors or other third parties;</w:t>
      </w:r>
    </w:p>
    <w:p>
      <w:pPr>
        <w:spacing w:after="0" w:line="257" w:lineRule="exact"/>
        <w:rPr>
          <w:rFonts w:ascii="Arial" w:cs="Arial" w:eastAsia="Arial" w:hAnsi="Arial"/>
          <w:sz w:val="14"/>
          <w:szCs w:val="14"/>
          <w:color w:val="auto"/>
        </w:rPr>
      </w:pPr>
    </w:p>
    <w:p>
      <w:pPr>
        <w:ind w:left="1020" w:right="300" w:hanging="503"/>
        <w:spacing w:after="0" w:line="293"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patents of others may harm our business; and</w:t>
      </w:r>
    </w:p>
    <w:p>
      <w:pPr>
        <w:spacing w:after="0" w:line="234" w:lineRule="exact"/>
        <w:rPr>
          <w:rFonts w:ascii="Arial" w:cs="Arial" w:eastAsia="Arial" w:hAnsi="Arial"/>
          <w:sz w:val="16"/>
          <w:szCs w:val="16"/>
          <w:color w:val="auto"/>
        </w:rPr>
      </w:pPr>
    </w:p>
    <w:p>
      <w:pPr>
        <w:ind w:left="1020" w:right="340" w:hanging="503"/>
        <w:spacing w:after="0" w:line="293" w:lineRule="auto"/>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may choose not to file a patent in order to maintain certain trade secrets or know-how, and a third party may subsequently file a patent covering such intellectual property.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Government Regulation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Regulatory Approval</w:t>
      </w:r>
    </w:p>
    <w:p>
      <w:pPr>
        <w:spacing w:after="0" w:line="235"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and our product candidates could be subject to post-market study requirements, marketing and labeling restrictions, and even recall or market withdrawal if unanticipated safety issues are discovered following approval, which may result in significant additional expense.</w:t>
      </w:r>
    </w:p>
    <w:p>
      <w:pPr>
        <w:spacing w:after="0" w:line="184"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If the FDA or a similar foreign regulatory authority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applicable product tracking and tracing requirements. Additionally, under FDORA, sponsors of approved drugs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78"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restrictions on the marketing or manufacturing of the product, withdrawal of the product from the market, or voluntary or mandatory product recalls;</w:t>
      </w:r>
    </w:p>
    <w:p>
      <w:pPr>
        <w:spacing w:after="0" w:line="246" w:lineRule="exact"/>
        <w:rPr>
          <w:rFonts w:ascii="Arial" w:cs="Arial" w:eastAsia="Arial" w:hAnsi="Arial"/>
          <w:sz w:val="15"/>
          <w:szCs w:val="15"/>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clinical trial holds;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fines, warning letters or other regulatory enforcement action;</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refusal by the FDA to approve pending applications or supplements to approved applications filed by us;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 and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235" w:lineRule="exact"/>
        <w:rPr>
          <w:sz w:val="20"/>
          <w:szCs w:val="20"/>
          <w:color w:val="auto"/>
        </w:rPr>
      </w:pPr>
    </w:p>
    <w:p>
      <w:pPr>
        <w:ind w:right="120"/>
        <w:spacing w:after="0" w:line="335" w:lineRule="auto"/>
        <w:rPr>
          <w:sz w:val="20"/>
          <w:szCs w:val="20"/>
          <w:color w:val="auto"/>
        </w:rPr>
      </w:pPr>
      <w:r>
        <w:rPr>
          <w:rFonts w:ascii="Arial" w:cs="Arial" w:eastAsia="Arial" w:hAnsi="Arial"/>
          <w:sz w:val="14"/>
          <w:szCs w:val="14"/>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FDA and other regulatory agencies actively enforce the laws and regulations prohibiting the promotion of off-label uses.</w:t>
      </w:r>
    </w:p>
    <w:p>
      <w:pPr>
        <w:spacing w:after="0" w:line="235"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approved prescription drug products. In particular, while the FDA permits the dissemination of truthful and non-misleading information about an approved product, a manufacturer may not promote a product for uses that are not approved by the FDA. If we are found to have promoted such off-label uses, we may become subject to significant liability. The federal government has levied large civil and criminal fines against companies for alleged improper promotion of regulated products for off-label uses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8" w:name="page79"/>
    <w:bookmarkEnd w:id="78"/>
    <w:p>
      <w:pPr>
        <w:ind w:right="40"/>
        <w:spacing w:after="0" w:line="278" w:lineRule="auto"/>
        <w:rPr>
          <w:sz w:val="20"/>
          <w:szCs w:val="20"/>
          <w:color w:val="auto"/>
        </w:rPr>
      </w:pPr>
      <w:r>
        <w:rPr>
          <w:rFonts w:ascii="Arial" w:cs="Arial" w:eastAsia="Arial" w:hAnsi="Arial"/>
          <w:sz w:val="16"/>
          <w:szCs w:val="16"/>
          <w:b w:val="1"/>
          <w:bCs w:val="1"/>
          <w:i w:val="1"/>
          <w:iCs w:val="1"/>
          <w:color w:val="auto"/>
        </w:rPr>
        <w:t>European data collection is governed by restrictive regulations governing the processing and cross-border transfer of personal information and failure to comply with such requirements in jurisdictions where we may conduct clinical trials or enroll subjects in our ongoing or future clinical trials could have a material adverse effect on our business, financial condition or results of operations.</w:t>
      </w:r>
    </w:p>
    <w:p>
      <w:pPr>
        <w:spacing w:after="0" w:line="184"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In the event we decide to conduct clinical trials or continue to enroll subjects in our ongoing or future clinical trials, we may be subject to additional data collection restrictions. 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For example, the collection, use, storage, disclosure, transfer, or other processing of personal data of individuals in the EEA, including personal health data, is subject to the GDPR. The GDPR is wide-ranging in scope and imposes numerous requirements on companies that process personal data, including requirements relating to processing health and other sensitive data, providing notice to the individuals to whom the personal data relates regarding data processing activities, implementing safeguards to protect the privacy and security of personal data, implementing processes to handle requests from individuals to exercise their data protection rights, maintaining records of our processing activities and to document data protection impact assessments where there is high risk processing, providing notification of data breaches in certain circumstances, and taking certain measures when engaging third-party processors or sub-processors. The GDPR focuses on accountability of data controllers (such as us) and requires us to put in place all technical and organizational measures (privacy by design and by default) to ensure that we meet our obligations. It also increases substantially the penalties to which we could be subject in the event of any non-compliance, including fines of up to €10,000,000 or up to 2% of our total worldwide annual turnover for certain comparatively minor offenses, or up to €20,000,000 or up to 4% of our total worldwide annual turnover for more serious offenses. 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or collectively, UK GDPR,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379"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Significantly, the GDPR imposes strict rules on the transfer of personal data out of the EEA and UK to the U.S. or other regions that have not been deemed to offer “adequate” privacy protections. In the past, companies in the U.S. were able to rely upon the EU-U.S. UK-U.S. and the Swiss-U.S. Privacy Shield frameworks to legitimize data transfers from the EU and the UK to the U.S. In July 2020, the Court of Justice of the European Union, or CJEU, invalidated the EU-U.S. Privacy Shield on the grounds that the Privacy Shield failed to offer adequate protections to EU personal data transferred to the U.S. The CJEU also ruled that transfers made pursuant to the Standard Contractual Clauses, or SCCs, published by the European Commission, or EC, need to be assessed on a case-by-case basis to ensure the law in the recipient country provides “essentially equivalent” protections to safeguard the transferred personal data as the EU, and required businesses to adopt supplementary measures if such standard is not met. On June 4, 2021, the EC published new versions of the SCCs, which seek to address the issues identified by the CJEU and provide further details regarding the transfer assessments that the parties are required to conduct when implementing the new SCCs. However, there continue to be concerns about whether the SCCs and other mechanisms will face additional challenges. While SCCs provide an alternative to our Privacy Shield certification for EU-U.S. data flows, the decision (and certain regulatory guidance issued in its wake) casts doubt on the legality of EU-U.S. data flows in general.</w:t>
      </w:r>
    </w:p>
    <w:p>
      <w:pPr>
        <w:spacing w:after="0" w:line="178"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The UK is not subject to the EC’s new SCCs but has published its own transfer mechanism, the International Data Transfer Agreement or International Data Transfer Addendum, or IDTA, which enables transfers from the UK. The new IDTA or the UK addendum must be used for any new contract entered into after September 21, 2022 and implemented in existing contracts that incorporate the prior version of the SCCs by March 21, 2024. On March 25, 2022, the EC and the U.S. announced to have reached a political agreement on a new “Trans-Atlantic Data Privacy Framework”, which will replace the invalidated Privacy Shield and on December 13, 2022, the EC published a draft adequacy decision on the Trans-Atlantic Data Privacy Framework. We will be required to implement these new safeguards when these safeguards are used as the basis for transferring personal data out of the EEA and/or UK and doing so may require significant effort and cost.</w:t>
      </w:r>
    </w:p>
    <w:p>
      <w:pPr>
        <w:spacing w:after="0" w:line="176"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EEA Member States have adopted implementing national laws to implement the GDPR which may partially deviate from the GDPR and the competent authorities in the EEA Member States may interpret GDPR obligations slightly differently from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79" w:name="page80"/>
    <w:bookmarkEnd w:id="79"/>
    <w:p>
      <w:pPr>
        <w:ind w:right="620"/>
        <w:spacing w:after="0" w:line="293" w:lineRule="auto"/>
        <w:rPr>
          <w:sz w:val="20"/>
          <w:szCs w:val="20"/>
          <w:color w:val="auto"/>
        </w:rPr>
      </w:pPr>
      <w:r>
        <w:rPr>
          <w:rFonts w:ascii="Arial" w:cs="Arial" w:eastAsia="Arial" w:hAnsi="Arial"/>
          <w:sz w:val="16"/>
          <w:szCs w:val="16"/>
          <w:color w:val="auto"/>
        </w:rPr>
        <w:t>country to country, so that we do not expect to operate in a uniform legal landscape in the EU. In addition, the UK has announced plans to reform the country’s data protection legal framework in its Data Reform Bill, but these have been put on hold.</w:t>
      </w:r>
    </w:p>
    <w:p>
      <w:pPr>
        <w:spacing w:after="0" w:line="17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If we decide to conduct clinical trials or enroll subjects in our ongoing or future clinical trials in Europe and/or the UK, we are subject to the supervision of local data protection authorities in those jurisdictions where we are monitoring the behavior of individuals in the EEA or UK (i.e., undertaking clinical trials). If we are investigated by a European or UK data protection authority, we may face fines and other penalties. Any such investigation or charges by European or UK data protection authorities could have a negative effect on our business and on our ability to commercialize our products in the future, including with European, UK-based or multi-national pharmaceutical partners.</w:t>
      </w:r>
    </w:p>
    <w:p>
      <w:pPr>
        <w:spacing w:after="0" w:line="190"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In addition to European data protection requirements, we may be subject to various privacy laws in the United States at the state and federal level. In the United States, at the state level, for example, California Consumer Privacy Act (CCPA), which took effect on January 1, 2020,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 Additionally, the California Privacy Rights Act (CPRA) became effective on January 1,</w:t>
      </w:r>
    </w:p>
    <w:p>
      <w:pPr>
        <w:spacing w:after="0" w:line="3" w:lineRule="exact"/>
        <w:rPr>
          <w:sz w:val="20"/>
          <w:szCs w:val="20"/>
          <w:color w:val="auto"/>
        </w:rPr>
      </w:pPr>
    </w:p>
    <w:p>
      <w:pPr>
        <w:ind w:right="100"/>
        <w:spacing w:after="0" w:line="314" w:lineRule="auto"/>
        <w:rPr>
          <w:sz w:val="20"/>
          <w:szCs w:val="20"/>
          <w:color w:val="auto"/>
        </w:rPr>
      </w:pPr>
      <w:r>
        <w:rPr>
          <w:rFonts w:ascii="Arial" w:cs="Arial" w:eastAsia="Arial" w:hAnsi="Arial"/>
          <w:sz w:val="14"/>
          <w:szCs w:val="14"/>
          <w:color w:val="auto"/>
        </w:rPr>
        <w:t>2023. The CPRA imposes additional obligations on companies covered by the legislation and significantly modifies the CCPA, including by expanding consumers’ rights with respect to certain sensitive personal information. The CPRA also creates a new state agency that will be vested with authority to implement and enforce the CCPA and the CPRA. As of January 1, 2023, the privacy protections of the CPRA also apply to personal information of contacts collected in a business to business capacity and from employment applicants, employees and former employees.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 Furthermore, four other states have enacted comprehensive consumer privacy laws and many others are considering proposals for such laws.</w:t>
      </w:r>
    </w:p>
    <w:p>
      <w:pPr>
        <w:spacing w:after="0" w:line="163"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litigation or government investigations or enforcement actions and significant penalties against us and could have a material adverse effect on our business, financial condition or results of operations.</w:t>
      </w:r>
    </w:p>
    <w:p>
      <w:pPr>
        <w:spacing w:after="0" w:line="18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72"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90"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180" w:lineRule="exact"/>
        <w:rPr>
          <w:sz w:val="20"/>
          <w:szCs w:val="20"/>
          <w:color w:val="auto"/>
        </w:rPr>
      </w:pPr>
    </w:p>
    <w:p>
      <w:pPr>
        <w:ind w:right="520"/>
        <w:spacing w:after="0" w:line="416" w:lineRule="auto"/>
        <w:rPr>
          <w:sz w:val="20"/>
          <w:szCs w:val="20"/>
          <w:color w:val="auto"/>
        </w:rPr>
      </w:pPr>
      <w:r>
        <w:rPr>
          <w:rFonts w:ascii="Arial" w:cs="Arial" w:eastAsia="Arial" w:hAnsi="Arial"/>
          <w:sz w:val="13"/>
          <w:szCs w:val="13"/>
          <w:b w:val="1"/>
          <w:bCs w:val="1"/>
          <w:i w:val="1"/>
          <w:iCs w:val="1"/>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10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In connection with the clinical development of our product candidates for certain indications, we have engaged and may continue to engage third parties to develop or obtain access to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tests to identify patient subsets within 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0" w:name="page81"/>
    <w:bookmarkEnd w:id="80"/>
    <w:p>
      <w:pPr>
        <w:ind w:right="120"/>
        <w:spacing w:after="0" w:line="289" w:lineRule="auto"/>
        <w:rPr>
          <w:sz w:val="20"/>
          <w:szCs w:val="20"/>
          <w:color w:val="auto"/>
        </w:rPr>
      </w:pPr>
      <w:r>
        <w:rPr>
          <w:rFonts w:ascii="Arial" w:cs="Arial" w:eastAsia="Arial" w:hAnsi="Arial"/>
          <w:sz w:val="15"/>
          <w:szCs w:val="15"/>
          <w:color w:val="auto"/>
        </w:rPr>
        <w:t xml:space="preserve">disease category who may derive selective and meaningful benefit from our product candidates. For example, we have engaged Foundation Medicine, Inc. to develop its FoundationOne®CDx as a companion diagnostic for RLY-4008. The FDA has indicated that if we continue RLY-4008 and RLY-2608 in a specific biomarker-defined population, a companion diagnostic device will be required to ensure their safe and effective use. Such companion diagnostics would be used during our clinical trials as well as in connection with the commercialization of our product candidates. To be successful, we or our collaborators will need to address a number of scientific, technical, regulatory and logistical challenges. The FDA and similar foreign regulatory authorities regulate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rely and intend to continue to rely on third parties for the design, development and manufacture of companion diagnostic tests for our therapeutic product candidates that may require such tests. In connection with such current and future collaborative agreements, we will be dependent on the sustained cooperation and effort of our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current and future collaborators may encounter difficulties in developing, obtaining regulatory approval for, manufacturing and commercializing companion diagnostics similar to those we face with respect to our therapeutic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Anti-bribery, Anti-corruption and Other Government Regulations</w:t>
      </w:r>
    </w:p>
    <w:p>
      <w:pPr>
        <w:spacing w:after="0" w:line="23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6"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9" w:lineRule="exact"/>
        <w:rPr>
          <w:sz w:val="20"/>
          <w:szCs w:val="20"/>
          <w:color w:val="auto"/>
        </w:rPr>
      </w:pPr>
    </w:p>
    <w:p>
      <w:pPr>
        <w:ind w:right="440"/>
        <w:spacing w:after="0" w:line="297" w:lineRule="auto"/>
        <w:rPr>
          <w:sz w:val="20"/>
          <w:szCs w:val="20"/>
          <w:color w:val="auto"/>
        </w:rPr>
      </w:pPr>
      <w:r>
        <w:rPr>
          <w:rFonts w:ascii="Arial" w:cs="Arial" w:eastAsia="Arial" w:hAnsi="Arial"/>
          <w:sz w:val="15"/>
          <w:szCs w:val="15"/>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1" w:name="page82"/>
    <w:bookmarkEnd w:id="81"/>
    <w:p>
      <w:pPr>
        <w:ind w:right="640"/>
        <w:spacing w:after="0" w:line="369" w:lineRule="auto"/>
        <w:rPr>
          <w:sz w:val="20"/>
          <w:szCs w:val="20"/>
          <w:color w:val="auto"/>
        </w:rPr>
      </w:pPr>
      <w:r>
        <w:rPr>
          <w:rFonts w:ascii="Arial" w:cs="Arial" w:eastAsia="Arial" w:hAnsi="Arial"/>
          <w:sz w:val="14"/>
          <w:szCs w:val="14"/>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2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2" w:lineRule="exact"/>
        <w:rPr>
          <w:sz w:val="20"/>
          <w:szCs w:val="20"/>
          <w:color w:val="auto"/>
        </w:rPr>
      </w:pPr>
    </w:p>
    <w:p>
      <w:pPr>
        <w:ind w:right="140"/>
        <w:spacing w:after="0" w:line="311" w:lineRule="auto"/>
        <w:rPr>
          <w:sz w:val="20"/>
          <w:szCs w:val="20"/>
          <w:color w:val="auto"/>
        </w:rPr>
      </w:pPr>
      <w:r>
        <w:rPr>
          <w:rFonts w:ascii="Arial" w:cs="Arial" w:eastAsia="Arial" w:hAnsi="Arial"/>
          <w:sz w:val="14"/>
          <w:szCs w:val="14"/>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67"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governments of foreign jurisdictions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176" w:lineRule="exact"/>
        <w:rPr>
          <w:sz w:val="20"/>
          <w:szCs w:val="20"/>
          <w:color w:val="auto"/>
        </w:rPr>
      </w:pPr>
    </w:p>
    <w:p>
      <w:pPr>
        <w:ind w:left="1020" w:hanging="503"/>
        <w:spacing w:after="0" w:line="289" w:lineRule="auto"/>
        <w:tabs>
          <w:tab w:leader="none" w:pos="10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FCA, or federal civil money penalties;</w:t>
      </w:r>
    </w:p>
    <w:p>
      <w:pPr>
        <w:spacing w:after="0" w:line="179" w:lineRule="exact"/>
        <w:rPr>
          <w:rFonts w:ascii="Arial" w:cs="Arial" w:eastAsia="Arial" w:hAnsi="Arial"/>
          <w:sz w:val="15"/>
          <w:szCs w:val="15"/>
          <w:color w:val="auto"/>
        </w:rPr>
      </w:pPr>
    </w:p>
    <w:p>
      <w:pPr>
        <w:ind w:left="1020" w:hanging="503"/>
        <w:spacing w:after="0" w:line="289" w:lineRule="auto"/>
        <w:tabs>
          <w:tab w:leader="none" w:pos="10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federal civil and criminal false claims and civil monetary penalties laws, including 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In addition, the government may assert that a claim including items and services resulting from a violation of the federal Anti-Kickback Statute constitutes a false or fraudulent claim for purposes of the FCA;</w:t>
      </w:r>
    </w:p>
    <w:p>
      <w:pPr>
        <w:spacing w:after="0" w:line="179" w:lineRule="exact"/>
        <w:rPr>
          <w:rFonts w:ascii="Arial" w:cs="Arial" w:eastAsia="Arial" w:hAnsi="Arial"/>
          <w:sz w:val="15"/>
          <w:szCs w:val="15"/>
          <w:color w:val="auto"/>
        </w:rPr>
      </w:pPr>
    </w:p>
    <w:p>
      <w:pPr>
        <w:ind w:left="1020" w:right="20" w:hanging="503"/>
        <w:spacing w:after="0" w:line="297" w:lineRule="auto"/>
        <w:tabs>
          <w:tab w:leader="none" w:pos="10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imposes criminal and civil liability for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2" w:right="399" w:bottom="1440" w:gutter="0" w:footer="0" w:header="0"/>
        </w:sectPr>
      </w:pPr>
    </w:p>
    <w:bookmarkStart w:id="82" w:name="page83"/>
    <w:bookmarkEnd w:id="82"/>
    <w:p>
      <w:pPr>
        <w:ind w:left="1020" w:hanging="503"/>
        <w:spacing w:after="0" w:line="269"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transfers of value made to physicians (currently defined to include doctors, dentists, optometrists, podiatrists and chiropractors) and teaching hospitals, as well as ownership and investment interests of such physicians and their immediate family members. Effective January 1, 2022, these reporting obligations were extended to include transfers of value made to certain non-physician providers (physician assistants, nurse practitioners, clinical nurse specialists, certified registered nurse anesthetists and anesthesiologist assistants, and certified-nurse midwives);</w:t>
      </w:r>
    </w:p>
    <w:p>
      <w:pPr>
        <w:spacing w:after="0" w:line="189" w:lineRule="exact"/>
        <w:rPr>
          <w:rFonts w:ascii="Arial" w:cs="Arial" w:eastAsia="Arial" w:hAnsi="Arial"/>
          <w:sz w:val="16"/>
          <w:szCs w:val="16"/>
          <w:color w:val="auto"/>
        </w:rPr>
      </w:pPr>
    </w:p>
    <w:p>
      <w:pPr>
        <w:ind w:left="1020" w:right="80" w:hanging="503"/>
        <w:spacing w:after="0" w:line="310" w:lineRule="auto"/>
        <w:tabs>
          <w:tab w:leader="none" w:pos="10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or HITECH and its implementing regulations, including the Final Omnibus Rule published in January 2013, which impose obligations on certain covered entity healthcare providers, health plans, and healthcare clearinghouses as well as their business associates that perform certain services involving the creation, maintenance, receipt, or other use or disclosure of individually identifiable health information, including mandatory contractual terms with business associates,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66" w:lineRule="exact"/>
        <w:rPr>
          <w:rFonts w:ascii="Arial" w:cs="Arial" w:eastAsia="Arial" w:hAnsi="Arial"/>
          <w:sz w:val="14"/>
          <w:szCs w:val="14"/>
          <w:color w:val="auto"/>
        </w:rPr>
      </w:pPr>
    </w:p>
    <w:p>
      <w:pPr>
        <w:ind w:left="1020" w:right="160" w:hanging="503"/>
        <w:spacing w:after="0" w:line="293" w:lineRule="auto"/>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federal government price reporting laws, which require us to calculate and report complex pricing metrics in an accurate and timely manner to government programs;</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federal consumer protection and unfair competition laws, which broadly regulate marketplace activities and activities that potentially harm consumers; and</w:t>
      </w:r>
    </w:p>
    <w:p>
      <w:pPr>
        <w:spacing w:after="0" w:line="246" w:lineRule="exact"/>
        <w:rPr>
          <w:rFonts w:ascii="Arial" w:cs="Arial" w:eastAsia="Arial" w:hAnsi="Arial"/>
          <w:sz w:val="15"/>
          <w:szCs w:val="15"/>
          <w:color w:val="auto"/>
        </w:rPr>
      </w:pPr>
    </w:p>
    <w:p>
      <w:pPr>
        <w:ind w:left="1020" w:right="100" w:hanging="503"/>
        <w:spacing w:after="0" w:line="286" w:lineRule="auto"/>
        <w:tabs>
          <w:tab w:leader="none" w:pos="10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including for example the EU GDPR, which became effective May 2018 also govern the privacy and security of health information and other personal information in some circumstances, many of which differ from each other in significant ways and may not have the same effect, thus complicating compliance efforts. There are ambiguities as to what is required to comply with these state and foreign requirements and if we fail to comply with an applicable state or foreign law requirement we could be subject to penalties. Further, many state laws governing the privacy and security of health information in certain circumstances, differ from each other in significant ways, thus complicating compliance efforts.</w:t>
      </w:r>
    </w:p>
    <w:p>
      <w:pPr>
        <w:spacing w:after="0" w:line="179"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individual imprisonment, reputational harm,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83" w:name="page84"/>
    <w:bookmarkEnd w:id="83"/>
    <w:p>
      <w:pPr>
        <w:ind w:right="260"/>
        <w:spacing w:after="0" w:line="293" w:lineRule="auto"/>
        <w:rPr>
          <w:sz w:val="20"/>
          <w:szCs w:val="20"/>
          <w:color w:val="auto"/>
        </w:rPr>
      </w:pPr>
      <w:r>
        <w:rPr>
          <w:rFonts w:ascii="Arial" w:cs="Arial" w:eastAsia="Arial" w:hAnsi="Arial"/>
          <w:sz w:val="16"/>
          <w:szCs w:val="16"/>
          <w:color w:val="auto"/>
        </w:rPr>
        <w:t>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Regulatory Review of Certain Drug Development Designations</w:t>
      </w:r>
    </w:p>
    <w:p>
      <w:pPr>
        <w:spacing w:after="0" w:line="23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90" w:lineRule="exact"/>
        <w:rPr>
          <w:sz w:val="20"/>
          <w:szCs w:val="20"/>
          <w:color w:val="auto"/>
        </w:rPr>
      </w:pPr>
    </w:p>
    <w:p>
      <w:pPr>
        <w:spacing w:after="0" w:line="369" w:lineRule="auto"/>
        <w:rPr>
          <w:sz w:val="20"/>
          <w:szCs w:val="20"/>
          <w:color w:val="auto"/>
        </w:rPr>
      </w:pPr>
      <w:r>
        <w:rPr>
          <w:rFonts w:ascii="Arial" w:cs="Arial" w:eastAsia="Arial" w:hAnsi="Arial"/>
          <w:sz w:val="14"/>
          <w:szCs w:val="14"/>
          <w:b w:val="1"/>
          <w:bCs w:val="1"/>
          <w:i w:val="1"/>
          <w:iCs w:val="1"/>
          <w:color w:val="auto"/>
        </w:rPr>
        <w:t>We have obtained orphan drug designation for one of our product candidates. We may seek orphan drug designation for certain of our other product candidates as well, and we may be unsuccessful or may be unable to maintain the benefits associated with orphan drug designation, including the potential for market exclusivity.</w:t>
      </w:r>
    </w:p>
    <w:p>
      <w:pPr>
        <w:spacing w:after="0" w:line="12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January 2022, the FDA granted orphan drug designation to RLY-4008 for the treatment of cholangiocarcinoma. As part of our business strategy, we may seek orphan drug designation for certain of our other product candidates as well,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Similarly, in the EU, the European Commission, upon the recommendation of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 and for which no satisfactory method of diagnosis, prevention, or treatment has been authorized for marketing in the EU (or, if a method exists, the product would be of a significant benefit to those affected by the condition). Additionally, designation is granted for products intended for the diagnosis, prevention, or treatment of a life-threatening, seriously debilitating or serious and chronic condition and when, without incentives, it is unlikely that sales of the product in the EU would generate sufficient return to justify the necessary investment in developing the product. In the EU, orphan drug designation entitles a party to financial incentives such as reduction of fees or fee waivers. In October 2022, the EMA adopted a positive opinion on the orphan drug designation application for RLY-4008 for the treatment of biliary tract cancer.</w:t>
      </w:r>
    </w:p>
    <w:p>
      <w:pPr>
        <w:spacing w:after="0" w:line="192" w:lineRule="exact"/>
        <w:rPr>
          <w:sz w:val="20"/>
          <w:szCs w:val="20"/>
          <w:color w:val="auto"/>
        </w:rPr>
      </w:pPr>
    </w:p>
    <w:p>
      <w:pPr>
        <w:ind w:right="60"/>
        <w:spacing w:after="0" w:line="324" w:lineRule="auto"/>
        <w:rPr>
          <w:sz w:val="20"/>
          <w:szCs w:val="20"/>
          <w:color w:val="auto"/>
        </w:rPr>
      </w:pPr>
      <w:r>
        <w:rPr>
          <w:rFonts w:ascii="Arial" w:cs="Arial" w:eastAsia="Arial" w:hAnsi="Arial"/>
          <w:sz w:val="14"/>
          <w:szCs w:val="14"/>
          <w:color w:val="auto"/>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15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a later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We have obtained orphan drug designation for one of our product candidates and while we may seek orphan drug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84" w:name="page85"/>
    <w:bookmarkEnd w:id="84"/>
    <w:p>
      <w:pPr>
        <w:jc w:val="both"/>
        <w:ind w:right="40"/>
        <w:spacing w:after="0" w:line="273" w:lineRule="auto"/>
        <w:rPr>
          <w:sz w:val="20"/>
          <w:szCs w:val="20"/>
          <w:color w:val="auto"/>
        </w:rPr>
      </w:pPr>
      <w:r>
        <w:rPr>
          <w:rFonts w:ascii="Arial" w:cs="Arial" w:eastAsia="Arial" w:hAnsi="Arial"/>
          <w:sz w:val="16"/>
          <w:szCs w:val="16"/>
          <w:color w:val="auto"/>
        </w:rPr>
        <w:t>designation for our other product candidates, we may never receive such designations. Even if we do receive such designations, there is no guarantee that we will enjoy the benefits of those designations. In addition,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b w:val="1"/>
          <w:bCs w:val="1"/>
          <w:i w:val="1"/>
          <w:iCs w:val="1"/>
          <w:color w:val="auto"/>
        </w:rPr>
        <w:t>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marketing approval in the United States.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4" w:lineRule="exact"/>
        <w:rPr>
          <w:sz w:val="20"/>
          <w:szCs w:val="20"/>
          <w:color w:val="auto"/>
        </w:rPr>
      </w:pPr>
    </w:p>
    <w:p>
      <w:pPr>
        <w:ind w:right="280"/>
        <w:spacing w:after="0" w:line="305" w:lineRule="auto"/>
        <w:rPr>
          <w:sz w:val="20"/>
          <w:szCs w:val="20"/>
          <w:color w:val="auto"/>
        </w:rPr>
      </w:pPr>
      <w:r>
        <w:rPr>
          <w:rFonts w:ascii="Arial" w:cs="Arial" w:eastAsia="Arial" w:hAnsi="Arial"/>
          <w:sz w:val="15"/>
          <w:szCs w:val="15"/>
          <w:b w:val="1"/>
          <w:bCs w:val="1"/>
          <w:i w:val="1"/>
          <w:iCs w:val="1"/>
          <w:color w:val="auto"/>
        </w:rPr>
        <w:t>We may seek approval of our product candidates, where applicable, under the FDA's accelerated approval pathway. This pathway, even if granted for our FGFR2 program or our PI3K program or any other future product candidates, may not lead to a faster development or regulatory review or approval process and it does not increase the likelihood that our product candidates will receive marketing approval in the United States.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We may seek accelerated approval of our FGFR2 program or our PI3K program and for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do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auto"/>
        </w:rPr>
        <w:t>Risks Related to Healthcare Legislative Reform</w:t>
      </w:r>
    </w:p>
    <w:p>
      <w:pPr>
        <w:spacing w:after="0" w:line="23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35" w:lineRule="exact"/>
        <w:rPr>
          <w:sz w:val="20"/>
          <w:szCs w:val="20"/>
          <w:color w:val="auto"/>
        </w:rPr>
      </w:pPr>
    </w:p>
    <w:p>
      <w:pPr>
        <w:ind w:right="20"/>
        <w:spacing w:after="0" w:line="307" w:lineRule="auto"/>
        <w:rPr>
          <w:sz w:val="20"/>
          <w:szCs w:val="20"/>
          <w:color w:val="auto"/>
        </w:rPr>
      </w:pPr>
      <w:r>
        <w:rPr>
          <w:rFonts w:ascii="Arial" w:cs="Arial" w:eastAsia="Arial" w:hAnsi="Arial"/>
          <w:sz w:val="14"/>
          <w:szCs w:val="14"/>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Affordable Care Act, or the ACA, was passed, which substantially changed the way healthcare is financed by both governmental and private insurers, and significantly impacted the United States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w:t>
      </w:r>
    </w:p>
    <w:p>
      <w:pPr>
        <w:spacing w:after="0" w:line="374"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Since its enactment, there have been numerous judicial, administrative, executive, and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On December 20, 2019, the Further Consolidated Appropriations Act (H.R. 1865) was signed into law, which repealed the so called “Cadillac” tax on certain high cost employer sponsored insurance plans,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w:t>
      </w:r>
    </w:p>
    <w:p>
      <w:pPr>
        <w:spacing w:after="0" w:line="183"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6" w:name="page87"/>
    <w:bookmarkEnd w:id="86"/>
    <w:p>
      <w:pPr>
        <w:spacing w:after="0" w:line="286" w:lineRule="auto"/>
        <w:rPr>
          <w:sz w:val="20"/>
          <w:szCs w:val="20"/>
          <w:color w:val="auto"/>
        </w:rPr>
      </w:pPr>
      <w:r>
        <w:rPr>
          <w:rFonts w:ascii="Arial" w:cs="Arial" w:eastAsia="Arial" w:hAnsi="Arial"/>
          <w:sz w:val="15"/>
          <w:szCs w:val="15"/>
          <w:color w:val="auto"/>
        </w:rPr>
        <w:t>2013 through 2021, was unable to reach required goals, thereby triggering the legislation’s automatic reduction to several government programs. This includes aggregate reductions of Medicare payments to providers up to 2% per fiscal year, and, due to subsequent legislative amendments, will remain in effect through 2030 unless additional Congressional action is taken; however, pursuant to the CARES Act and subsequent legislation, these reductions were suspended from May 1, 2020 through March 31, 2022 due to the COVID-19 pandemic. A 1% payment reduction occurred from April 1, 2022 through June 30, 2022, and the 2% payment reduction resumed on July 1, 2022.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On May 30, 2018,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product candidates available to eligible patients as a result of the Right to Try Act. In May 2019, CMS issued a final rule to allow Medicare Advantage Plans the option of using step therapy, a type of prior authorization, for Part B drugs beginning January 1, 2020.</w:t>
      </w:r>
    </w:p>
    <w:p>
      <w:pPr>
        <w:spacing w:after="0" w:line="183"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 xml:space="preserve">There has been increasing legislative and enforcement interest in the United States with respect to specialty drug pricing practices. 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the U.S. Department of Health and Human Services, or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The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countries with a similar gross domestic product per capita. However, on December 29, 2021, CMS rescinded the MFN rule.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until January 1, 2026. This deadline was further pushed back to January 1, 2027 by the Bipartisan Safer Communities Act, and the Inflation Reduction Act of 2022 further delayed implementation of this rule to January 1, 2032. On August 16, 2022 the Inflation Reduction Act of 2022 was passed, which, among other things, allows for CMS to negotiate prices for certain single-source drugs and biologics reimbursed under Medicare Part B and Part D, beginning with ten high-cost drugs paid for by Medicare Part D starting in 2026, followed by 15 Part D drugs in 2027, 15 Part B or Part D drugs in 2028, and 20 Part B or Part D drugs in 2029 and beyond.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caps Medicare beneficiaries’ annual out-of-pocket drug expenses at $2,000. The effect of the Inflation Reduction Act of 2022 on our business and the healthcare industry in general is not yet known. </w:t>
      </w:r>
      <w:r>
        <w:rPr>
          <w:rFonts w:ascii="Arial" w:cs="Arial" w:eastAsia="Arial" w:hAnsi="Arial"/>
          <w:sz w:val="14"/>
          <w:szCs w:val="14"/>
          <w:color w:val="242424"/>
        </w:rPr>
        <w:t>Although a number of these and other proposed</w:t>
      </w:r>
      <w:r>
        <w:rPr>
          <w:rFonts w:ascii="Arial" w:cs="Arial" w:eastAsia="Arial" w:hAnsi="Arial"/>
          <w:sz w:val="14"/>
          <w:szCs w:val="14"/>
          <w:color w:val="auto"/>
        </w:rPr>
        <w:t xml:space="preserve"> </w:t>
      </w:r>
      <w:r>
        <w:rPr>
          <w:rFonts w:ascii="Arial" w:cs="Arial" w:eastAsia="Arial" w:hAnsi="Arial"/>
          <w:sz w:val="14"/>
          <w:szCs w:val="14"/>
          <w:color w:val="242424"/>
        </w:rPr>
        <w:t>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38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in light of the higher proportion of SCD patients that utilize Medicare and Medicaid programs to pay for treatments.</w:t>
      </w:r>
    </w:p>
    <w:p>
      <w:pPr>
        <w:spacing w:after="0" w:line="18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87" w:name="page88"/>
    <w:bookmarkEnd w:id="87"/>
    <w:p>
      <w:pPr>
        <w:ind w:right="340"/>
        <w:spacing w:after="0" w:line="293" w:lineRule="auto"/>
        <w:rPr>
          <w:sz w:val="20"/>
          <w:szCs w:val="20"/>
          <w:color w:val="auto"/>
        </w:rPr>
      </w:pPr>
      <w:r>
        <w:rPr>
          <w:rFonts w:ascii="Arial" w:cs="Arial" w:eastAsia="Arial" w:hAnsi="Arial"/>
          <w:sz w:val="16"/>
          <w:szCs w:val="16"/>
          <w:color w:val="auto"/>
        </w:rPr>
        <w:t>regulations or decisions, related to healthcare availability, the method of delivery or payment for healthcare products and services could negatively impact our business, operations and financial condition.</w:t>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89"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demand for our current or future product candidates, if we obtain regulatory approval;</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set a price that we believe is fair for our products;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obtain coverage and reimbursement approval for a product;</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ability to generate revenue and achieve or maintain profitability;</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level of taxes that we are required to pay; and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availability of capital.</w:t>
      </w:r>
    </w:p>
    <w:p>
      <w:pPr>
        <w:spacing w:after="0" w:line="235"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Any reduction in reimbursement from Medicare or other government programs may result in a similar reduction in payments from private payors, which may adversely affect our future profitability.</w:t>
      </w:r>
    </w:p>
    <w:p>
      <w:pPr>
        <w:spacing w:after="0" w:line="172" w:lineRule="exact"/>
        <w:rPr>
          <w:sz w:val="20"/>
          <w:szCs w:val="20"/>
          <w:color w:val="auto"/>
        </w:rPr>
      </w:pPr>
    </w:p>
    <w:p>
      <w:pPr>
        <w:ind w:right="640"/>
        <w:spacing w:after="0" w:line="369" w:lineRule="auto"/>
        <w:rPr>
          <w:sz w:val="20"/>
          <w:szCs w:val="20"/>
          <w:color w:val="auto"/>
        </w:rPr>
      </w:pPr>
      <w:r>
        <w:rPr>
          <w:rFonts w:ascii="Arial" w:cs="Arial" w:eastAsia="Arial" w:hAnsi="Arial"/>
          <w:sz w:val="14"/>
          <w:szCs w:val="14"/>
          <w:b w:val="1"/>
          <w:bCs w:val="1"/>
          <w:i w:val="1"/>
          <w:iCs w:val="1"/>
          <w:color w:val="auto"/>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p>
    <w:p>
      <w:pPr>
        <w:spacing w:after="0" w:line="126"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We may face competition in the United States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the Regulatory Agency Review Process</w:t>
      </w:r>
    </w:p>
    <w:p>
      <w:pPr>
        <w:spacing w:after="0" w:line="235" w:lineRule="exact"/>
        <w:rPr>
          <w:sz w:val="20"/>
          <w:szCs w:val="20"/>
          <w:color w:val="auto"/>
        </w:rPr>
      </w:pPr>
    </w:p>
    <w:p>
      <w:pPr>
        <w:spacing w:after="0" w:line="335" w:lineRule="auto"/>
        <w:rPr>
          <w:sz w:val="20"/>
          <w:szCs w:val="20"/>
          <w:color w:val="auto"/>
        </w:rPr>
      </w:pPr>
      <w:r>
        <w:rPr>
          <w:rFonts w:ascii="Arial" w:cs="Arial" w:eastAsia="Arial" w:hAnsi="Arial"/>
          <w:sz w:val="14"/>
          <w:szCs w:val="14"/>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global health concerns, ability to hire and retain key personnel and accept the payment of user fees, and statutory, regulatory, and policy changes. Average review times at the agency have fluctuated in recent years as a result. 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88" w:name="page89"/>
    <w:bookmarkEnd w:id="88"/>
    <w:p>
      <w:pPr>
        <w:ind w:right="40"/>
        <w:spacing w:after="0" w:line="293" w:lineRule="auto"/>
        <w:rPr>
          <w:sz w:val="20"/>
          <w:szCs w:val="20"/>
          <w:color w:val="auto"/>
        </w:rPr>
      </w:pPr>
      <w:r>
        <w:rPr>
          <w:rFonts w:ascii="Arial" w:cs="Arial" w:eastAsia="Arial" w:hAnsi="Arial"/>
          <w:sz w:val="16"/>
          <w:szCs w:val="16"/>
          <w:color w:val="auto"/>
        </w:rPr>
        <w:t>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2"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government employees and stop critical activities. Separately, in response to the ongoing COVID-19 pandemic, since March 2020 when foreign and domestic inspections of facilities were largely placed on hold, the FDA has been working to resume pre-pandemic levels of inspection activities, including routine surveillance, bioresearch monitoring and pre-approval inspections.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 Additionally, as of May 26, 2021, the FDA noted it is continuing to ensure timely reviews of applications for medical products during the ongoing COVID-19 pandemic in line with its user fee performance goals. However, the FDA may not be able to continue its current pace and approval timelines could be extended, including where a pre-approval inspection or an inspection of clinical sites is required and due to the ongoing COVID-19 pandemic and any travel restrictions, the FDA is unable to complete such required inspections during the review period.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Employee Matters and Managing Growth</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Employee Matters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24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We are highly dependent on the research and development, clinical and business development expertise of the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9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9" w:name="page90"/>
    <w:bookmarkEnd w:id="89"/>
    <w:p>
      <w:pPr>
        <w:ind w:right="520"/>
        <w:spacing w:after="0" w:line="293"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or other nonclinical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Growth and Acquisitions</w:t>
      </w:r>
    </w:p>
    <w:p>
      <w:pPr>
        <w:spacing w:after="0" w:line="235"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72" w:lineRule="exact"/>
        <w:rPr>
          <w:sz w:val="20"/>
          <w:szCs w:val="20"/>
          <w:color w:val="auto"/>
        </w:rPr>
      </w:pPr>
    </w:p>
    <w:p>
      <w:pPr>
        <w:ind w:right="200"/>
        <w:spacing w:after="0" w:line="289" w:lineRule="auto"/>
        <w:rPr>
          <w:sz w:val="20"/>
          <w:szCs w:val="20"/>
          <w:color w:val="auto"/>
        </w:rPr>
      </w:pPr>
      <w:r>
        <w:rPr>
          <w:rFonts w:ascii="Arial" w:cs="Arial" w:eastAsia="Arial" w:hAnsi="Arial"/>
          <w:sz w:val="15"/>
          <w:szCs w:val="15"/>
          <w:color w:val="auto"/>
        </w:rPr>
        <w:t>As of December 31, 2022, we had 327 full-time employees. We expect to experience significant growth in the number of our employees and the scope of our operations, particularly in the areas of pharmaceutical and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0"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6" w:lineRule="exact"/>
        <w:rPr>
          <w:sz w:val="20"/>
          <w:szCs w:val="20"/>
          <w:color w:val="auto"/>
        </w:rPr>
      </w:pPr>
    </w:p>
    <w:p>
      <w:pPr>
        <w:ind w:right="860"/>
        <w:spacing w:after="0" w:line="293" w:lineRule="auto"/>
        <w:rPr>
          <w:sz w:val="20"/>
          <w:szCs w:val="20"/>
          <w:color w:val="auto"/>
        </w:rPr>
      </w:pPr>
      <w:r>
        <w:rPr>
          <w:rFonts w:ascii="Arial" w:cs="Arial" w:eastAsia="Arial" w:hAnsi="Arial"/>
          <w:sz w:val="16"/>
          <w:szCs w:val="16"/>
          <w:b w:val="1"/>
          <w:bCs w:val="1"/>
          <w:i w:val="1"/>
          <w:iCs w:val="1"/>
          <w:color w:val="auto"/>
        </w:rPr>
        <w:t>Our acquisitions expose us to risks that could adversely affect our business, and we may not achieve the anticipated benefits of acquisitions of businesses or technologies.</w:t>
      </w:r>
    </w:p>
    <w:p>
      <w:pPr>
        <w:spacing w:after="0" w:line="172"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As a part of our growth strategy, we may make selected acquisitions of complementary products and/or businesses, such as our acquisition of ZebiAI in April 2021. Any acquisition involves numerous risks and operational, financial, and managerial challenges, including the following, any of which could adversely affect our business, financial condition, or results of operations:</w:t>
      </w:r>
    </w:p>
    <w:p>
      <w:pPr>
        <w:spacing w:after="0" w:line="184"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difficulties in integrating new operations, technologies, products, and personnel;</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challenges maintaining uniform procedures, controls and policies with respect to our financial accounting systems;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lack of synergies or the inability to realize expected synergies and cost-savings;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0" w:name="page91"/>
    <w:bookmarkEnd w:id="90"/>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underperformance of any acquired technology, product, or business relative to our expectations and the price we paid;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negative near-term impacts on financial results after an acquisition, including acquisition-related earnings charges;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potential loss of key employees, customers, and strategic partners of acquired companies;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claims by terminated employees and shareholders of acquired companies or other third parties related to the transaction;</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assumption or incurrence of additional debt obligations or expenses, or use of substantial portions of our cash;</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issuance of equity securities to finance or as consideration for any acquisitions that dilute the ownership of our stockholders;</w:t>
      </w:r>
    </w:p>
    <w:p>
      <w:pPr>
        <w:spacing w:after="0" w:line="234" w:lineRule="exact"/>
        <w:rPr>
          <w:rFonts w:ascii="Arial" w:cs="Arial" w:eastAsia="Arial" w:hAnsi="Arial"/>
          <w:sz w:val="16"/>
          <w:szCs w:val="16"/>
          <w:color w:val="auto"/>
        </w:rPr>
      </w:pPr>
    </w:p>
    <w:p>
      <w:pPr>
        <w:ind w:left="1020" w:right="180" w:hanging="503"/>
        <w:spacing w:after="0" w:line="293"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issuance of equity securities to finance or as consideration for any acquisitions may not be an option if the price of our common stock is low or volatile which could preclude us from completing any such acquisitions;</w:t>
      </w:r>
    </w:p>
    <w:p>
      <w:pPr>
        <w:spacing w:after="0" w:line="171" w:lineRule="exact"/>
        <w:rPr>
          <w:rFonts w:ascii="Arial" w:cs="Arial" w:eastAsia="Arial" w:hAnsi="Arial"/>
          <w:sz w:val="16"/>
          <w:szCs w:val="16"/>
          <w:color w:val="auto"/>
        </w:rPr>
      </w:pPr>
    </w:p>
    <w:p>
      <w:pPr>
        <w:ind w:left="1020" w:right="360" w:hanging="503"/>
        <w:spacing w:after="0" w:line="293"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collaboration, strategic alliance and licensing arrangement may require us to relinquish valuable rights to our technologies or product candidates, or grant licenses on terms that are not favorable to us;</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diversion of management’s attention and company resources from existing operations of the business;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inconsistencies in standards, controls, procedures, and policies;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impairment of intangible assets as a result of technological advancements, or worse-than-expected performance of acquired companies;</w:t>
      </w:r>
    </w:p>
    <w:p>
      <w:pPr>
        <w:spacing w:after="0" w:line="234" w:lineRule="exact"/>
        <w:rPr>
          <w:rFonts w:ascii="Arial" w:cs="Arial" w:eastAsia="Arial" w:hAnsi="Arial"/>
          <w:sz w:val="16"/>
          <w:szCs w:val="16"/>
          <w:color w:val="auto"/>
        </w:rPr>
      </w:pPr>
    </w:p>
    <w:p>
      <w:pPr>
        <w:ind w:left="1020" w:right="20" w:hanging="503"/>
        <w:spacing w:after="0" w:line="293"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assumption of, or exposure to, historical liabilities of the acquired business, including unknown contingent or similar liabilities that are difficult to identify or accurately quantify; and</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risks associated with acquiring intellectual property, including potential disputes regarding acquired companies’ intellectual property.</w:t>
      </w:r>
    </w:p>
    <w:p>
      <w:pPr>
        <w:spacing w:after="0" w:line="235"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 addition, the successful integration of acquired businesses requires significant efforts and expense across all operational areas. There can be no assurance that any of the acquisitions we may make, including our acquisition of ZebiAI, will be successful or will be, or will remain, profitable. Our failure to successfully address the foregoing risks may prevent us from achieving the anticipated benefits from any acquisition in a reasonable time frame, or at all.</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Business Disruptions</w:t>
      </w:r>
    </w:p>
    <w:p>
      <w:pPr>
        <w:spacing w:after="0" w:line="239" w:lineRule="exact"/>
        <w:rPr>
          <w:sz w:val="20"/>
          <w:szCs w:val="20"/>
          <w:color w:val="auto"/>
        </w:rPr>
      </w:pPr>
    </w:p>
    <w:p>
      <w:pPr>
        <w:ind w:right="100"/>
        <w:spacing w:after="0" w:line="305" w:lineRule="auto"/>
        <w:rPr>
          <w:sz w:val="20"/>
          <w:szCs w:val="20"/>
          <w:color w:val="auto"/>
        </w:rPr>
      </w:pPr>
      <w:r>
        <w:rPr>
          <w:rFonts w:ascii="Arial" w:cs="Arial" w:eastAsia="Arial" w:hAnsi="Arial"/>
          <w:sz w:val="15"/>
          <w:szCs w:val="15"/>
          <w:b w:val="1"/>
          <w:bCs w:val="1"/>
          <w:i w:val="1"/>
          <w:iCs w:val="1"/>
          <w:color w:val="auto"/>
        </w:rPr>
        <w:t>Our internal information technology systems, or those of our third-party collaborators and/or partners, may fail or suffer security breaches,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166" w:lineRule="exact"/>
        <w:rPr>
          <w:sz w:val="20"/>
          <w:szCs w:val="20"/>
          <w:color w:val="auto"/>
        </w:rPr>
      </w:pPr>
    </w:p>
    <w:p>
      <w:pPr>
        <w:spacing w:after="0" w:line="324" w:lineRule="auto"/>
        <w:rPr>
          <w:sz w:val="20"/>
          <w:szCs w:val="20"/>
          <w:color w:val="auto"/>
        </w:rPr>
      </w:pPr>
      <w:r>
        <w:rPr>
          <w:rFonts w:ascii="Arial" w:cs="Arial" w:eastAsia="Arial" w:hAnsi="Arial"/>
          <w:sz w:val="14"/>
          <w:szCs w:val="14"/>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collaborate with a number of third-party CROs, vendors, and other contractors and consultants who have access to our confidential information.</w:t>
      </w:r>
    </w:p>
    <w:p>
      <w:pPr>
        <w:spacing w:after="0" w:line="157"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Given our limited operating history, we are still in the process of implementing our internal information technology security measures. Due to the size and complexity and the increasing amounts of confidential information that are maintained, our internal information technology systems and those of our third-party CROs, vendors and other contractors and consultants are potentially vulnerable to breakdown or other damage or interruption from service interruptions, system malfunction, natural disasters, terrorism, war and telecommunication and electrical failures, as well as security incidents or breaches from inadvertent or intentional actions by our employees and/or third parties with whom we do business, or from cyber-attacks by malicious third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1" w:name="page92"/>
    <w:bookmarkEnd w:id="91"/>
    <w:p>
      <w:pPr>
        <w:ind w:right="40"/>
        <w:spacing w:after="0" w:line="291" w:lineRule="auto"/>
        <w:rPr>
          <w:sz w:val="20"/>
          <w:szCs w:val="20"/>
          <w:color w:val="auto"/>
        </w:rPr>
      </w:pPr>
      <w:r>
        <w:rPr>
          <w:rFonts w:ascii="Arial" w:cs="Arial" w:eastAsia="Arial" w:hAnsi="Arial"/>
          <w:sz w:val="15"/>
          <w:szCs w:val="15"/>
          <w:color w:val="auto"/>
        </w:rPr>
        <w:t>parties (including the deployment of harmful malware, ransomware, digital extortion, denial-of-service attacks, supply chain attacks, social engineering and other means to affect service reliability and threaten the confidentiality, integrity and availability of information), which may compromise our system infrastructure or those of our partners or lead to data leakage.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similar events relating to the information technology systems of our third-party collaborators who we rely on for the manufacture of our product candidates and to conduct clinical trials could also have a material adverse effect on our business.</w:t>
      </w:r>
    </w:p>
    <w:p>
      <w:pPr>
        <w:spacing w:after="0" w:line="176"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The risk of a security breach or disruption, particularly through cyber-attacks or cyber intrusion, including by computer hackers, foreign governments, and cyber terrorists, has generally increased as the frequency, persistence, intensity and sophistication of attempted attacks and intrusions from around the world have increased, including potentially in connection with the current conflict between Russia and Ukraine.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In addition, changes in how our employees work and access our systems during the ongoing COVID-19 pandemic, when part of our workforce is working remotely, could also lead to opportunities for bad actors to launch cyber-attacks or for employees to cause inadvertent security risks or incidents. The prevalent use of mobile devices also increases the risk of data security incidents.</w:t>
      </w:r>
    </w:p>
    <w:p>
      <w:pPr>
        <w:spacing w:after="0" w:line="18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are also subject to legal obligations concerning cyber security. For example, as a company handing employee information of individuals who reside in Massachusetts, we are required to comply with the Massachusetts Data Security Regulations (201 CMR 17.00) which require the development and implementation of a Comprehensive Written Information Security Program and the maintenance of specific information security protections.</w:t>
      </w:r>
    </w:p>
    <w:p>
      <w:pPr>
        <w:spacing w:after="0" w:line="184"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While we have not experienced any material system failure, accident or security breach to date, we cannot guarantee that our data protection efforts and our investment in information technology will prevent significant breakdowns, data leakages, or breaches in our systems. While we maintain liability insurance at levels that we believe are appropriate for our business, we cannot assure our investors that it will be sufficient in type or amount to cover us against all claims related to security compromises or breaches, cyberattacks and other related breaches. To the extent that any disruption or security breach were to result in a loss of, or damage to, our data or applications, or inappropriate disclosure of confidential or proprietary information, we could incur liability, our competitive position could be harmed, the further development and commercialization of our product candidates or any future product candidates could be hindered or delayed, we could be required to expend significant amounts of money and other resources to repair or replace our information systems or networks, the market perception of the effectiveness of our security measures could be harmed and our reputation and credibility could be damaged. Furthermore, any failure or perceived failure by us or any third-party collaborators, service providers, contractors or consultants to comply with our privacy, confidentiality, data security or similar obligations to third parties, or any data security incidents or other security compromises or breaches that result in the unauthorized access, use, acquisition, disclosure,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compromises and breaches can be difficult to detect, and any delay in identifying or remediating them may lead to increased harm. While we have implemented data security measures intended to protect our information technology systems and infrastructure, there can be no assurance that such measures will successfully prevent service interruptions or data security incidents or compromises, including security breaches.</w:t>
      </w:r>
    </w:p>
    <w:p>
      <w:pPr>
        <w:spacing w:after="0" w:line="1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If we fail to comply with applicable environmental, health and safety laws and regulations, we could become subject to fines or penalties or incur costs that could have a material adverse effect on the success of our business.</w:t>
      </w:r>
    </w:p>
    <w:p>
      <w:pPr>
        <w:spacing w:after="0" w:line="172" w:lineRule="exact"/>
        <w:rPr>
          <w:sz w:val="20"/>
          <w:szCs w:val="20"/>
          <w:color w:val="auto"/>
        </w:rPr>
      </w:pPr>
    </w:p>
    <w:p>
      <w:pPr>
        <w:ind w:right="40"/>
        <w:spacing w:after="0" w:line="318"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2"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2" w:name="page93"/>
    <w:bookmarkEnd w:id="92"/>
    <w:p>
      <w:pPr>
        <w:ind w:right="60"/>
        <w:spacing w:after="0" w:line="293" w:lineRule="auto"/>
        <w:rPr>
          <w:sz w:val="20"/>
          <w:szCs w:val="20"/>
          <w:color w:val="auto"/>
        </w:rPr>
      </w:pPr>
      <w:r>
        <w:rPr>
          <w:rFonts w:ascii="Arial" w:cs="Arial" w:eastAsia="Arial" w:hAnsi="Arial"/>
          <w:sz w:val="16"/>
          <w:szCs w:val="16"/>
          <w:color w:val="auto"/>
        </w:rPr>
        <w:t>connection with our storage or disposal of biological, hazardous or radioactive materials. Compliance with applicable environmental, health and safety laws and regulations is expensive, and current or future environmental regulations may impair our business, prospects, financial condition or results of operations.</w:t>
      </w:r>
    </w:p>
    <w:p>
      <w:pPr>
        <w:spacing w:after="0" w:line="172"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Our current operations are located in Massachusetts; however, we rely on third parties, including those that are located outside the United States, and we or the third parties upon whom we depend may be adversely affected by natural disasters or other unplanned events and our business continuity and disaster recovery plans may not adequately protect us from a serious disaster.</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Our current operations are located in Massachusetts. Any unplanned event, such as flood, fire, explosion, earthquake, extreme weather condition, medical epidemics, including any potential effects from the current global spread of COVID-19, global conflicts such as the current conflict between Russia and Ukraine, power shortage, telecommunication failure or other natural or man-made accidents or incidents that result in us being unable to fully utilize our facilities, or the facilities of our third-party contract manufacturers or CROs,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w:t>
      </w:r>
    </w:p>
    <w:p>
      <w:pPr>
        <w:spacing w:after="0" w:line="194"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Natural disasters or pandemics such as the ongoing COVID-19 pandemic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facilities of our third-party contract manufacturers or CROs,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facilities of our third-party contract manufacturers or CROs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Trading Our Common Stock</w:t>
      </w:r>
    </w:p>
    <w:p>
      <w:pPr>
        <w:spacing w:after="0" w:line="23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b w:val="1"/>
          <w:bCs w:val="1"/>
          <w:i w:val="1"/>
          <w:iCs w:val="1"/>
          <w:color w:val="auto"/>
        </w:rPr>
        <w:t>The trading price of our common stock historically has been volatile, which may affect the price at which you could sell any shares of our common stock. Securities class action or other litigation involving our company or members of our management team could also substantially harm our business, financial condition and results of operations.</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market price for our common stock historically has been volatile and could continue to be subject to wide fluctuations in response to various factors. Since shares of our common stock were sold in our initial public offering, or IPO, in July 2020 at a price of $20.00 per share, our stock price has fluctuated significantly, ranging from an intraday low of $12.65 to an intraday high of $64.37 through February 17, 2023. This volatility may affect the price at which you could resell the common stock. Our stock price is likely to continue to be volatile and subject to significant price and volume fluctuations in response to market and other factors, including the factors described below. The stock market in general and Nasdaq and the market for biopharmaceutical companies in particular, have experienced extreme volatility that has often been unrelated or disproportionate to the operating performance of these companies.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for our common stock may be influenced by many factors, including:</w:t>
      </w:r>
    </w:p>
    <w:p>
      <w:pPr>
        <w:spacing w:after="0" w:line="235"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success of competitive products or technologies;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results of clinical trials of our product candidates or those of our competitors;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23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93" w:name="page94"/>
    <w:bookmarkEnd w:id="93"/>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level of expenses related to any of our product candidates or clinical development programs;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product candidates or products;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34" w:lineRule="exact"/>
        <w:rPr>
          <w:rFonts w:ascii="Arial" w:cs="Arial" w:eastAsia="Arial" w:hAnsi="Arial"/>
          <w:sz w:val="16"/>
          <w:szCs w:val="16"/>
          <w:color w:val="auto"/>
        </w:rPr>
      </w:pPr>
    </w:p>
    <w:p>
      <w:pPr>
        <w:ind w:left="1020" w:right="40" w:hanging="503"/>
        <w:spacing w:after="0" w:line="293" w:lineRule="auto"/>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shares;</w:t>
      </w:r>
    </w:p>
    <w:p>
      <w:pPr>
        <w:spacing w:after="0" w:line="171"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variations in our financial results or those of companies that are perceived to be similar to us;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general economic, industry and market conditions; and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235"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w:t>
      </w:r>
    </w:p>
    <w:p>
      <w:pPr>
        <w:spacing w:after="0" w:line="235" w:lineRule="exact"/>
        <w:rPr>
          <w:sz w:val="20"/>
          <w:szCs w:val="20"/>
          <w:color w:val="auto"/>
        </w:rPr>
      </w:pPr>
    </w:p>
    <w:p>
      <w:pPr>
        <w:jc w:val="both"/>
        <w:ind w:right="80"/>
        <w:spacing w:after="0" w:line="273" w:lineRule="auto"/>
        <w:rPr>
          <w:sz w:val="20"/>
          <w:szCs w:val="20"/>
          <w:color w:val="auto"/>
        </w:rPr>
      </w:pPr>
      <w:r>
        <w:rPr>
          <w:rFonts w:ascii="Arial" w:cs="Arial" w:eastAsia="Arial" w:hAnsi="Arial"/>
          <w:sz w:val="16"/>
          <w:szCs w:val="16"/>
          <w:color w:val="auto"/>
        </w:rPr>
        <w:t>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Dividends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do not anticipate paying any cash dividends on our capital stock in the foreseeable future, capital appreciation, if any, will be your sole source of gain.</w:t>
      </w:r>
    </w:p>
    <w:p>
      <w:pPr>
        <w:spacing w:after="0" w:line="258" w:lineRule="exact"/>
        <w:rPr>
          <w:sz w:val="20"/>
          <w:szCs w:val="20"/>
          <w:color w:val="auto"/>
        </w:rPr>
      </w:pPr>
    </w:p>
    <w:p>
      <w:pPr>
        <w:jc w:val="both"/>
        <w:ind w:right="40"/>
        <w:spacing w:after="0" w:line="278"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Insider Control</w:t>
      </w:r>
    </w:p>
    <w:p>
      <w:pPr>
        <w:spacing w:after="0" w:line="235"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b w:val="1"/>
          <w:bCs w:val="1"/>
          <w:i w:val="1"/>
          <w:iCs w:val="1"/>
          <w:color w:val="auto"/>
        </w:rPr>
        <w:t>Our executive officers, directors, principal stockholders and their affiliates exercise significant control over our company, which will limit your ability to influence corporate matters and could delay or prevent a change in corporate control.</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 of December 31, 2022, the holdings of our executive officers, directors, principal stockholders and their affiliates, represented beneficial ownership, in the aggregate, of approximately 47.2%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those of our public market investors and the concentration of voting power among these stockholders may have an adverse effect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t>on the price of our common stock. In addition, this concentration of ownership might adversely affect the market price of our common stock by:</w:t>
      </w:r>
    </w:p>
    <w:p>
      <w:pPr>
        <w:spacing w:after="0" w:line="235"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delaying, deferring or preventing a change of control of us;</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impeding a merger, consolidation, takeover or other business combination involving us; or</w:t>
      </w:r>
    </w:p>
    <w:p>
      <w:pPr>
        <w:spacing w:after="0" w:line="234" w:lineRule="exact"/>
        <w:rPr>
          <w:rFonts w:ascii="Arial" w:cs="Arial" w:eastAsia="Arial" w:hAnsi="Arial"/>
          <w:sz w:val="16"/>
          <w:szCs w:val="16"/>
          <w:color w:val="auto"/>
        </w:rPr>
      </w:pPr>
    </w:p>
    <w:p>
      <w:pPr>
        <w:ind w:right="3200" w:firstLine="517"/>
        <w:spacing w:after="0" w:line="545" w:lineRule="auto"/>
        <w:tabs>
          <w:tab w:leader="none" w:pos="1018"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discouraging a potential acquirer from making a tender offer or otherwise attempting to obtain control of us. </w:t>
      </w:r>
      <w:r>
        <w:rPr>
          <w:rFonts w:ascii="Arial" w:cs="Arial" w:eastAsia="Arial" w:hAnsi="Arial"/>
          <w:sz w:val="16"/>
          <w:szCs w:val="16"/>
          <w:u w:val="single" w:color="auto"/>
          <w:color w:val="auto"/>
        </w:rPr>
        <w:t>Risks Related to Tax</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utilize our net operating loss carryforwards and certain other tax attributes may be limited.</w:t>
      </w:r>
    </w:p>
    <w:p>
      <w:pPr>
        <w:spacing w:after="0" w:line="235" w:lineRule="exact"/>
        <w:rPr>
          <w:sz w:val="20"/>
          <w:szCs w:val="20"/>
          <w:color w:val="auto"/>
        </w:rPr>
      </w:pPr>
    </w:p>
    <w:p>
      <w:pPr>
        <w:jc w:val="both"/>
        <w:ind w:right="200"/>
        <w:spacing w:after="0" w:line="271" w:lineRule="auto"/>
        <w:rPr>
          <w:sz w:val="20"/>
          <w:szCs w:val="20"/>
          <w:color w:val="auto"/>
        </w:rPr>
      </w:pPr>
      <w:r>
        <w:rPr>
          <w:rFonts w:ascii="Arial" w:cs="Arial" w:eastAsia="Arial" w:hAnsi="Arial"/>
          <w:sz w:val="16"/>
          <w:szCs w:val="16"/>
          <w:color w:val="auto"/>
        </w:rPr>
        <w:t>Under Section 382 of the Internal Revenue Code of 1986, as amended, or the IRC,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experience ownership changes in the future as a result of subsequent shifts in our stock ownership. As of December 31, 2022, we had federal net operating loss carryforwards of approximately $412.0 million, and our ability to utilize those net operating loss carryforwards could be limited by an “ownership change” as described above.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Comprehensive tax reform legislation could adversely affect our business and financial condition.</w:t>
      </w:r>
    </w:p>
    <w:p>
      <w:pPr>
        <w:spacing w:after="0" w:line="235"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166"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Additional changes to U.S. federal income tax law are currently being contemplated, and 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You are urged to consult your tax advisor regarding the implications of potential changes in tax laws on an investment in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Operating as a Public Company</w:t>
      </w:r>
    </w:p>
    <w:p>
      <w:pPr>
        <w:spacing w:after="0" w:line="23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We have incurred and will continue to incur increased costs as a result of operating as a public company, and our management has devoted and will continue to devote substantial time to compliance initiatives.</w:t>
      </w:r>
    </w:p>
    <w:p>
      <w:pPr>
        <w:spacing w:after="0" w:line="17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a public company, and particularly since we are no longer an “emerging growth company,” we have incurred and expect to incur significant legal, accounting and other expenses.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will continue to increase our legal and financial compliance costs and will make some activities more time-consuming and costly.</w:t>
      </w:r>
    </w:p>
    <w:p>
      <w:pPr>
        <w:spacing w:after="0" w:line="190"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Pursuant to Section 404 of the Sarbanes-Oxley Act of 2002, or Section 404, we are required to furnish a report by our management on our internal control over financial reporting. Because we are no longer an emerging growth company, we are required to include with our annual reports an attestation report on internal control over financial reporting issued by our independent registered public accounting firm.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This could result in an adverse reaction in the financial markets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5" w:name="page96"/>
    <w:bookmarkEnd w:id="95"/>
    <w:p>
      <w:pPr>
        <w:ind w:right="120"/>
        <w:spacing w:after="0" w:line="293" w:lineRule="auto"/>
        <w:rPr>
          <w:sz w:val="20"/>
          <w:szCs w:val="20"/>
          <w:color w:val="auto"/>
        </w:rPr>
      </w:pPr>
      <w:r>
        <w:rPr>
          <w:rFonts w:ascii="Arial" w:cs="Arial" w:eastAsia="Arial" w:hAnsi="Arial"/>
          <w:sz w:val="16"/>
          <w:szCs w:val="16"/>
          <w:color w:val="auto"/>
        </w:rPr>
        <w:t>due to a loss of confidence in the reliability of our financial statements. In addition, if we are not able to continue to meet these requirements, we may not be able to remain listed on Nasdaq.</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3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Our Charter and Bylaws</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Our fourth amended and restated certificate of incorporation, as amended, the Certificate of Incorporation, and our amended and restated bylaws, as amended, the Bylaws, contain provisions that could delay or prevent a change of control of our company or changes in our board of directors that our stockholders might consider favorable. Some of these provisions include:</w:t>
      </w:r>
    </w:p>
    <w:p>
      <w:pPr>
        <w:spacing w:after="0" w:line="184"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board of directors divided into three classes serving staggered three-year terms, such that not all members of the board will be elected at one time;</w:t>
      </w:r>
    </w:p>
    <w:p>
      <w:pPr>
        <w:spacing w:after="0" w:line="246" w:lineRule="exact"/>
        <w:rPr>
          <w:rFonts w:ascii="Arial" w:cs="Arial" w:eastAsia="Arial" w:hAnsi="Arial"/>
          <w:sz w:val="15"/>
          <w:szCs w:val="15"/>
          <w:color w:val="auto"/>
        </w:rPr>
      </w:pPr>
    </w:p>
    <w:p>
      <w:pPr>
        <w:ind w:left="1020" w:hanging="503"/>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prohibition on stockholder action through written consent, which requires that all stockholder actions be taken at a meeting of our stockholders;</w:t>
      </w:r>
    </w:p>
    <w:p>
      <w:pPr>
        <w:spacing w:after="0" w:line="234" w:lineRule="exact"/>
        <w:rPr>
          <w:rFonts w:ascii="Arial" w:cs="Arial" w:eastAsia="Arial" w:hAnsi="Arial"/>
          <w:sz w:val="16"/>
          <w:szCs w:val="16"/>
          <w:color w:val="auto"/>
        </w:rPr>
      </w:pPr>
    </w:p>
    <w:p>
      <w:pPr>
        <w:jc w:val="both"/>
        <w:ind w:left="1020" w:right="640" w:hanging="503"/>
        <w:spacing w:after="0" w:line="369" w:lineRule="auto"/>
        <w:tabs>
          <w:tab w:leader="none" w:pos="10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125" w:lineRule="exact"/>
        <w:rPr>
          <w:rFonts w:ascii="Arial" w:cs="Arial" w:eastAsia="Arial" w:hAnsi="Arial"/>
          <w:sz w:val="14"/>
          <w:szCs w:val="14"/>
          <w:color w:val="auto"/>
        </w:rPr>
      </w:pPr>
    </w:p>
    <w:p>
      <w:pPr>
        <w:ind w:left="1020" w:hanging="503"/>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advance notice requirements for stockholder proposals and nominations for election to our board of directors;</w:t>
      </w:r>
    </w:p>
    <w:p>
      <w:pPr>
        <w:spacing w:after="0" w:line="234" w:lineRule="exact"/>
        <w:rPr>
          <w:rFonts w:ascii="Arial" w:cs="Arial" w:eastAsia="Arial" w:hAnsi="Arial"/>
          <w:sz w:val="16"/>
          <w:szCs w:val="16"/>
          <w:color w:val="auto"/>
        </w:rPr>
      </w:pPr>
    </w:p>
    <w:p>
      <w:pPr>
        <w:ind w:left="1020" w:right="140" w:hanging="503"/>
        <w:spacing w:after="0" w:line="278"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requirement that no member of our board of directors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84" w:lineRule="exact"/>
        <w:rPr>
          <w:rFonts w:ascii="Arial" w:cs="Arial" w:eastAsia="Arial" w:hAnsi="Arial"/>
          <w:sz w:val="16"/>
          <w:szCs w:val="16"/>
          <w:color w:val="auto"/>
        </w:rPr>
      </w:pPr>
    </w:p>
    <w:p>
      <w:pPr>
        <w:ind w:left="1020" w:right="260" w:hanging="503"/>
        <w:spacing w:after="0" w:line="328" w:lineRule="auto"/>
        <w:tabs>
          <w:tab w:leader="none" w:pos="10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149" w:lineRule="exact"/>
        <w:rPr>
          <w:rFonts w:ascii="Arial" w:cs="Arial" w:eastAsia="Arial" w:hAnsi="Arial"/>
          <w:sz w:val="15"/>
          <w:szCs w:val="15"/>
          <w:color w:val="auto"/>
        </w:rPr>
      </w:pPr>
    </w:p>
    <w:p>
      <w:pPr>
        <w:ind w:left="1020" w:right="180" w:hanging="503"/>
        <w:spacing w:after="0" w:line="293"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7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96" w:name="page97"/>
    <w:bookmarkEnd w:id="96"/>
    <w:p>
      <w:pPr>
        <w:ind w:right="60"/>
        <w:spacing w:after="0" w:line="293" w:lineRule="auto"/>
        <w:rPr>
          <w:sz w:val="20"/>
          <w:szCs w:val="20"/>
          <w:color w:val="auto"/>
        </w:rPr>
      </w:pPr>
      <w:r>
        <w:rPr>
          <w:rFonts w:ascii="Arial" w:cs="Arial" w:eastAsia="Arial" w:hAnsi="Arial"/>
          <w:sz w:val="16"/>
          <w:szCs w:val="16"/>
          <w:color w:val="auto"/>
        </w:rPr>
        <w:t>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72"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17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Pursuant to our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Delaware General Corporation Law, our Certificate of Incorporation or our Bylaws; or (4) any action asserting a claim governed by the internal affairs doctrine, or the Delaware Forum Provision. The Delaware Forum Provision will not apply to any causes of action arising under the Securities Act or the Exchange Act. Our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4" w:lineRule="exact"/>
        <w:rPr>
          <w:sz w:val="20"/>
          <w:szCs w:val="20"/>
          <w:color w:val="auto"/>
        </w:rPr>
      </w:pPr>
    </w:p>
    <w:p>
      <w:pPr>
        <w:ind w:right="40"/>
        <w:spacing w:after="0" w:line="309" w:lineRule="auto"/>
        <w:rPr>
          <w:sz w:val="20"/>
          <w:szCs w:val="20"/>
          <w:color w:val="auto"/>
        </w:rPr>
      </w:pPr>
      <w:r>
        <w:rPr>
          <w:rFonts w:ascii="Arial" w:cs="Arial" w:eastAsia="Arial" w:hAnsi="Arial"/>
          <w:sz w:val="14"/>
          <w:szCs w:val="14"/>
          <w:color w:val="auto"/>
        </w:rPr>
        <w:t>We recognize that the Delaware Forum Provision and the Federal Forum Provision in our Bylaws may impose additional litigation costs on stockholders in pursuing any such claims, particularly if the stockholders do not reside in or near the State of Delaware or the Commonwealth of Massachusetts. Additionally, the forum selection clauses in our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Risks Related to Securities Analysts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securities analysts do not publish research or reports about our business or if they publish negative evaluations of our stock, the price of our stock could decline.</w:t>
      </w:r>
    </w:p>
    <w:p>
      <w:pPr>
        <w:spacing w:after="0" w:line="258"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securities analysts publish about us or our business. If one or more of the analysts covering our stock downgrade their evaluations of our stock or publishes inaccurate or unfavorable research about our business, the trading price of our stock may decline. If one or more of these analysts cease to cover our stock, we could lose visibility in the market for our stock, which in turn could cause our stock price to decline.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Our corporate headquarters are located in Cambridge, Massachusetts.</w:t>
      </w:r>
    </w:p>
    <w:p>
      <w:pPr>
        <w:spacing w:after="0" w:line="235"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color w:val="auto"/>
        </w:rPr>
        <w:t>We occupy approximately (a) 46,631 square feet of office and laboratory space at 399 Binney Street, Cambridge, Massachusetts 02139, the lease term for which expires on April 30, 2029, with an option to extend the term by five years with 12 to 15 months' notice at agreed upon market rates, and (b) 41,474 square feet of office and laboratory space at 60 Hampshire Street, Cambridge, Massachusetts 02139, the lease term for which expires on June 30, 2032.</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97" w:name="page98"/>
    <w:bookmarkEnd w:id="97"/>
    <w:p>
      <w:pPr>
        <w:ind w:right="40"/>
        <w:spacing w:after="0" w:line="293" w:lineRule="auto"/>
        <w:rPr>
          <w:sz w:val="20"/>
          <w:szCs w:val="20"/>
          <w:color w:val="auto"/>
        </w:rPr>
      </w:pPr>
      <w:r>
        <w:rPr>
          <w:rFonts w:ascii="Arial" w:cs="Arial" w:eastAsia="Arial" w:hAnsi="Arial"/>
          <w:sz w:val="16"/>
          <w:szCs w:val="16"/>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3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98" w:name="page99"/>
    <w:bookmarkEnd w:id="98"/>
    <w:p>
      <w:pPr>
        <w:jc w:val="center"/>
        <w:ind w:left="500"/>
        <w:spacing w:after="0"/>
        <w:rPr>
          <w:sz w:val="20"/>
          <w:szCs w:val="20"/>
          <w:color w:val="auto"/>
        </w:rPr>
      </w:pPr>
      <w:r>
        <w:rPr>
          <w:rFonts w:ascii="Arial" w:cs="Arial" w:eastAsia="Arial" w:hAnsi="Arial"/>
          <w:sz w:val="16"/>
          <w:szCs w:val="16"/>
          <w:b w:val="1"/>
          <w:bCs w:val="1"/>
          <w:color w:val="auto"/>
        </w:rPr>
        <w:t>PART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Information Regarding the Trading of Our Common Stock</w:t>
      </w:r>
    </w:p>
    <w:p>
      <w:pPr>
        <w:spacing w:after="0" w:line="239"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common stock trades under the symbol “RLAY” on the NASDAQ Global Market and has been publicly traded since July 16, 2020. Prior to this time, there was no public market for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Our Common Stock</w:t>
      </w:r>
    </w:p>
    <w:p>
      <w:pPr>
        <w:spacing w:after="0" w:line="23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of February 1, 2023, there were approximately 50 holders of record of shares of our common stock. This number does not include stockholders for whom shares are held in “nominee” or “street” name.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23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8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In July 2020, we issued 23,000,000 shares of our common stock in our IPO at a price of $20.00 per share. The following performance graph compares the performance of our common stock to the Nasdaq Composite Index and to the Nasdaq Biotechnology Index from July 16, 2020, the closing market price on the first trading day of our common stock, through December 31, 2022. The comparison assumes $100 was invested in our common stock and in each of the foregoing indices after the market closed on July 16, 2020 and it assumes reinvestment of dividends, if any. The stock price performance included in this graph is not necessarily indicative of, nor is it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5349240" cy="19799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49240"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239"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Information about our equity compensation plans will be included in our definitive proxy statement to be filed with the SEC with respect to our 2023 Annual Meeting of Stockholders and is incorporated herein by reference.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Sales of Unregistered Equity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Purchases of Equity Securities by the Issuer and Affiliated Purchasers</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We did not purchase any of our registered equity securities during the period covered by this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[Reserved]</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8" w:right="1440"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39"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included elsewhere in this Annual Report on Form 10-K. This discussion and other parts of this Annual Report on Form 10-K contain forward-looking statements that involve risks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are a clinical-stage precision medicine company transforming the drug discovery process by combining leading-edge computational and experimental technologies with the goal of bringing life-changing therapies to patients. As we believe we are among the first of a new breed of biotech created at the intersection of complementary techniques and technologies, we aim to push the boundaries of what’s possible in drug discovery. Our Dynamo™ platform integrates an array of leading-edge computational and experimental approaches designed to drug protein targets that have previously been intractable or inadequately addressed. Our initial focus is on enhancing small molecule therapeutic discovery in targeted oncology and genetic disease indications.</w:t>
      </w:r>
    </w:p>
    <w:p>
      <w:pPr>
        <w:spacing w:after="0" w:line="190" w:lineRule="exact"/>
        <w:rPr>
          <w:sz w:val="20"/>
          <w:szCs w:val="20"/>
          <w:color w:val="auto"/>
        </w:rPr>
      </w:pPr>
    </w:p>
    <w:p>
      <w:pPr>
        <w:jc w:val="both"/>
        <w:ind w:right="340"/>
        <w:spacing w:after="0" w:line="278" w:lineRule="auto"/>
        <w:rPr>
          <w:sz w:val="20"/>
          <w:szCs w:val="20"/>
          <w:color w:val="auto"/>
        </w:rPr>
      </w:pPr>
      <w:r>
        <w:rPr>
          <w:rFonts w:ascii="Arial" w:cs="Arial" w:eastAsia="Arial" w:hAnsi="Arial"/>
          <w:sz w:val="16"/>
          <w:szCs w:val="16"/>
          <w:color w:val="auto"/>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p>
    <w:p>
      <w:pPr>
        <w:spacing w:after="0" w:line="18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are advancing a pipeline of medicines to address targets in precision oncology and genetic disease indications, including our lead product candidates, RLY-4008, RLY-2608, and GDC-1971 (formerly known as RLY-1971).</w:t>
      </w:r>
    </w:p>
    <w:p>
      <w:pPr>
        <w:spacing w:after="0" w:line="168" w:lineRule="exact"/>
        <w:rPr>
          <w:sz w:val="20"/>
          <w:szCs w:val="20"/>
          <w:color w:val="auto"/>
        </w:rPr>
      </w:pPr>
    </w:p>
    <w:p>
      <w:pPr>
        <w:ind w:left="760" w:hanging="378"/>
        <w:spacing w:after="0" w:line="286" w:lineRule="auto"/>
        <w:tabs>
          <w:tab w:leader="none" w:pos="760" w:val="left"/>
        </w:tabs>
        <w:numPr>
          <w:ilvl w:val="0"/>
          <w:numId w:val="54"/>
        </w:numPr>
        <w:rPr>
          <w:rFonts w:ascii="Arial" w:cs="Arial" w:eastAsia="Arial" w:hAnsi="Arial"/>
          <w:sz w:val="15"/>
          <w:szCs w:val="15"/>
          <w:color w:val="auto"/>
        </w:rPr>
      </w:pPr>
      <w:r>
        <w:rPr>
          <w:rFonts w:ascii="Arial" w:cs="Arial" w:eastAsia="Arial" w:hAnsi="Arial"/>
          <w:sz w:val="15"/>
          <w:szCs w:val="15"/>
          <w:b w:val="1"/>
          <w:bCs w:val="1"/>
          <w:color w:val="auto"/>
        </w:rPr>
        <w:t xml:space="preserve">RLY-4008. </w:t>
      </w:r>
      <w:r>
        <w:rPr>
          <w:rFonts w:ascii="Arial" w:cs="Arial" w:eastAsia="Arial" w:hAnsi="Arial"/>
          <w:sz w:val="15"/>
          <w:szCs w:val="15"/>
          <w:color w:val="auto"/>
        </w:rPr>
        <w:t>In the third quarter of 2020, we initiated the RLY-4008 ReFocus Trial for patients with advanced or metastatic FGFR2-altered solid tumors. In</w:t>
      </w:r>
      <w:r>
        <w:rPr>
          <w:rFonts w:ascii="Arial" w:cs="Arial" w:eastAsia="Arial" w:hAnsi="Arial"/>
          <w:sz w:val="15"/>
          <w:szCs w:val="15"/>
          <w:b w:val="1"/>
          <w:bCs w:val="1"/>
          <w:color w:val="auto"/>
        </w:rPr>
        <w:t xml:space="preserve"> </w:t>
      </w:r>
      <w:r>
        <w:rPr>
          <w:rFonts w:ascii="Arial" w:cs="Arial" w:eastAsia="Arial" w:hAnsi="Arial"/>
          <w:sz w:val="15"/>
          <w:szCs w:val="15"/>
          <w:color w:val="auto"/>
        </w:rPr>
        <w:t>October 2021, we announced initial clinical data from this trial, which suggested robust inhibition of FGFR2 in the first 49 subjects that was not observed to be limited by off-target toxicities, including hyperphosphatemia and diarrhea, as of the data cut-off date of September 9, 2021. In December 2021, we initiated expansion cohorts at a continuous 70 mg once-daily, or QD, dose, and in January 2022, the U.S. Food and Drug Administration, or FDA, granted orphan drug designation to RLY-4008 for the treatment of cholangiocarcinoma, or CCA. In the first half of 2022, we conducted an end-of-Phase 1 meeting with the FDA to discuss next steps for the clinical development of RLY-4008. Based on discussions with the FDA, we have decided to move forward with a single-arm trial design for pan-FGFR, or FGFRi, treatment-naïve, FGFR2-fusion CCA at 70 mg QD to potentially support accelerated approval. In June 2022, we announced the anticipated registrational path for RLY-4008 in CCA and the interim clinical data with a data cut-off date of April 19, 2022 that was shared with the FDA to support that potential registrational path. In September 2022, we announced additional interim clinical data for RLY-4008 with a data cut-off date of August 1, 2022 that was presented at the European Society for Medical Oncology Congress 2022. This interim clinical data showed an interim ORR of 88% from the FGFRi treatment-naïve, FGFR2-fusion CCA patients treated at the pivotal dose of 70 mg QD and an interim ORR of 63% across all dose levels and schedules. In October 2022, the European Medicines Agency, or EMA, adopted a positive opinion on the orphan drug designation application for RLY-4008 for the treatment of biliary tract cancer.</w:t>
      </w:r>
    </w:p>
    <w:p>
      <w:pPr>
        <w:spacing w:after="0" w:line="176" w:lineRule="exact"/>
        <w:rPr>
          <w:rFonts w:ascii="Arial" w:cs="Arial" w:eastAsia="Arial" w:hAnsi="Arial"/>
          <w:sz w:val="15"/>
          <w:szCs w:val="15"/>
          <w:color w:val="auto"/>
        </w:rPr>
      </w:pPr>
    </w:p>
    <w:p>
      <w:pPr>
        <w:ind w:left="760" w:right="40" w:hanging="378"/>
        <w:spacing w:after="0" w:line="269" w:lineRule="auto"/>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RLY-2608. </w:t>
      </w:r>
      <w:r>
        <w:rPr>
          <w:rFonts w:ascii="Arial" w:cs="Arial" w:eastAsia="Arial" w:hAnsi="Arial"/>
          <w:sz w:val="16"/>
          <w:szCs w:val="16"/>
          <w:color w:val="auto"/>
        </w:rPr>
        <w:t>In December 2021, we dosed the first patient in the RLY-2608 ReDiscover Trial and in April 2022, we initiated the second arm of the dose escalation</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this trial, evaluating RLY-2608 in combination with fulvestrant for patients with HR+, HER2–, PI3Kα-mutated, locally advanced or metastatic breast cancer. RLY-2608 is the lead program of multiple efforts in our PI3Kα franchise to discover and develop mutant selective inhibitors of PI3Kα. In the fourth quarter of 2021, we announced preclinical data for RLY-2608, in which we observed that RLY-2608 preferentially bound to mutant PI3Kα at a novel allosteric site discovered by the Dynamo platform. The data also suggest that projected clinically relevant doses of RLY-2608 achieved tumor regression in PIK3CA mutant in vivo xenograft mouse models representing H1047R and E545K mutations with significantly reduced impact on glucose metabolism compared to non-mutant selective active site inhibitors. The data further suggest that in preclinical models, RLY-2608 combined with standard of care therapies resulted in regressions in ER+/HER2- breast cancer.</w:t>
      </w:r>
    </w:p>
    <w:p>
      <w:pPr>
        <w:spacing w:after="0" w:line="186" w:lineRule="exact"/>
        <w:rPr>
          <w:rFonts w:ascii="Arial" w:cs="Arial" w:eastAsia="Arial" w:hAnsi="Arial"/>
          <w:sz w:val="16"/>
          <w:szCs w:val="16"/>
          <w:color w:val="auto"/>
        </w:rPr>
      </w:pPr>
    </w:p>
    <w:p>
      <w:pPr>
        <w:ind w:left="760" w:right="140" w:hanging="378"/>
        <w:spacing w:after="0" w:line="299" w:lineRule="auto"/>
        <w:tabs>
          <w:tab w:leader="none" w:pos="760" w:val="left"/>
        </w:tabs>
        <w:numPr>
          <w:ilvl w:val="0"/>
          <w:numId w:val="54"/>
        </w:numPr>
        <w:rPr>
          <w:rFonts w:ascii="Arial" w:cs="Arial" w:eastAsia="Arial" w:hAnsi="Arial"/>
          <w:sz w:val="15"/>
          <w:szCs w:val="15"/>
          <w:color w:val="auto"/>
        </w:rPr>
      </w:pPr>
      <w:r>
        <w:rPr>
          <w:rFonts w:ascii="Arial" w:cs="Arial" w:eastAsia="Arial" w:hAnsi="Arial"/>
          <w:sz w:val="15"/>
          <w:szCs w:val="15"/>
          <w:b w:val="1"/>
          <w:bCs w:val="1"/>
          <w:color w:val="auto"/>
        </w:rPr>
        <w:t>GDC-1971 (formerly known as RLY</w:t>
      </w:r>
      <w:r>
        <w:rPr>
          <w:rFonts w:ascii="Arial" w:cs="Arial" w:eastAsia="Arial" w:hAnsi="Arial"/>
          <w:sz w:val="15"/>
          <w:szCs w:val="15"/>
          <w:color w:val="auto"/>
        </w:rPr>
        <w:t>-</w:t>
      </w:r>
      <w:r>
        <w:rPr>
          <w:rFonts w:ascii="Arial" w:cs="Arial" w:eastAsia="Arial" w:hAnsi="Arial"/>
          <w:sz w:val="15"/>
          <w:szCs w:val="15"/>
          <w:b w:val="1"/>
          <w:bCs w:val="1"/>
          <w:color w:val="auto"/>
        </w:rPr>
        <w:t xml:space="preserve">1971). </w:t>
      </w:r>
      <w:r>
        <w:rPr>
          <w:rFonts w:ascii="Arial" w:cs="Arial" w:eastAsia="Arial" w:hAnsi="Arial"/>
          <w:sz w:val="15"/>
          <w:szCs w:val="15"/>
          <w:color w:val="auto"/>
        </w:rPr>
        <w:t>In the first quarter of 2020, we initiated a Phase 1a clinical trial for RLY-1971, our inhibitor of Src homology</w:t>
      </w:r>
      <w:r>
        <w:rPr>
          <w:rFonts w:ascii="Arial" w:cs="Arial" w:eastAsia="Arial" w:hAnsi="Arial"/>
          <w:sz w:val="15"/>
          <w:szCs w:val="15"/>
          <w:b w:val="1"/>
          <w:bCs w:val="1"/>
          <w:color w:val="auto"/>
        </w:rPr>
        <w:t xml:space="preserve"> </w:t>
      </w:r>
      <w:r>
        <w:rPr>
          <w:rFonts w:ascii="Arial" w:cs="Arial" w:eastAsia="Arial" w:hAnsi="Arial"/>
          <w:sz w:val="15"/>
          <w:szCs w:val="15"/>
          <w:color w:val="auto"/>
        </w:rPr>
        <w:t>region 2 domain-containing phosphatase-2, or SHP2, as a monotherapy in patients with advanced or metastatic solid tumors. We completed enrollment of this trial in 2022. In December 2020, we entered into the Genentech Agreement for the development and commercialization of RLY-1971 (now referred to as GDC-1971). Genentech initiated the cohort of GDC-1971 in combination with GDC-6036, its KRAS G12C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1" w:name="page102"/>
    <w:bookmarkEnd w:id="101"/>
    <w:p>
      <w:pPr>
        <w:jc w:val="center"/>
        <w:ind w:right="120"/>
        <w:spacing w:after="0"/>
        <w:rPr>
          <w:sz w:val="20"/>
          <w:szCs w:val="20"/>
          <w:color w:val="auto"/>
        </w:rPr>
      </w:pPr>
      <w:r>
        <w:rPr>
          <w:rFonts w:ascii="Arial" w:cs="Arial" w:eastAsia="Arial" w:hAnsi="Arial"/>
          <w:sz w:val="16"/>
          <w:szCs w:val="16"/>
          <w:color w:val="auto"/>
        </w:rPr>
        <w:t>inhibitor, in a Phase 1b trial in July 2021, and a Phase 1b trial of GDC-1971 in combination with atezolizumab, its PD-L1 antibody, in August 2022.</w:t>
      </w:r>
    </w:p>
    <w:p>
      <w:pPr>
        <w:spacing w:after="0" w:line="235"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While our initial focus is on precision oncology, we believe our Dynamo platform may also be broadly applied to other areas of precision medicine, such as genetic disease indications. In addition to the three lead product candidates described above, we announced three discovery stage programs in June 2022 as part of our HR+/HER2- breast cancer franchise, including a selective cyclin dependent kinase 2, or CDK2, inhibitor, a rationally designed estrogen receptor alpha, or ERα, degrader and a selective and chemically distinct pan-mutant PI3Kα inhibitor, RLY-5836. We also have five additional discovery stage programs across both precision oncology and genetic disease indications. We are focused on using the novel insights derived from our approach to transform the lives of patients suffering from debilitating and life-threatening diseases through the discovery, development and commercialization of our therapies.</w:t>
      </w:r>
    </w:p>
    <w:p>
      <w:pPr>
        <w:spacing w:after="0" w:line="176" w:lineRule="exact"/>
        <w:rPr>
          <w:sz w:val="20"/>
          <w:szCs w:val="20"/>
          <w:color w:val="auto"/>
        </w:rPr>
      </w:pPr>
    </w:p>
    <w:p>
      <w:pPr>
        <w:ind w:right="60"/>
        <w:spacing w:after="0" w:line="324" w:lineRule="auto"/>
        <w:rPr>
          <w:sz w:val="20"/>
          <w:szCs w:val="20"/>
          <w:color w:val="auto"/>
        </w:rPr>
      </w:pPr>
      <w:r>
        <w:rPr>
          <w:rFonts w:ascii="Arial" w:cs="Arial" w:eastAsia="Arial" w:hAnsi="Arial"/>
          <w:sz w:val="14"/>
          <w:szCs w:val="14"/>
          <w:color w:val="auto"/>
        </w:rPr>
        <w:t>We were incorporated in May 2015. We have devoted substantially all of our resources to developing our lead product candidates, developing our innovative computational and experimental approaches on protein motion, building our intellectual property portfolio, business planning, raising capital, and providing general and administrative support for these operations. To date, we have principally financed our operations through private placements of preferred stock, convertible debt, and proceeds from public offerings of our common stock. We have also received an aggregate of $105.0 million in connection with the Genentech Agreement through December 31, 2022.</w:t>
      </w:r>
    </w:p>
    <w:p>
      <w:pPr>
        <w:spacing w:after="0" w:line="157" w:lineRule="exact"/>
        <w:rPr>
          <w:sz w:val="20"/>
          <w:szCs w:val="20"/>
          <w:color w:val="auto"/>
        </w:rPr>
      </w:pPr>
    </w:p>
    <w:p>
      <w:pPr>
        <w:ind w:right="280"/>
        <w:spacing w:after="0" w:line="328" w:lineRule="auto"/>
        <w:rPr>
          <w:sz w:val="20"/>
          <w:szCs w:val="20"/>
          <w:color w:val="auto"/>
        </w:rPr>
      </w:pPr>
      <w:r>
        <w:rPr>
          <w:rFonts w:ascii="Arial" w:cs="Arial" w:eastAsia="Arial" w:hAnsi="Arial"/>
          <w:sz w:val="15"/>
          <w:szCs w:val="15"/>
          <w:color w:val="auto"/>
        </w:rPr>
        <w:t>In September 2022, we completed a public offering, or the September 2022 Offering, of 11,320,755 shares of common stock at an offering price of $26.50 per share. We received proceeds of $284.7 million, which was net of $15.3 million in underwriting discounts and commissions, as well as other offering expenses.</w:t>
      </w:r>
    </w:p>
    <w:p>
      <w:pPr>
        <w:spacing w:after="0" w:line="150"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 October 2021, we completed a public offering, or the October 2021 Offering, of 15,188,679 shares of common stock, including the exercise in full of the underwriters’ option to purchase an additional 1,981,132 shares, at an offering price of $26.50 per share. We received proceeds of $382.2 million, which was net of $20.3 million in underwriting discounts and commissions, as well as other offering expenses.</w:t>
      </w:r>
    </w:p>
    <w:p>
      <w:pPr>
        <w:spacing w:after="0" w:line="184"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 July 2020, we closed our initial public offering, or IPO, and issued 23,000,000 shares of our common stock at a price of $20.00 per share for proceeds of $425.3 million, which was net of $34.7 million in underwriting discounts and commissions, as well as other offering expenses. Prior to our IPO, we had received gross proceeds of approximately $520.0 million from sales of preferred stock and issuance of convertible debt.</w:t>
      </w:r>
    </w:p>
    <w:p>
      <w:pPr>
        <w:spacing w:after="0" w:line="184"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On April 15, 2021, we entered into an Agreement and Plan of Merger, or the Merger Agreement, and on April 22, 2021, we acquired ZebiAI Therapeutics, Inc., or ZebiAI. Pursuant to the Merger Agreement, upfront consideration included (a) payment of approximately $20.0 million in cash and (b) issuance of 1,914,219 shares of our common stock at an aggregate fair value of $61.8 million, both transferred to ZebiAI’s former stockholders, option holders, and warrant holders, or the ZebiAI Holders, upon closing. In addition, (i) the ZebiAI Holders are eligible to receive up to $85.0 million in other payments upon the achievement of certain platform or program milestones, payable in shares of our common stock, or the Contingent Milestone Payments, a portion of which was paid to the ZebiAI Holders in 2022, and (ii) we will pay 10% of payments we receive within three years of the closing date of the Merger Agreement from partnering, collaboration, or other agreements related to ZebiAI’s platform, up to an aggregate maximum amount of $100.0 million, payable in cash, or the Contingent Earnout Payments, to the ZebiAI Holders.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December 2020, we entered into the Genentech Agreement with Genentech for the development and commercialization of GDC-1971 (formerly known as RLY-1971). Under the terms of the Genentech Agreement, we received $75.0 million in an upfront payment in 2021, as well as $30.0 million in milestone payments from Genentech through December 31, 2022. We are eligible to receive an additional $5.0 million in near-term payments; and, if we do not opt into a U.S. profit/cost share, up to $685.0 million in additional development, commercialization and sales-based milestones for GDC-1971; and tiered royalties on annual global net sales (on a country-by-country basis), anticipated to be in the low-to-mid-teens, subject to reductions in certain circumstances. Additionally, we are eligible to receive additional royalties in the event of regulatory approval of GDC-1971 and Genentech’s compound, GDC-6036, that directly binds to and inhibits KRAS G12C, in combination. We have the right to opt-in to a 50/50 U.S. profit/cost share and, if we do opt into the U.S. profit/cost share, we are eligible to receive up to $410.0 million in additional commercialization and sales-based milestones for GDC-1971 outside of the U.S. and tiered royalties on annual net sales outside of the U.S. (on a country-by-country basis), anticipated to be in the low-to-mid-teens, subject to reduction in certain circumstances. We also retain the right to develop GDC-1971 in combination with our FGFR2 and PI3Kα programs.</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ongoing COVID-19 pandemic has presented a substantial public health and economic challenge around the world and continues to affect our employees, patients, communities, and business operations. The extent to which the COVID-19 pandemic may continue to affect our operations or those of our third-party partners, including our preclinical studies or clinical trial operations, will depend on future developments, which are highly uncertain and cannot be predicted with confidence, including the severity and duration of additional variant outbreaks, vaccination and booster vaccination rates where we or our third party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02" w:name="page103"/>
    <w:bookmarkEnd w:id="102"/>
    <w:p>
      <w:pPr>
        <w:spacing w:after="0" w:line="287" w:lineRule="auto"/>
        <w:rPr>
          <w:sz w:val="20"/>
          <w:szCs w:val="20"/>
          <w:color w:val="auto"/>
        </w:rPr>
      </w:pPr>
      <w:r>
        <w:rPr>
          <w:rFonts w:ascii="Arial" w:cs="Arial" w:eastAsia="Arial" w:hAnsi="Arial"/>
          <w:sz w:val="15"/>
          <w:szCs w:val="15"/>
          <w:color w:val="auto"/>
        </w:rPr>
        <w:t>partners conduct operations, and the actions to contain COVID-19 or treat its impact, among others. The continued spread of COVID-19 globally could adversely impact our preclinical or clinical trial operations in the United States, including our ability to obtain slots for IND-enabling studies, recruit and retain patients, principal investigators and site staff in our clinical trials, and obtain sufficient clinical trial supply of our product candidates due to supply chain disruptions or interruptions in global shipping, as well as activate new clinical trial sites. To date, we have been able to continue to enroll our patients in first-in-human clinical trials for RLY-4008 and RLY-2608, and we currently do not anticipate any interruptions in clinical enrollment or any material adverse impact on our financial condition or results of operations due to the ongoing COVID-19 pandemic. However, we are continuing to assess the potential impact of the ongoing COVID-19 pandemic on our current and future business and operations, including our expenses and clinical trials, as well as on our industry and the healthcare system. See “</w:t>
      </w:r>
      <w:r>
        <w:rPr>
          <w:rFonts w:ascii="Arial" w:cs="Arial" w:eastAsia="Arial" w:hAnsi="Arial"/>
          <w:sz w:val="15"/>
          <w:szCs w:val="15"/>
          <w:i w:val="1"/>
          <w:iCs w:val="1"/>
          <w:color w:val="auto"/>
        </w:rPr>
        <w:t>—The ongoing COVID-19 pandemic has impacted our business and any</w:t>
      </w:r>
      <w:r>
        <w:rPr>
          <w:rFonts w:ascii="Arial" w:cs="Arial" w:eastAsia="Arial" w:hAnsi="Arial"/>
          <w:sz w:val="15"/>
          <w:szCs w:val="15"/>
          <w:color w:val="auto"/>
        </w:rPr>
        <w:t xml:space="preserve"> </w:t>
      </w:r>
      <w:r>
        <w:rPr>
          <w:rFonts w:ascii="Arial" w:cs="Arial" w:eastAsia="Arial" w:hAnsi="Arial"/>
          <w:sz w:val="15"/>
          <w:szCs w:val="15"/>
          <w:i w:val="1"/>
          <w:iCs w:val="1"/>
          <w:color w:val="auto"/>
        </w:rPr>
        <w:t>future pandemic, epidemic, or outbreak of an infectious disease could similarly affect our business and our financial results and could cause further disruption to the development of our product candidates</w:t>
      </w:r>
      <w:r>
        <w:rPr>
          <w:rFonts w:ascii="Arial" w:cs="Arial" w:eastAsia="Arial" w:hAnsi="Arial"/>
          <w:sz w:val="15"/>
          <w:szCs w:val="15"/>
          <w:color w:val="auto"/>
        </w:rPr>
        <w:t>” for a more detailed discussion of the risks related to the ongoing COVID-19 pandemic.</w:t>
      </w:r>
    </w:p>
    <w:p>
      <w:pPr>
        <w:spacing w:after="0" w:line="182"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Additionally, inflation generally affects us by increasing our employee-related costs and clinical trial expenses, as well as other operating expenses. Our financial condition and results of operations may also be impacted by other factors we may not be able to control, such as global supply chain disruptions, uncertain global economic conditions, global trade disputes or political instability as further discussed in the section “Risk Factors” in this Annual Report. We do not believe that such factors had a material adverse impact on our results of operations during the years ended December 31, 2022, 2021, and 2020.</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color w:val="auto"/>
        </w:rPr>
        <w:t>Since our inception, we have incurred significant operating losses on an aggregate basis. Our ability to generate product revenue sufficient to achieve profitability will</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depend on the successful development and eventual commercialization of one or more of our current or future product candidates. Our net losses were $290.5 million,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$363.9 million, and $52.4 million for the years ended December 31, 2022, 2021, and 2020, respectively. As of December 31, 2022, we had an accumulated deficit of $1.1</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billion. These losses have resulted primarily from costs incurred in connection with research and development activities, licensing and patent investment, and general and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administrative costs associated with our operations. We expect to continue to incur significant expenses</w:t>
      </w:r>
      <w:r>
        <w:rPr>
          <w:rFonts w:ascii="Arial" w:cs="Arial" w:eastAsia="Arial" w:hAnsi="Arial"/>
          <w:sz w:val="14"/>
          <w:szCs w:val="14"/>
          <w:color w:val="231F20"/>
        </w:rPr>
        <w:t>, including the costs of operating as a public company,</w:t>
      </w:r>
      <w:r>
        <w:rPr>
          <w:rFonts w:ascii="Arial" w:cs="Arial" w:eastAsia="Arial" w:hAnsi="Arial"/>
          <w:sz w:val="14"/>
          <w:szCs w:val="14"/>
          <w:color w:val="auto"/>
        </w:rPr>
        <w:t xml:space="preserve"> and </w:t>
      </w:r>
      <w:r>
        <w:rPr>
          <w:rFonts w:ascii="Arial" w:cs="Arial" w:eastAsia="Arial" w:hAnsi="Arial"/>
          <w:sz w:val="14"/>
          <w:szCs w:val="14"/>
          <w:color w:val="231F20"/>
        </w:rPr>
        <w:t>generate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increasing operating losses for at least the next several years.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anticipate that our expenses will increase substantially if and as we:</w:t>
      </w:r>
    </w:p>
    <w:p>
      <w:pPr>
        <w:spacing w:after="0" w:line="235" w:lineRule="exact"/>
        <w:rPr>
          <w:sz w:val="20"/>
          <w:szCs w:val="20"/>
          <w:color w:val="auto"/>
        </w:rPr>
      </w:pPr>
    </w:p>
    <w:p>
      <w:pPr>
        <w:ind w:left="760" w:hanging="378"/>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conduct our current and future clinical trials of RLY-4008 and RLY-2608;</w:t>
      </w:r>
    </w:p>
    <w:p>
      <w:pPr>
        <w:spacing w:after="0" w:line="234" w:lineRule="exact"/>
        <w:rPr>
          <w:rFonts w:ascii="Arial" w:cs="Arial" w:eastAsia="Arial" w:hAnsi="Arial"/>
          <w:sz w:val="16"/>
          <w:szCs w:val="16"/>
          <w:color w:val="auto"/>
        </w:rPr>
      </w:pPr>
    </w:p>
    <w:p>
      <w:pPr>
        <w:ind w:left="760" w:right="240" w:hanging="378"/>
        <w:spacing w:after="0" w:line="293" w:lineRule="auto"/>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conduct additional preclinical research and development of RLY-5836, our PI3Kα mutant selective inhibitor, CDK2 inhibitor and ERα degrader programs and other early-stage programs;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initiate and continue research and preclinical and clinical development of our other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seek to identify additional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pursue marketing approvals for any of our product candidates that successfully complete clinical trials, if any;</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products for which we may obtain marketing approval;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require the manufacture of larger quantities of our product candidates for clinical development and potentially commercialization;</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obtain, maintain, expand and protect our intellectual property portfolio;</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acquire or in-license other drugs and technologies;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hire and retain additional clinical, regulatory, quality and scientific personnel;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build out new facilities or expand existing facilities to support our ongoing development activity; and</w:t>
      </w:r>
    </w:p>
    <w:p>
      <w:pPr>
        <w:spacing w:after="0" w:line="234" w:lineRule="exact"/>
        <w:rPr>
          <w:rFonts w:ascii="Arial" w:cs="Arial" w:eastAsia="Arial" w:hAnsi="Arial"/>
          <w:sz w:val="16"/>
          <w:szCs w:val="16"/>
          <w:color w:val="auto"/>
        </w:rPr>
      </w:pPr>
    </w:p>
    <w:p>
      <w:pPr>
        <w:ind w:left="760" w:right="1120" w:hanging="378"/>
        <w:spacing w:after="0" w:line="293" w:lineRule="auto"/>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drug development, any future commercialization efforts and our operations as a public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3" w:name="page104"/>
    <w:bookmarkEnd w:id="103"/>
    <w:p>
      <w:pPr>
        <w:ind w:right="780"/>
        <w:spacing w:after="0" w:line="293" w:lineRule="auto"/>
        <w:rPr>
          <w:sz w:val="20"/>
          <w:szCs w:val="20"/>
          <w:color w:val="auto"/>
        </w:rPr>
      </w:pPr>
      <w:r>
        <w:rPr>
          <w:rFonts w:ascii="Arial" w:cs="Arial" w:eastAsia="Arial" w:hAnsi="Arial"/>
          <w:sz w:val="16"/>
          <w:szCs w:val="16"/>
          <w:color w:val="auto"/>
        </w:rPr>
        <w:t>In addition, if we obtain marketing approval for any of our lead product candidates, we expect to incur significant commercialization expenses related to product manufacturing, marketing, sales and distribution.</w:t>
      </w:r>
    </w:p>
    <w:p>
      <w:pPr>
        <w:spacing w:after="0" w:line="17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w:t>
      </w:r>
    </w:p>
    <w:p>
      <w:pPr>
        <w:spacing w:after="0" w:line="19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89"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We believe our cash, cash equivalents, and investments of $998.9 million as of December 31, 2022 will enable us to fund our operating expenses and capital expenditure requirements into 2025. We have based this estimate on assumptions that may prove to be wrong, and we could exhaust our available capital resources sooner than we expect. We will need to raise additional capital in the future to continue developing the drugs in our pipeline and to commercialize any approved drug. We may seek to obtain additional financing in the future through the issuance of our common stock, through other equity or debt financings or through collaborations or partnerships with other companies. We may not be able to raise additional capital on terms acceptable to us, or at all, and any failure to raise capital as and when needed could compromise our ability to execute on our business plan.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35"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To date, our revenue primarily consists of amounts related to the Genentech Agreement. We recognize our revenue as the performance obligations are satisfied under the License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include:</w:t>
      </w:r>
    </w:p>
    <w:p>
      <w:pPr>
        <w:spacing w:after="0" w:line="235" w:lineRule="exact"/>
        <w:rPr>
          <w:sz w:val="20"/>
          <w:szCs w:val="20"/>
          <w:color w:val="auto"/>
        </w:rPr>
      </w:pPr>
    </w:p>
    <w:p>
      <w:pPr>
        <w:ind w:left="760" w:hanging="378"/>
        <w:spacing w:after="0"/>
        <w:tabs>
          <w:tab w:leader="none" w:pos="7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salaries, benefits, and other employee related costs, including stock-based compensation expense, for personnel engaged in research and development functions;</w:t>
      </w:r>
    </w:p>
    <w:p>
      <w:pPr>
        <w:spacing w:after="0" w:line="257" w:lineRule="exact"/>
        <w:rPr>
          <w:rFonts w:ascii="Arial" w:cs="Arial" w:eastAsia="Arial" w:hAnsi="Arial"/>
          <w:sz w:val="14"/>
          <w:szCs w:val="14"/>
          <w:color w:val="auto"/>
        </w:rPr>
      </w:pPr>
    </w:p>
    <w:p>
      <w:pPr>
        <w:ind w:left="760" w:hanging="378"/>
        <w:spacing w:after="0"/>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costs of outside consultants, including their fees, stock-based compensation, and related travel expenses;</w:t>
      </w:r>
    </w:p>
    <w:p>
      <w:pPr>
        <w:spacing w:after="0" w:line="234" w:lineRule="exact"/>
        <w:rPr>
          <w:rFonts w:ascii="Arial" w:cs="Arial" w:eastAsia="Arial" w:hAnsi="Arial"/>
          <w:sz w:val="16"/>
          <w:szCs w:val="16"/>
          <w:color w:val="auto"/>
        </w:rPr>
      </w:pPr>
    </w:p>
    <w:p>
      <w:pPr>
        <w:ind w:left="760" w:right="360" w:hanging="378"/>
        <w:spacing w:after="0" w:line="293" w:lineRule="auto"/>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and other vendors that conduct our clinical trials and preclinical activities;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costs of acquiring, developing, and manufacturing clinical trial materials and lab supplies;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costs related to compliance with regulatory requirements; and</w:t>
      </w:r>
    </w:p>
    <w:p>
      <w:pPr>
        <w:spacing w:after="0" w:line="234" w:lineRule="exact"/>
        <w:rPr>
          <w:rFonts w:ascii="Arial" w:cs="Arial" w:eastAsia="Arial" w:hAnsi="Arial"/>
          <w:sz w:val="16"/>
          <w:szCs w:val="16"/>
          <w:color w:val="auto"/>
        </w:rPr>
      </w:pPr>
    </w:p>
    <w:p>
      <w:pPr>
        <w:ind w:left="760" w:right="160" w:hanging="378"/>
        <w:spacing w:after="0" w:line="293" w:lineRule="auto"/>
        <w:tabs>
          <w:tab w:leader="none" w:pos="7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facility costs, depreciation and other expenses, which include direct and allocated expenses for rent and maintenance of facilities, insurance and other supplies. We do not allocate certain internal costs, facilities, or overhead costs to specific development programs.</w:t>
      </w:r>
    </w:p>
    <w:p>
      <w:pPr>
        <w:spacing w:after="0" w:line="172" w:lineRule="exact"/>
        <w:rPr>
          <w:sz w:val="20"/>
          <w:szCs w:val="20"/>
          <w:color w:val="auto"/>
        </w:rPr>
      </w:pPr>
    </w:p>
    <w:p>
      <w:pPr>
        <w:jc w:val="both"/>
        <w:ind w:right="40"/>
        <w:spacing w:after="0" w:line="297" w:lineRule="auto"/>
        <w:rPr>
          <w:sz w:val="20"/>
          <w:szCs w:val="20"/>
          <w:color w:val="auto"/>
        </w:rPr>
      </w:pPr>
      <w:r>
        <w:rPr>
          <w:rFonts w:ascii="Arial" w:cs="Arial" w:eastAsia="Arial" w:hAnsi="Arial"/>
          <w:sz w:val="15"/>
          <w:szCs w:val="15"/>
          <w:color w:val="auto"/>
        </w:rPr>
        <w:t>We expense research and development costs as the services are performed or the goods are received. We recognize costs for certain development activities, such as clinical trials, based on an evaluation of the progress to completion of specific tasks using data such as patient enrollment, clinical site activations, or other information provided to us by our vendors and our clinical investigative sites. Payments for these activities are based on the terms of the individual agreements, which may differ from the pattern of costs incurred, and are reflected in our financial statements as prepaid expenses or accrued research and development expenses.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04" w:name="page105"/>
    <w:bookmarkEnd w:id="104"/>
    <w:p>
      <w:pPr>
        <w:spacing w:after="0" w:line="269" w:lineRule="auto"/>
        <w:rPr>
          <w:sz w:val="20"/>
          <w:szCs w:val="20"/>
          <w:color w:val="auto"/>
        </w:rPr>
      </w:pPr>
      <w:r>
        <w:rPr>
          <w:rFonts w:ascii="Arial" w:cs="Arial" w:eastAsia="Arial" w:hAnsi="Arial"/>
          <w:sz w:val="16"/>
          <w:szCs w:val="16"/>
          <w:color w:val="auto"/>
        </w:rPr>
        <w:t>Our lead product candidates, RLY-4008, RLY-2608 and GDC-1971, are in clinical development. In addition, we have three discovery stage programs as part of our HR+/HER2- breast cancer franchise, including a selective cyclin dependent kinase 2 inhibitor, a rationally designed estrogen receptor alpha degrader and a selective and chemically distinct pan-mutant PI3Kα inhibitor, RLY-5836. We also have five additional discovery stage programs across both precision oncology and genetic disease indications. Costs incurred for these programs include costs incurred to support our discovery research and translational science efforts up to the initiation of first-in-human clinical development. Platform research and other research and development activities include costs that are not specifically allocated to active product candidates, including facilities costs, depreciation expense and other costs. Employee related expenses include salary, wages, stock-based compensation, and other costs related to our personnel, which are not allocated to specific programs or activities.</w:t>
      </w:r>
    </w:p>
    <w:p>
      <w:pPr>
        <w:spacing w:after="0" w:line="190"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We cannot determine with certainty the duration and costs of future clinical trials and future development costs, if, when, or to what extent we will generate revenue from the commercialization and sale of any of our product candidates for which we obtain marketing approval or our other research and development costs. We may never succeed in obtaining marketing approval for any of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duration, costs, and timing of clinical trials and development of our product candidates will depend on a variety of factors, including:</w:t>
      </w:r>
    </w:p>
    <w:p>
      <w:pPr>
        <w:spacing w:after="0" w:line="235" w:lineRule="exact"/>
        <w:rPr>
          <w:sz w:val="20"/>
          <w:szCs w:val="20"/>
          <w:color w:val="auto"/>
        </w:rPr>
      </w:pPr>
    </w:p>
    <w:p>
      <w:pPr>
        <w:ind w:left="760" w:right="320" w:hanging="378"/>
        <w:spacing w:after="0" w:line="293"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scope, rate of progress, expense, and results of our preclinical development activities, any future clinical trials of RLY-4008, RLY-2608, or other product candidates and other research and development activities that we may conduct;</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uncertainties in clinical trial design and patient enrollment or drop out or discontinuation rates;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establishing an appropriate safety and efficacy profile with IND-enabling studies;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initiation and completion of future clinical trial results;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timing, receipt, and terms of any approvals from applicable regulatory authorities including the FDA and non-U.S. regulators;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significant and changing government regulation and regulatory guidance;</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potential additional studies requested by regulatory agencies;</w:t>
      </w:r>
    </w:p>
    <w:p>
      <w:pPr>
        <w:spacing w:after="0" w:line="234" w:lineRule="exact"/>
        <w:rPr>
          <w:rFonts w:ascii="Arial" w:cs="Arial" w:eastAsia="Arial" w:hAnsi="Arial"/>
          <w:sz w:val="16"/>
          <w:szCs w:val="16"/>
          <w:color w:val="auto"/>
        </w:rPr>
      </w:pPr>
    </w:p>
    <w:p>
      <w:pPr>
        <w:ind w:left="760" w:right="140" w:hanging="378"/>
        <w:spacing w:after="0" w:line="293"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establishing clinical and commercial manufacturing capabilities or making arrangements with third-party manufacturers in order to ensure that we or our third-party manufacturers are able to make product successfully;</w:t>
      </w:r>
    </w:p>
    <w:p>
      <w:pPr>
        <w:spacing w:after="0" w:line="171" w:lineRule="exact"/>
        <w:rPr>
          <w:rFonts w:ascii="Arial" w:cs="Arial" w:eastAsia="Arial" w:hAnsi="Arial"/>
          <w:sz w:val="16"/>
          <w:szCs w:val="16"/>
          <w:color w:val="auto"/>
        </w:rPr>
      </w:pPr>
    </w:p>
    <w:p>
      <w:pPr>
        <w:ind w:left="760" w:right="80" w:hanging="378"/>
        <w:spacing w:after="0" w:line="278" w:lineRule="auto"/>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impact of any business interruptions to our operations, including the timing and enrollment of patients in our planned clinical trials, or to those of our manufacturers, suppliers, or other vendors resulting from the ongoing COVID-19 pandemic or a similar public health crisis or the changing political conditions, such as the current conflict between Russia and Ukraine and related global economic sanctions;</w:t>
      </w:r>
    </w:p>
    <w:p>
      <w:pPr>
        <w:spacing w:after="0" w:line="184" w:lineRule="exact"/>
        <w:rPr>
          <w:rFonts w:ascii="Arial" w:cs="Arial" w:eastAsia="Arial" w:hAnsi="Arial"/>
          <w:sz w:val="16"/>
          <w:szCs w:val="16"/>
          <w:color w:val="auto"/>
        </w:rPr>
      </w:pPr>
    </w:p>
    <w:p>
      <w:pPr>
        <w:ind w:left="760" w:hanging="378"/>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expense of filing, prosecuting, defending, and enforcing any patent claims and other intellectual property rights;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our product candidates following approval, if any, of our product candidates.</w:t>
      </w:r>
    </w:p>
    <w:p>
      <w:pPr>
        <w:spacing w:after="0" w:line="23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continue to conduct clinical trials of RLY-4008 and RLY-2608, as well as identify and develop additional product candidates.</w:t>
      </w:r>
    </w:p>
    <w:p>
      <w:pPr>
        <w:spacing w:after="0" w:line="189"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i w:val="1"/>
          <w:iCs w:val="1"/>
          <w:color w:val="auto"/>
        </w:rPr>
        <w:t>In-Process Research and Development Expenses</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In-process research and development expenses consist of the cost of acquiring in-process research and development assets that have no alternative future use, specifically in connection with our acquisition of ZebiAI. We do not expect to record incremental expenses in connection therewith in future periods.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Loss on Initial Consolidation of Variable Interest Entity</w:t>
      </w:r>
    </w:p>
    <w:p>
      <w:pPr>
        <w:spacing w:after="0" w:line="235" w:lineRule="exact"/>
        <w:rPr>
          <w:sz w:val="20"/>
          <w:szCs w:val="20"/>
          <w:color w:val="auto"/>
        </w:rPr>
      </w:pPr>
    </w:p>
    <w:p>
      <w:pPr>
        <w:ind w:right="540"/>
        <w:spacing w:after="0" w:line="328" w:lineRule="auto"/>
        <w:rPr>
          <w:sz w:val="20"/>
          <w:szCs w:val="20"/>
          <w:color w:val="auto"/>
        </w:rPr>
      </w:pPr>
      <w:r>
        <w:rPr>
          <w:rFonts w:ascii="Arial" w:cs="Arial" w:eastAsia="Arial" w:hAnsi="Arial"/>
          <w:sz w:val="15"/>
          <w:szCs w:val="15"/>
          <w:color w:val="auto"/>
        </w:rPr>
        <w:t>Loss on initial consolidation of variable interest entity consists of the difference between total consideration transferred and the fair value of net assets acquired and liabilities assumed in connection with our acquisition of ZebiAI. We do not expect to record incremental losses in connection therewith in future periods.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Fair Value of Contingent Consideration Liability</w:t>
      </w:r>
    </w:p>
    <w:p>
      <w:pPr>
        <w:spacing w:after="0" w:line="23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Change in fair value of contingent consideration liability consists of fluctuations in the estimated fair value of Contingent Milestone Payments under the Merger Agreement with ZebiAI. In future periods, we expect the fair value of such Contingent Milestone Payments to increase or decrease based on, among other things, our estimates of the probability of achieving the contingent milestones and timing in connection therewith, as well as, to a lesser extent, changes in market interest rates and the time value of money.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235"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other expenses associated with operating as a public company, including compliance with exchange listing and Securities and Exchange Commission, or SEC, requirements, director and officer insurance costs, and investor and public relations costs; travel expenses; and facility-related expenses, which include depreciation costs and allocated expenses for rent and maintenance of facilities and other operating costs.</w:t>
      </w:r>
    </w:p>
    <w:p>
      <w:pPr>
        <w:spacing w:after="0" w:line="176"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We expect that our general and administrative expenses will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Net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primarily consists of interest income related to interest earned on our cash, cash equivalents, and investments.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3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Since our inception in 2015, we have not recorded any U.S. Federal or state income tax benefits for the net losses we have incurred in any year or for our earned research and development tax credits, due to our uncertainty of realizing a benefit from such items.</w:t>
      </w:r>
    </w:p>
    <w:p>
      <w:pPr>
        <w:spacing w:after="0" w:line="17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December 31, 2022, we had Federal NOL carryforwards of $412.0 million available to reduce taxable income, of which $43.1 million expire beginning in 2035 and $368.9 million do not expire.</w:t>
      </w:r>
    </w:p>
    <w:p>
      <w:pPr>
        <w:spacing w:after="0" w:line="17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As of December 31, 2022, we had state NOL carryforwards of $501.7 million available to reduce future state taxable income, which expire at various dates beginning in 2035.</w:t>
      </w:r>
    </w:p>
    <w:p>
      <w:pPr>
        <w:spacing w:after="0" w:line="17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December 31, 2022, we also had Federal and state research and development tax credit carryforwards of $25.9 million and $5.6 million, respectively, which begin to expire in 2035 and 2030, respectively.</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62" w:right="41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years ended December 31, 2022 and 2021</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 for the years ended December 31, 2022 and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jc w:val="right"/>
              <w:ind w:right="104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Change</w:t>
            </w:r>
          </w:p>
        </w:tc>
      </w:tr>
      <w:tr>
        <w:trPr>
          <w:trHeight w:val="157"/>
        </w:trPr>
        <w:tc>
          <w:tcPr>
            <w:tcW w:w="65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22"/>
              <w:spacing w:after="0"/>
              <w:rPr>
                <w:sz w:val="20"/>
                <w:szCs w:val="20"/>
                <w:color w:val="auto"/>
              </w:rPr>
            </w:pPr>
            <w:r>
              <w:rPr>
                <w:rFonts w:ascii="Arial" w:cs="Arial" w:eastAsia="Arial" w:hAnsi="Arial"/>
                <w:sz w:val="13"/>
                <w:szCs w:val="13"/>
                <w:b w:val="1"/>
                <w:bCs w:val="1"/>
                <w:color w:val="auto"/>
                <w:w w:val="93"/>
              </w:rPr>
              <w:t>(in thousands)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 and other revenue</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(1,648 )</w:t>
            </w:r>
          </w:p>
        </w:tc>
      </w:tr>
      <w:tr>
        <w:trPr>
          <w:trHeight w:val="220"/>
        </w:trPr>
        <w:tc>
          <w:tcPr>
            <w:tcW w:w="65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 expenses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246,355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172,650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73,705</w:t>
            </w:r>
          </w:p>
        </w:tc>
        <w:tc>
          <w:tcPr>
            <w:tcW w:w="100" w:type="dxa"/>
            <w:vAlign w:val="bottom"/>
            <w:shd w:val="clear" w:color="auto" w:fill="CFF0FC"/>
          </w:tcPr>
          <w:p>
            <w:pPr>
              <w:spacing w:after="0"/>
              <w:rPr>
                <w:sz w:val="20"/>
                <w:szCs w:val="20"/>
                <w:color w:val="auto"/>
              </w:rPr>
            </w:pPr>
          </w:p>
        </w:tc>
      </w:tr>
      <w:tr>
        <w:trPr>
          <w:trHeight w:val="220"/>
        </w:trPr>
        <w:tc>
          <w:tcPr>
            <w:tcW w:w="6580" w:type="dxa"/>
            <w:vAlign w:val="bottom"/>
          </w:tcPr>
          <w:p>
            <w:pPr>
              <w:ind w:left="200"/>
              <w:spacing w:after="0"/>
              <w:rPr>
                <w:sz w:val="20"/>
                <w:szCs w:val="20"/>
                <w:color w:val="auto"/>
              </w:rPr>
            </w:pPr>
            <w:r>
              <w:rPr>
                <w:rFonts w:ascii="Arial" w:cs="Arial" w:eastAsia="Arial" w:hAnsi="Arial"/>
                <w:sz w:val="16"/>
                <w:szCs w:val="16"/>
                <w:color w:val="auto"/>
              </w:rPr>
              <w:t>In-process research and development expenses</w:t>
            </w:r>
          </w:p>
        </w:tc>
        <w:tc>
          <w:tcPr>
            <w:tcW w:w="3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123,000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(123,000 )</w:t>
            </w:r>
          </w:p>
        </w:tc>
      </w:tr>
      <w:tr>
        <w:trPr>
          <w:trHeight w:val="239"/>
        </w:trPr>
        <w:tc>
          <w:tcPr>
            <w:tcW w:w="6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initial consolidation of variable interest entity</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11,855</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(11,855 )</w:t>
            </w:r>
          </w:p>
        </w:tc>
      </w:tr>
      <w:tr>
        <w:trPr>
          <w:trHeight w:val="220"/>
        </w:trPr>
        <w:tc>
          <w:tcPr>
            <w:tcW w:w="6580" w:type="dxa"/>
            <w:vAlign w:val="bottom"/>
          </w:tcPr>
          <w:p>
            <w:pPr>
              <w:ind w:left="200"/>
              <w:spacing w:after="0"/>
              <w:rPr>
                <w:sz w:val="20"/>
                <w:szCs w:val="20"/>
                <w:color w:val="auto"/>
              </w:rPr>
            </w:pPr>
            <w:r>
              <w:rPr>
                <w:rFonts w:ascii="Arial" w:cs="Arial" w:eastAsia="Arial" w:hAnsi="Arial"/>
                <w:sz w:val="16"/>
                <w:szCs w:val="16"/>
                <w:color w:val="auto"/>
              </w:rPr>
              <w:t>Change in fair value of contingent consideration liability</w:t>
            </w:r>
          </w:p>
        </w:tc>
        <w:tc>
          <w:tcPr>
            <w:tcW w:w="3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(11,677 )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2,836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(14,513 )</w:t>
            </w:r>
          </w:p>
        </w:tc>
      </w:tr>
      <w:tr>
        <w:trPr>
          <w:trHeight w:val="233"/>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65,978</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57,386</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65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300,656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367,727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(67,071 )</w:t>
            </w:r>
          </w:p>
        </w:tc>
      </w:tr>
      <w:tr>
        <w:trPr>
          <w:trHeight w:val="23"/>
        </w:trPr>
        <w:tc>
          <w:tcPr>
            <w:tcW w:w="6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(299,275 )</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(364,698 )</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65,423</w:t>
            </w:r>
          </w:p>
        </w:tc>
        <w:tc>
          <w:tcPr>
            <w:tcW w:w="100" w:type="dxa"/>
            <w:vAlign w:val="bottom"/>
            <w:shd w:val="clear" w:color="auto" w:fill="CFF0FC"/>
          </w:tcPr>
          <w:p>
            <w:pPr>
              <w:spacing w:after="0"/>
              <w:rPr>
                <w:sz w:val="19"/>
                <w:szCs w:val="19"/>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8,766</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7,940</w:t>
            </w:r>
          </w:p>
        </w:tc>
        <w:tc>
          <w:tcPr>
            <w:tcW w:w="100" w:type="dxa"/>
            <w:vAlign w:val="bottom"/>
          </w:tcPr>
          <w:p>
            <w:pPr>
              <w:spacing w:after="0"/>
              <w:rPr>
                <w:sz w:val="19"/>
                <w:szCs w:val="19"/>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(290,509 )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(363,872 )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73,363</w:t>
            </w:r>
          </w:p>
        </w:tc>
        <w:tc>
          <w:tcPr>
            <w:tcW w:w="100" w:type="dxa"/>
            <w:vAlign w:val="bottom"/>
            <w:shd w:val="clear" w:color="auto" w:fill="CFF0FC"/>
          </w:tcPr>
          <w:p>
            <w:pPr>
              <w:spacing w:after="0"/>
              <w:rPr>
                <w:sz w:val="21"/>
                <w:szCs w:val="21"/>
                <w:color w:val="auto"/>
              </w:rPr>
            </w:pPr>
          </w:p>
        </w:tc>
      </w:tr>
      <w:tr>
        <w:trPr>
          <w:trHeight w:val="20"/>
        </w:trPr>
        <w:tc>
          <w:tcPr>
            <w:tcW w:w="65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-633730</wp:posOffset>
            </wp:positionV>
            <wp:extent cx="7747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-633730</wp:posOffset>
            </wp:positionV>
            <wp:extent cx="6858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and Other Revenue</w:t>
      </w:r>
    </w:p>
    <w:p>
      <w:pPr>
        <w:spacing w:after="0" w:line="235" w:lineRule="exact"/>
        <w:rPr>
          <w:sz w:val="20"/>
          <w:szCs w:val="20"/>
          <w:color w:val="auto"/>
        </w:rPr>
      </w:pPr>
    </w:p>
    <w:p>
      <w:pPr>
        <w:ind w:right="260"/>
        <w:spacing w:after="0" w:line="324" w:lineRule="auto"/>
        <w:rPr>
          <w:sz w:val="20"/>
          <w:szCs w:val="20"/>
          <w:color w:val="auto"/>
        </w:rPr>
      </w:pPr>
      <w:r>
        <w:rPr>
          <w:rFonts w:ascii="Arial" w:cs="Arial" w:eastAsia="Arial" w:hAnsi="Arial"/>
          <w:sz w:val="14"/>
          <w:szCs w:val="14"/>
          <w:color w:val="auto"/>
        </w:rPr>
        <w:t>We recognized license and other revenue of approximately $1.4 million and $3.0 million for the years ended December 31, 2022 and 2021, respectively. The decrease of $1.6 million was primarily related to (a) the decrease in research and development services provided under the Genentech Agreement, as we completed enrollment of the Phase 1a clinical trial of GDC-1971 (formerly known as RLY-1971) in 2022 and are nearing completion of trial-related activities, and (b) revenue recognized upon the transfer of active pharmaceutical ingredient during the year ended December 31, 2021, for which no revenue was recognized during the year ended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our research and development expenses for the years ended December 31, 2022 and 2021: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4"/>
                <w:szCs w:val="14"/>
                <w:color w:val="auto"/>
              </w:rPr>
            </w:pPr>
          </w:p>
        </w:tc>
      </w:tr>
      <w:tr>
        <w:trPr>
          <w:trHeight w:val="157"/>
        </w:trPr>
        <w:tc>
          <w:tcPr>
            <w:tcW w:w="64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w w:val="82"/>
              </w:rPr>
              <w:t>2021</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382"/>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costs for programs in clinical trials</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51,094</w:t>
            </w:r>
          </w:p>
        </w:tc>
        <w:tc>
          <w:tcPr>
            <w:tcW w:w="840" w:type="dxa"/>
            <w:vAlign w:val="bottom"/>
            <w:gridSpan w:val="2"/>
            <w:shd w:val="clear" w:color="auto" w:fill="CFF0FC"/>
          </w:tcPr>
          <w:p>
            <w:pPr>
              <w:jc w:val="right"/>
              <w:ind w:right="448"/>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18,367</w:t>
            </w:r>
          </w:p>
        </w:tc>
        <w:tc>
          <w:tcPr>
            <w:tcW w:w="4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32,727</w:t>
            </w:r>
          </w:p>
        </w:tc>
        <w:tc>
          <w:tcPr>
            <w:tcW w:w="100" w:type="dxa"/>
            <w:vAlign w:val="bottom"/>
            <w:shd w:val="clear" w:color="auto" w:fill="CFF0FC"/>
          </w:tcPr>
          <w:p>
            <w:pPr>
              <w:spacing w:after="0"/>
              <w:rPr>
                <w:sz w:val="19"/>
                <w:szCs w:val="19"/>
                <w:color w:val="auto"/>
              </w:rPr>
            </w:pPr>
          </w:p>
        </w:tc>
      </w:tr>
      <w:tr>
        <w:trPr>
          <w:trHeight w:val="220"/>
        </w:trPr>
        <w:tc>
          <w:tcPr>
            <w:tcW w:w="6440" w:type="dxa"/>
            <w:vAlign w:val="bottom"/>
          </w:tcPr>
          <w:p>
            <w:pPr>
              <w:ind w:left="20"/>
              <w:spacing w:after="0"/>
              <w:rPr>
                <w:sz w:val="20"/>
                <w:szCs w:val="20"/>
                <w:color w:val="auto"/>
              </w:rPr>
            </w:pPr>
            <w:r>
              <w:rPr>
                <w:rFonts w:ascii="Arial" w:cs="Arial" w:eastAsia="Arial" w:hAnsi="Arial"/>
                <w:sz w:val="16"/>
                <w:szCs w:val="16"/>
                <w:color w:val="auto"/>
              </w:rPr>
              <w:t>External costs for platform technologies and preclinical programs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80,612</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69,828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10,784</w:t>
            </w:r>
          </w:p>
        </w:tc>
        <w:tc>
          <w:tcPr>
            <w:tcW w:w="100" w:type="dxa"/>
            <w:vAlign w:val="bottom"/>
          </w:tcPr>
          <w:p>
            <w:pPr>
              <w:spacing w:after="0"/>
              <w:rPr>
                <w:sz w:val="19"/>
                <w:szCs w:val="19"/>
                <w:color w:val="auto"/>
              </w:rPr>
            </w:pPr>
          </w:p>
        </w:tc>
      </w:tr>
      <w:tr>
        <w:trPr>
          <w:trHeight w:val="239"/>
        </w:trPr>
        <w:tc>
          <w:tcPr>
            <w:tcW w:w="6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related expenses</w:t>
            </w:r>
          </w:p>
        </w:tc>
        <w:tc>
          <w:tcPr>
            <w:tcW w:w="3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93,118</w:t>
            </w: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68,438</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24,680</w:t>
            </w:r>
          </w:p>
        </w:tc>
        <w:tc>
          <w:tcPr>
            <w:tcW w:w="100" w:type="dxa"/>
            <w:vAlign w:val="bottom"/>
            <w:shd w:val="clear" w:color="auto" w:fill="CFF0FC"/>
          </w:tcPr>
          <w:p>
            <w:pPr>
              <w:spacing w:after="0"/>
              <w:rPr>
                <w:sz w:val="20"/>
                <w:szCs w:val="20"/>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21,531</w:t>
            </w:r>
          </w:p>
        </w:tc>
        <w:tc>
          <w:tcPr>
            <w:tcW w:w="2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16,017</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5,514</w:t>
            </w:r>
          </w:p>
        </w:tc>
        <w:tc>
          <w:tcPr>
            <w:tcW w:w="100" w:type="dxa"/>
            <w:vAlign w:val="bottom"/>
          </w:tcPr>
          <w:p>
            <w:pPr>
              <w:spacing w:after="0"/>
              <w:rPr>
                <w:sz w:val="19"/>
                <w:szCs w:val="19"/>
                <w:color w:val="auto"/>
              </w:rPr>
            </w:pPr>
          </w:p>
        </w:tc>
      </w:tr>
      <w:tr>
        <w:trPr>
          <w:trHeight w:val="263"/>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246,355</w:t>
            </w:r>
          </w:p>
        </w:tc>
        <w:tc>
          <w:tcPr>
            <w:tcW w:w="22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448"/>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172,650</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73,705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Research and development expenses were $246.4 million for the year ended December 31, 2022 compared to $172.7 million for the year ended December 31, 2021. The increase of $73.7 million was due to $32.7 million of additional external costs in connection with the ongoing enrollment of our clinical trials for RLY-4008 and RLY-2608, $24.7 million of additional employee related costs from increased headcount, including an increase in stock-based compensation expense of $5.7 million, $10.8 million of additional external costs for platform technologies and preclinical programs, and $5.5 million of other expenses, primarily for facility expenses associated with additional lab space during the year ended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In-Process Research and Development Expenses</w:t>
      </w:r>
    </w:p>
    <w:p>
      <w:pPr>
        <w:spacing w:after="0" w:line="235" w:lineRule="exact"/>
        <w:rPr>
          <w:sz w:val="20"/>
          <w:szCs w:val="20"/>
          <w:color w:val="auto"/>
        </w:rPr>
      </w:pPr>
    </w:p>
    <w:p>
      <w:pPr>
        <w:jc w:val="both"/>
        <w:ind w:right="340"/>
        <w:spacing w:after="0" w:line="369" w:lineRule="auto"/>
        <w:rPr>
          <w:sz w:val="20"/>
          <w:szCs w:val="20"/>
          <w:color w:val="auto"/>
        </w:rPr>
      </w:pPr>
      <w:r>
        <w:rPr>
          <w:rFonts w:ascii="Arial" w:cs="Arial" w:eastAsia="Arial" w:hAnsi="Arial"/>
          <w:sz w:val="14"/>
          <w:szCs w:val="14"/>
          <w:color w:val="auto"/>
        </w:rPr>
        <w:t>In-process research and development expenses of $123.0 million were recognized for the year ended December 31, 2021 in connection with the in-process research and development asset pursuant to the asset acquisition of ZebiAI in the second quarter of 2021. No such expenses were incurred during the year ended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on Initial Consolidation of Variable Interest Entity</w:t>
      </w:r>
    </w:p>
    <w:p>
      <w:pPr>
        <w:spacing w:after="0" w:line="23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Loss on initial consolidation of variable interest entity of $11.9 million was recognized for the year ended December 31, 2021 in connection with the acquisition of ZebiAI in the second quarter of 2021. No such expenses were incurred during the year ended December 31, 2022.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i w:val="1"/>
          <w:iCs w:val="1"/>
          <w:color w:val="auto"/>
        </w:rPr>
        <w:t>Change in Fair Value of Contingent Consideration Liability</w:t>
      </w:r>
    </w:p>
    <w:p>
      <w:pPr>
        <w:spacing w:after="0" w:line="235" w:lineRule="exact"/>
        <w:rPr>
          <w:sz w:val="20"/>
          <w:szCs w:val="20"/>
          <w:color w:val="auto"/>
        </w:rPr>
      </w:pPr>
    </w:p>
    <w:p>
      <w:pPr>
        <w:ind w:right="360"/>
        <w:spacing w:after="0" w:line="305" w:lineRule="auto"/>
        <w:rPr>
          <w:sz w:val="20"/>
          <w:szCs w:val="20"/>
          <w:color w:val="auto"/>
        </w:rPr>
      </w:pPr>
      <w:r>
        <w:rPr>
          <w:rFonts w:ascii="Arial" w:cs="Arial" w:eastAsia="Arial" w:hAnsi="Arial"/>
          <w:sz w:val="15"/>
          <w:szCs w:val="15"/>
          <w:color w:val="auto"/>
        </w:rPr>
        <w:t>The change in fair value of our contingent consideration liability for Contingent Milestone Payments under the Merger Agreement with ZebiAI was a decrease of $11.7 million for the year ended December 31, 2022 compared to an increase of $2.8 million for the year ended December 31, 2021. The fluctuation of $14.5 million was primarily attributable to changes in the assumptions underlying the fair value measurement between periods, which we expect to continue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General and administrative expenses were $66.0 million for the year ended December 31, 2022 compared to $57.4 million for the year ended December 31, 2021. The increase of $8.6 million was primarily due to $9.2 million of additional employee related costs from increased headcount, including an increase in stock-based compensation expense of $1.9 million, offset by individually insignificant fluctuations in other general and administrative expenses.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Net</w:t>
      </w:r>
    </w:p>
    <w:p>
      <w:pPr>
        <w:spacing w:after="0" w:line="23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Other income, net, was $8.8 million for the year ended December 31, 2022 compared to $0.8 million for the year ended December 31, 2021. The increase of approximately $8.0 million was primarily a result of changes in interest rates.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years ended December 31, 2021 and 2020</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 for the years ended December 31,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00" w:type="dxa"/>
            <w:vAlign w:val="bottom"/>
            <w:gridSpan w:val="5"/>
          </w:tcPr>
          <w:p>
            <w:pPr>
              <w:jc w:val="right"/>
              <w:ind w:right="1040"/>
              <w:spacing w:after="0"/>
              <w:rPr>
                <w:sz w:val="20"/>
                <w:szCs w:val="20"/>
                <w:color w:val="auto"/>
              </w:rPr>
            </w:pPr>
            <w:r>
              <w:rPr>
                <w:rFonts w:ascii="Arial" w:cs="Arial" w:eastAsia="Arial" w:hAnsi="Arial"/>
                <w:sz w:val="13"/>
                <w:szCs w:val="13"/>
                <w:b w:val="1"/>
                <w:bCs w:val="1"/>
                <w:color w:val="auto"/>
              </w:rPr>
              <w:t>Year Ended December 31,</w:t>
            </w:r>
          </w:p>
        </w:tc>
        <w:tc>
          <w:tcPr>
            <w:tcW w:w="28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Change</w:t>
            </w:r>
          </w:p>
        </w:tc>
      </w:tr>
      <w:tr>
        <w:trPr>
          <w:trHeight w:val="157"/>
        </w:trPr>
        <w:tc>
          <w:tcPr>
            <w:tcW w:w="658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22"/>
              <w:spacing w:after="0"/>
              <w:rPr>
                <w:sz w:val="20"/>
                <w:szCs w:val="20"/>
                <w:color w:val="auto"/>
              </w:rPr>
            </w:pPr>
            <w:r>
              <w:rPr>
                <w:rFonts w:ascii="Arial" w:cs="Arial" w:eastAsia="Arial" w:hAnsi="Arial"/>
                <w:sz w:val="13"/>
                <w:szCs w:val="13"/>
                <w:b w:val="1"/>
                <w:bCs w:val="1"/>
                <w:color w:val="auto"/>
                <w:w w:val="93"/>
              </w:rPr>
              <w:t>(in thousands)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 and other revenue</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82,654</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(79,625 )</w:t>
            </w:r>
          </w:p>
        </w:tc>
      </w:tr>
      <w:tr>
        <w:trPr>
          <w:trHeight w:val="220"/>
        </w:trPr>
        <w:tc>
          <w:tcPr>
            <w:tcW w:w="658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 expenses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172,650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99,862</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72,788</w:t>
            </w:r>
          </w:p>
        </w:tc>
        <w:tc>
          <w:tcPr>
            <w:tcW w:w="100" w:type="dxa"/>
            <w:vAlign w:val="bottom"/>
            <w:shd w:val="clear" w:color="auto" w:fill="CFF0FC"/>
          </w:tcPr>
          <w:p>
            <w:pPr>
              <w:spacing w:after="0"/>
              <w:rPr>
                <w:sz w:val="20"/>
                <w:szCs w:val="20"/>
                <w:color w:val="auto"/>
              </w:rPr>
            </w:pPr>
          </w:p>
        </w:tc>
      </w:tr>
      <w:tr>
        <w:trPr>
          <w:trHeight w:val="220"/>
        </w:trPr>
        <w:tc>
          <w:tcPr>
            <w:tcW w:w="6580" w:type="dxa"/>
            <w:vAlign w:val="bottom"/>
          </w:tcPr>
          <w:p>
            <w:pPr>
              <w:ind w:left="200"/>
              <w:spacing w:after="0"/>
              <w:rPr>
                <w:sz w:val="20"/>
                <w:szCs w:val="20"/>
                <w:color w:val="auto"/>
              </w:rPr>
            </w:pPr>
            <w:r>
              <w:rPr>
                <w:rFonts w:ascii="Arial" w:cs="Arial" w:eastAsia="Arial" w:hAnsi="Arial"/>
                <w:sz w:val="16"/>
                <w:szCs w:val="16"/>
                <w:color w:val="auto"/>
              </w:rPr>
              <w:t>In-process research and development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123,000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123,000</w:t>
            </w:r>
          </w:p>
        </w:tc>
        <w:tc>
          <w:tcPr>
            <w:tcW w:w="100" w:type="dxa"/>
            <w:vAlign w:val="bottom"/>
          </w:tcPr>
          <w:p>
            <w:pPr>
              <w:spacing w:after="0"/>
              <w:rPr>
                <w:sz w:val="19"/>
                <w:szCs w:val="19"/>
                <w:color w:val="auto"/>
              </w:rPr>
            </w:pPr>
          </w:p>
        </w:tc>
      </w:tr>
      <w:tr>
        <w:trPr>
          <w:trHeight w:val="239"/>
        </w:trPr>
        <w:tc>
          <w:tcPr>
            <w:tcW w:w="6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initial consolidation of variable interest entity</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11,855</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11,855</w:t>
            </w:r>
          </w:p>
        </w:tc>
        <w:tc>
          <w:tcPr>
            <w:tcW w:w="100" w:type="dxa"/>
            <w:vAlign w:val="bottom"/>
            <w:shd w:val="clear" w:color="auto" w:fill="CFF0FC"/>
          </w:tcPr>
          <w:p>
            <w:pPr>
              <w:spacing w:after="0"/>
              <w:rPr>
                <w:sz w:val="20"/>
                <w:szCs w:val="20"/>
                <w:color w:val="auto"/>
              </w:rPr>
            </w:pPr>
          </w:p>
        </w:tc>
      </w:tr>
      <w:tr>
        <w:trPr>
          <w:trHeight w:val="220"/>
        </w:trPr>
        <w:tc>
          <w:tcPr>
            <w:tcW w:w="6580" w:type="dxa"/>
            <w:vAlign w:val="bottom"/>
          </w:tcPr>
          <w:p>
            <w:pPr>
              <w:ind w:left="200"/>
              <w:spacing w:after="0"/>
              <w:rPr>
                <w:sz w:val="20"/>
                <w:szCs w:val="20"/>
                <w:color w:val="auto"/>
              </w:rPr>
            </w:pPr>
            <w:r>
              <w:rPr>
                <w:rFonts w:ascii="Arial" w:cs="Arial" w:eastAsia="Arial" w:hAnsi="Arial"/>
                <w:sz w:val="16"/>
                <w:szCs w:val="16"/>
                <w:color w:val="auto"/>
              </w:rPr>
              <w:t>Change in fair value of contingent consideration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2,836</w:t>
            </w:r>
          </w:p>
        </w:tc>
        <w:tc>
          <w:tcPr>
            <w:tcW w:w="100" w:type="dxa"/>
            <w:vAlign w:val="bottom"/>
          </w:tcPr>
          <w:p>
            <w:pPr>
              <w:spacing w:after="0"/>
              <w:rPr>
                <w:sz w:val="19"/>
                <w:szCs w:val="19"/>
                <w:color w:val="auto"/>
              </w:rPr>
            </w:pPr>
          </w:p>
        </w:tc>
      </w:tr>
      <w:tr>
        <w:trPr>
          <w:trHeight w:val="233"/>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57,386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38,588</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5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367,727</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138,450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229,277</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(364,698 )</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(55,796 )</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(308,902 )</w:t>
            </w:r>
          </w:p>
        </w:tc>
      </w:tr>
      <w:tr>
        <w:trPr>
          <w:trHeight w:val="220"/>
        </w:trPr>
        <w:tc>
          <w:tcPr>
            <w:tcW w:w="658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3,384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(2,558 )</w:t>
            </w:r>
          </w:p>
        </w:tc>
      </w:tr>
      <w:tr>
        <w:trPr>
          <w:trHeight w:val="23"/>
        </w:trPr>
        <w:tc>
          <w:tcPr>
            <w:tcW w:w="6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(363,872 )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(52,412 )</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(311,460 )</w:t>
            </w:r>
          </w:p>
        </w:tc>
      </w:tr>
      <w:tr>
        <w:trPr>
          <w:trHeight w:val="20"/>
        </w:trPr>
        <w:tc>
          <w:tcPr>
            <w:tcW w:w="65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-633730</wp:posOffset>
            </wp:positionV>
            <wp:extent cx="7747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-633730</wp:posOffset>
            </wp:positionV>
            <wp:extent cx="6858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 and Other Revenue</w:t>
      </w:r>
    </w:p>
    <w:p>
      <w:pPr>
        <w:spacing w:after="0" w:line="235" w:lineRule="exact"/>
        <w:rPr>
          <w:sz w:val="20"/>
          <w:szCs w:val="20"/>
          <w:color w:val="auto"/>
        </w:rPr>
      </w:pPr>
    </w:p>
    <w:p>
      <w:pPr>
        <w:ind w:right="60"/>
        <w:spacing w:after="0" w:line="324" w:lineRule="auto"/>
        <w:rPr>
          <w:sz w:val="20"/>
          <w:szCs w:val="20"/>
          <w:color w:val="auto"/>
        </w:rPr>
      </w:pPr>
      <w:r>
        <w:rPr>
          <w:rFonts w:ascii="Arial" w:cs="Arial" w:eastAsia="Arial" w:hAnsi="Arial"/>
          <w:sz w:val="14"/>
          <w:szCs w:val="14"/>
          <w:color w:val="auto"/>
        </w:rPr>
        <w:t>We recognized license and other revenue of $3.0 million and $82.7 million for the years ended December 31, 2021 and 2020, respectively. During the year ended December 31, 2020, license and other revenue was recognized for substantially all of the $85.0 million upfront payment under the Genentech Agreement upon transfer of the license. During the year ended December 31, 2021, $3.0 million of license and other revenue was recognized, primarily upon satisfaction of the ongoing performance obligation to provide research and development services to Genentech under the Genentech Agreement, as well as upon the transfer of active pharmaceutical ingredient to Genentech.</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our research and development expenses for the years ended December 31,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3"/>
                <w:szCs w:val="13"/>
                <w:b w:val="1"/>
                <w:bCs w:val="1"/>
                <w:color w:val="auto"/>
              </w:rPr>
              <w:t>Year Ended December 31,</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4"/>
                <w:szCs w:val="14"/>
                <w:color w:val="auto"/>
              </w:rPr>
            </w:pPr>
          </w:p>
        </w:tc>
      </w:tr>
      <w:tr>
        <w:trPr>
          <w:trHeight w:val="157"/>
        </w:trPr>
        <w:tc>
          <w:tcPr>
            <w:tcW w:w="66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24"/>
              <w:spacing w:after="0"/>
              <w:rPr>
                <w:sz w:val="20"/>
                <w:szCs w:val="20"/>
                <w:color w:val="auto"/>
              </w:rPr>
            </w:pPr>
            <w:r>
              <w:rPr>
                <w:rFonts w:ascii="Arial" w:cs="Arial" w:eastAsia="Arial" w:hAnsi="Arial"/>
                <w:sz w:val="13"/>
                <w:szCs w:val="13"/>
                <w:b w:val="1"/>
                <w:bCs w:val="1"/>
                <w:color w:val="auto"/>
                <w:w w:val="93"/>
              </w:rPr>
              <w:t>(in thousands)</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costs for programs in clinical trials</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18,367</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7,447</w:t>
            </w:r>
          </w:p>
        </w:tc>
        <w:tc>
          <w:tcPr>
            <w:tcW w:w="5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10,920</w:t>
            </w:r>
          </w:p>
        </w:tc>
        <w:tc>
          <w:tcPr>
            <w:tcW w:w="100" w:type="dxa"/>
            <w:vAlign w:val="bottom"/>
            <w:shd w:val="clear" w:color="auto" w:fill="CFF0FC"/>
          </w:tcPr>
          <w:p>
            <w:pPr>
              <w:spacing w:after="0"/>
              <w:rPr>
                <w:sz w:val="19"/>
                <w:szCs w:val="19"/>
                <w:color w:val="auto"/>
              </w:rPr>
            </w:pPr>
          </w:p>
        </w:tc>
      </w:tr>
      <w:tr>
        <w:trPr>
          <w:trHeight w:val="220"/>
        </w:trPr>
        <w:tc>
          <w:tcPr>
            <w:tcW w:w="6600" w:type="dxa"/>
            <w:vAlign w:val="bottom"/>
          </w:tcPr>
          <w:p>
            <w:pPr>
              <w:ind w:left="20"/>
              <w:spacing w:after="0"/>
              <w:rPr>
                <w:sz w:val="20"/>
                <w:szCs w:val="20"/>
                <w:color w:val="auto"/>
              </w:rPr>
            </w:pPr>
            <w:r>
              <w:rPr>
                <w:rFonts w:ascii="Arial" w:cs="Arial" w:eastAsia="Arial" w:hAnsi="Arial"/>
                <w:sz w:val="16"/>
                <w:szCs w:val="16"/>
                <w:color w:val="auto"/>
              </w:rPr>
              <w:t>External costs for platform technologies and preclinical programs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69,828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42,431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27,397</w:t>
            </w:r>
          </w:p>
        </w:tc>
        <w:tc>
          <w:tcPr>
            <w:tcW w:w="100" w:type="dxa"/>
            <w:vAlign w:val="bottom"/>
          </w:tcPr>
          <w:p>
            <w:pPr>
              <w:spacing w:after="0"/>
              <w:rPr>
                <w:sz w:val="19"/>
                <w:szCs w:val="19"/>
                <w:color w:val="auto"/>
              </w:rPr>
            </w:pPr>
          </w:p>
        </w:tc>
      </w:tr>
      <w:tr>
        <w:trPr>
          <w:trHeight w:val="23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related expenses</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68,438</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38,440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29,998</w:t>
            </w:r>
          </w:p>
        </w:tc>
        <w:tc>
          <w:tcPr>
            <w:tcW w:w="100" w:type="dxa"/>
            <w:vAlign w:val="bottom"/>
            <w:shd w:val="clear" w:color="auto" w:fill="CFF0FC"/>
          </w:tcPr>
          <w:p>
            <w:pPr>
              <w:spacing w:after="0"/>
              <w:rPr>
                <w:sz w:val="20"/>
                <w:szCs w:val="20"/>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16,017</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11,544</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4,473</w:t>
            </w:r>
          </w:p>
        </w:tc>
        <w:tc>
          <w:tcPr>
            <w:tcW w:w="100" w:type="dxa"/>
            <w:vAlign w:val="bottom"/>
          </w:tcPr>
          <w:p>
            <w:pPr>
              <w:spacing w:after="0"/>
              <w:rPr>
                <w:sz w:val="19"/>
                <w:szCs w:val="19"/>
                <w:color w:val="auto"/>
              </w:rPr>
            </w:pPr>
          </w:p>
        </w:tc>
      </w:tr>
      <w:tr>
        <w:trPr>
          <w:trHeight w:val="26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172,650</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99,862</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72,788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-25400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08" w:name="page109"/>
    <w:bookmarkEnd w:id="108"/>
    <w:p>
      <w:pPr>
        <w:ind w:right="20"/>
        <w:spacing w:after="0" w:line="293" w:lineRule="auto"/>
        <w:rPr>
          <w:sz w:val="20"/>
          <w:szCs w:val="20"/>
          <w:color w:val="auto"/>
        </w:rPr>
      </w:pPr>
      <w:r>
        <w:rPr>
          <w:rFonts w:ascii="Arial" w:cs="Arial" w:eastAsia="Arial" w:hAnsi="Arial"/>
          <w:sz w:val="15"/>
          <w:szCs w:val="15"/>
          <w:color w:val="auto"/>
        </w:rPr>
        <w:t>Research and development expenses were $172.7 million for the year ended December 31, 2021 compared to $99.9 million for the year ended December 31, 2020. The increase of $72.8 million was due to $30.0 million of additional employee related costs from increased headcount, including an increase in stock-based compensation expense of $10.2 million, $27.4 million of additional external costs for platform technologies and preclinical programs, $10.9 million of additional external costs in connection with the ongoing enrollment of our clinical trial for RLY-4008 and the initiation of our clinical trial for RLY-2608 during the year ended December 31, 2021, and $4.5 million of additional costs for such items as lab supplies, facilities, depreciation, and other miscellaneous expenses.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In-Process Research and Development Expenses</w:t>
      </w:r>
    </w:p>
    <w:p>
      <w:pPr>
        <w:spacing w:after="0" w:line="235" w:lineRule="exact"/>
        <w:rPr>
          <w:sz w:val="20"/>
          <w:szCs w:val="20"/>
          <w:color w:val="auto"/>
        </w:rPr>
      </w:pPr>
    </w:p>
    <w:p>
      <w:pPr>
        <w:jc w:val="both"/>
        <w:ind w:right="320"/>
        <w:spacing w:after="0" w:line="369" w:lineRule="auto"/>
        <w:rPr>
          <w:sz w:val="20"/>
          <w:szCs w:val="20"/>
          <w:color w:val="auto"/>
        </w:rPr>
      </w:pPr>
      <w:r>
        <w:rPr>
          <w:rFonts w:ascii="Arial" w:cs="Arial" w:eastAsia="Arial" w:hAnsi="Arial"/>
          <w:sz w:val="14"/>
          <w:szCs w:val="14"/>
          <w:color w:val="auto"/>
        </w:rPr>
        <w:t>In-process research and development expenses of $123.0 million were recognized for the year ended December 31, 2021 in connection with the in-process research and development asset pursuant to the asset acquisition of ZebiAI in the second quarter of 2021. No such expenses were incurred during the year ended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on Initial Consolidation of Variable Interest Entity</w:t>
      </w:r>
    </w:p>
    <w:p>
      <w:pPr>
        <w:spacing w:after="0" w:line="23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Loss on initial consolidation of variable interest entity of $11.9 million was recognized for the year ended December 31, 2021 in connection with the acquisition of ZebiAI in the second quarter of 2021. No such expenses were incurred during the year ended December 31, 2020.</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Fair Value of Contingent Consideration Liability</w:t>
      </w:r>
    </w:p>
    <w:p>
      <w:pPr>
        <w:spacing w:after="0" w:line="23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change in fair value of our contingent consideration liability for Contingent Milestone Payments under the Merger Agreement with ZebiAI was an increase of $2.8 million for the year ended December 31, 2021, primarily attributable to time value of money. There were no similar amounts in the year ended December 31, 2020, since the contingent consideration liability was only originally recorded upon closing of the transaction in April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140"/>
        <w:spacing w:after="0" w:line="335" w:lineRule="auto"/>
        <w:rPr>
          <w:sz w:val="20"/>
          <w:szCs w:val="20"/>
          <w:color w:val="auto"/>
        </w:rPr>
      </w:pPr>
      <w:r>
        <w:rPr>
          <w:rFonts w:ascii="Arial" w:cs="Arial" w:eastAsia="Arial" w:hAnsi="Arial"/>
          <w:sz w:val="14"/>
          <w:szCs w:val="14"/>
          <w:color w:val="auto"/>
        </w:rPr>
        <w:t>General and administrative expenses were $57.4 million for the year ended December 31, 2021 compared to $38.6 million for the year ended December 31, 2020. The increase of $18.8 million was primarily due to $12.8 million of additional employee related costs from increased headcount, including an increase of $6.3 million in stock-based compensation expense, and $6.0 million of other general and administrative expenses in connection with insurance, advisory, consulting, and other expenses.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23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Other income, net, was $0.8 million for the year ended December 31, 2021 compared to $3.4 million for the year ended December 31, 2020. The decrease of $2.6 million was primarily a result of changes in interest rates.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Since our inception, we have not generated any revenue from product sales and have incurred significant operating losses. We have not yet commercialized any products and we do not expect to generate revenue from sales of any product candidates for several years, if ever. To date, we have principally financed our operations through private placements of preferred stock, convertible debt and proceeds from public offerings of our common stock. In July 2020, we closed our initial public offering and issued 23,000,000 shares of common stock for proceeds of $425.3 million, which was net of $34.7 million in underwriting discounts and commissions, as well as other offering expenses. Prior to our initial public offering, we received gross proceeds of $520.0 million from sales of preferred stock and issuance of convertible debt. We received an upfront payment of $75.0 million from Genentech pursuant to the Genentech Agreement in January 2021, as well as $30.0 million in milestone payments through December 31, 2022. As of December 31, 2022, we had cash, cash equivalents, and investments of $998.9 million.</w:t>
      </w:r>
    </w:p>
    <w:p>
      <w:pPr>
        <w:spacing w:after="0" w:line="180" w:lineRule="exact"/>
        <w:rPr>
          <w:sz w:val="20"/>
          <w:szCs w:val="20"/>
          <w:color w:val="auto"/>
        </w:rPr>
      </w:pPr>
    </w:p>
    <w:p>
      <w:pPr>
        <w:ind w:right="340"/>
        <w:spacing w:after="0" w:line="328" w:lineRule="auto"/>
        <w:rPr>
          <w:sz w:val="20"/>
          <w:szCs w:val="20"/>
          <w:color w:val="auto"/>
        </w:rPr>
      </w:pPr>
      <w:r>
        <w:rPr>
          <w:rFonts w:ascii="Arial" w:cs="Arial" w:eastAsia="Arial" w:hAnsi="Arial"/>
          <w:sz w:val="15"/>
          <w:szCs w:val="15"/>
          <w:color w:val="auto"/>
        </w:rPr>
        <w:t>In August 2021, we filed a universal shelf registration statement on Form S-3ASR with the SEC, or the 2021 Shelf, to register for sale an amount of our common stock, preferred stock, debt securities, warrants and/or units in one or more offerings, which became effective upon filing with the SEC (File No. 333-258768).</w:t>
      </w:r>
    </w:p>
    <w:p>
      <w:pPr>
        <w:spacing w:after="0" w:line="150"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In August 2021, we entered into a sales agreement, or Sales Agreement, with Cowen and Company, LLC, or Cowen, pursuant to which we may offer and sell shares of our common stock having aggregate gross proceeds of up to $300.0 million from time to time in “at-the-market” offerings through Cowen, as our sales agent. We agreed to pay Cowen a commission of up to 3.0% of the gross proceeds of any shares sold by Cowen under the Sales Agreement. There have been no shares of our common stock sold under the Sales Agreement as of December 31, 2022.</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09" w:name="page110"/>
    <w:bookmarkEnd w:id="109"/>
    <w:p>
      <w:pPr>
        <w:jc w:val="both"/>
        <w:ind w:right="100"/>
        <w:spacing w:after="0" w:line="278" w:lineRule="auto"/>
        <w:rPr>
          <w:sz w:val="20"/>
          <w:szCs w:val="20"/>
          <w:color w:val="auto"/>
        </w:rPr>
      </w:pPr>
      <w:r>
        <w:rPr>
          <w:rFonts w:ascii="Arial" w:cs="Arial" w:eastAsia="Arial" w:hAnsi="Arial"/>
          <w:sz w:val="16"/>
          <w:szCs w:val="16"/>
          <w:color w:val="auto"/>
        </w:rPr>
        <w:t>In October 2021, we completed the October 2021 Offering of 15,188,679 shares of common stock, including the exercise in full of the underwriters’ option to purchase an additional 1,981,132 shares, at an offering price of $26.50 per share. We received proceeds of $382.2 million, which was net of $20.3 million in underwriting discounts and commissions, as well as other offering expenses.</w:t>
      </w:r>
    </w:p>
    <w:p>
      <w:pPr>
        <w:spacing w:after="0" w:line="184"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In September 2022, we completed the September 2022 Offering of 11,320,755 shares of common stock at an offering price of $26.50 per share. We received proceeds of $284.7 million, which was net of $15.3 million in underwriting discounts and commissions, as well as other offering expenses.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sources and uses of cash for each of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3"/>
                <w:szCs w:val="13"/>
                <w:b w:val="1"/>
                <w:bCs w:val="1"/>
                <w:color w:val="auto"/>
                <w:w w:val="88"/>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20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2021</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56"/>
        </w:trPr>
        <w:tc>
          <w:tcPr>
            <w:tcW w:w="6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425"/>
              <w:spacing w:after="0"/>
              <w:rPr>
                <w:sz w:val="20"/>
                <w:szCs w:val="20"/>
                <w:color w:val="auto"/>
              </w:rPr>
            </w:pPr>
            <w:r>
              <w:rPr>
                <w:rFonts w:ascii="Arial" w:cs="Arial" w:eastAsia="Arial" w:hAnsi="Arial"/>
                <w:sz w:val="13"/>
                <w:szCs w:val="13"/>
                <w:b w:val="1"/>
                <w:bCs w:val="1"/>
                <w:color w:val="auto"/>
                <w:w w:val="93"/>
              </w:rPr>
              <w:t>(in thousands)</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used in operating activities</w:t>
            </w:r>
          </w:p>
        </w:tc>
        <w:tc>
          <w:tcPr>
            <w:tcW w:w="960" w:type="dxa"/>
            <w:vAlign w:val="bottom"/>
            <w:shd w:val="clear" w:color="auto" w:fill="CFF0FC"/>
          </w:tcPr>
          <w:p>
            <w:pPr>
              <w:jc w:val="right"/>
              <w:ind w:right="785"/>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3"/>
              </w:rPr>
              <w:t>(229,490 )</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(74,406 )</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(102,489 )</w:t>
            </w: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auto"/>
              </w:rPr>
              <w:t>Cash (used in) provided by investing activities</w:t>
            </w:r>
          </w:p>
        </w:tc>
        <w:tc>
          <w:tcPr>
            <w:tcW w:w="9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(188,745 )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(479,511 )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81,672</w:t>
            </w:r>
          </w:p>
        </w:tc>
        <w:tc>
          <w:tcPr>
            <w:tcW w:w="100" w:type="dxa"/>
            <w:vAlign w:val="bottom"/>
          </w:tcPr>
          <w:p>
            <w:pPr>
              <w:spacing w:after="0"/>
              <w:rPr>
                <w:sz w:val="19"/>
                <w:szCs w:val="19"/>
                <w:color w:val="auto"/>
              </w:rPr>
            </w:pPr>
          </w:p>
        </w:tc>
      </w:tr>
      <w:tr>
        <w:trPr>
          <w:trHeight w:val="233"/>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provided by financing activities</w:t>
            </w:r>
          </w:p>
        </w:tc>
        <w:tc>
          <w:tcPr>
            <w:tcW w:w="9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289,910</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388,090</w:t>
            </w:r>
          </w:p>
        </w:tc>
        <w:tc>
          <w:tcPr>
            <w:tcW w:w="2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426,509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960" w:type="dxa"/>
            <w:vAlign w:val="bottom"/>
          </w:tcPr>
          <w:p>
            <w:pPr>
              <w:jc w:val="right"/>
              <w:ind w:right="785"/>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3"/>
              </w:rPr>
              <w:t>(128,325 )</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(165,827 )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405,692</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-179070</wp:posOffset>
            </wp:positionV>
            <wp:extent cx="77470"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-179070</wp:posOffset>
            </wp:positionV>
            <wp:extent cx="6858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year ended December 31, 2022, we used $229.5 million of cash on operating activities, primarily resulting from our net loss of $290.5 million, offset by non-cash charges of $49.8 million and cash provided by changes in our operating assets and liabilities of $11.2 million.</w:t>
      </w:r>
    </w:p>
    <w:p>
      <w:pPr>
        <w:spacing w:after="0" w:line="17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year ended December 31, 2021, we used $74.4 million on operating activities, primarily resulting from our net loss of $363.9 million, offset by non-cash charges of $192.1 million and cash provided by changes in our operating assets and liabilities of $97.3 million.</w:t>
      </w:r>
    </w:p>
    <w:p>
      <w:pPr>
        <w:spacing w:after="0" w:line="17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During the year ended December 31, 2020, we used $102.5 million on operating activities, primarily resulting from our net loss of $52.4 million and cash used by changes in our operating assets and liabilities of $85.2 million, partially offset by non-cash charges of $35.1 million.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35"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During the year ended December 31, 2022, we used $188.7 million of cash on investing activities, consisting of $179.7 million of net purchases of investments and $9.1 million for the acquisition of property and equipment.</w:t>
      </w:r>
    </w:p>
    <w:p>
      <w:pPr>
        <w:spacing w:after="0" w:line="172"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During the year ended December 31, 2021, we used $479.5 million of cash on investing activities, consisting of $450.7 million of net purchases of investments, $25.3 million for the acquisition of ZebiAI, and $3.5 million for the acquisition of property and equipment.</w:t>
      </w:r>
    </w:p>
    <w:p>
      <w:pPr>
        <w:spacing w:after="0" w:line="172"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During the year ended December 31, 2020, net cash provided by investing activities was $81.7 million, consisting of $83.6 million from net investment proceeds upon maturity, offset by $1.9 million for the acquisition of property and equipment.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35"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During the year ended December 31, 2022, net cash provided by financing activities was $289.9 million, primarily consisting of $284.7 million in net proceeds from the September 2022 Offering, as well as $3.5 million in proceeds from the exercise of stock options and $1.7 million in purchases under our Employee Stock Purchase Plan, or ESPP.</w:t>
      </w:r>
    </w:p>
    <w:p>
      <w:pPr>
        <w:spacing w:after="0" w:line="184" w:lineRule="exact"/>
        <w:rPr>
          <w:sz w:val="20"/>
          <w:szCs w:val="20"/>
          <w:color w:val="auto"/>
        </w:rPr>
      </w:pPr>
    </w:p>
    <w:p>
      <w:pPr>
        <w:ind w:right="320"/>
        <w:spacing w:after="0" w:line="328" w:lineRule="auto"/>
        <w:rPr>
          <w:sz w:val="20"/>
          <w:szCs w:val="20"/>
          <w:color w:val="auto"/>
        </w:rPr>
      </w:pPr>
      <w:r>
        <w:rPr>
          <w:rFonts w:ascii="Arial" w:cs="Arial" w:eastAsia="Arial" w:hAnsi="Arial"/>
          <w:sz w:val="15"/>
          <w:szCs w:val="15"/>
          <w:color w:val="auto"/>
        </w:rPr>
        <w:t>During the year ended December 31, 2021, net cash provided by financing activities was $388.1 million, primarily consisting of $382.2 million in net proceeds from the October 2021 Offering, as well as $4.7 million in proceeds from the exercise of stock options and $1.1 million in purchases under our ESPP.</w:t>
      </w:r>
    </w:p>
    <w:p>
      <w:pPr>
        <w:spacing w:after="0" w:line="15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the year ended December 31, 2020, net cash provided by financing activities was $426.5 million, primarily consisting of $425.3 million in proceeds from our initial public offering, as well as $1.2 million in proceeds from the exercise of stock options.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i w:val="1"/>
          <w:iCs w:val="1"/>
          <w:color w:val="auto"/>
        </w:rPr>
        <w:t>Funding Requirements</w:t>
      </w:r>
    </w:p>
    <w:p>
      <w:pPr>
        <w:spacing w:after="0" w:line="23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expect our expenses to increase substantially in connection with our ongoing clinical development activities related to RLY-4008 and RLY-2608 and the ongoing preclinical development activities of our other programs. In addition, we continue to incur additional costs associated with operating as a public company. We expect that our expenses will increase substantially as discussed in more detail in “¾ Overview” above.</w:t>
      </w:r>
    </w:p>
    <w:p>
      <w:pPr>
        <w:spacing w:after="0" w:line="184"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As of December 31, 2022, we had cash, cash equivalents, and investments of $998.9 million. We believe that our existing cash, cash equivalents, and investments will enable us to fund our operating expenses and capital expenditure requirements into 2025. We have based this estimate on assumptions that may prove to be wrong, and we could exhaust our available capital resources sooner than we expect.</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Because of the numerous risks and uncertainties associated with the development of RLY-4008, RLY-2608, and our other product candidates and programs, and because the extent to which we may enter into collaborations with third parties for the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p>
    <w:p>
      <w:pPr>
        <w:spacing w:after="0" w:line="189" w:lineRule="exact"/>
        <w:rPr>
          <w:sz w:val="20"/>
          <w:szCs w:val="20"/>
          <w:color w:val="auto"/>
        </w:rPr>
      </w:pPr>
    </w:p>
    <w:p>
      <w:pPr>
        <w:ind w:left="760" w:right="180" w:hanging="378"/>
        <w:spacing w:after="0" w:line="278"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impact of any business interruptions to our operations, including the timing and enrollment of patients in our planned clinical trials, or to those of our manufacturers, suppliers, or other vendors, resulting from the ongoing COVID-19 pandemic or similar public health crisis or the changing political conditions, such as the current conflict between Russia and Ukraine and related global economic sanctions;</w:t>
      </w:r>
    </w:p>
    <w:p>
      <w:pPr>
        <w:spacing w:after="0" w:line="184" w:lineRule="exact"/>
        <w:rPr>
          <w:rFonts w:ascii="Arial" w:cs="Arial" w:eastAsia="Arial" w:hAnsi="Arial"/>
          <w:sz w:val="16"/>
          <w:szCs w:val="16"/>
          <w:color w:val="auto"/>
        </w:rPr>
      </w:pPr>
    </w:p>
    <w:p>
      <w:pPr>
        <w:ind w:left="760" w:right="600" w:hanging="378"/>
        <w:spacing w:after="0" w:line="293"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scope, progress, results, and costs of our current and future clinical trials of RLY-4008 and RLY-2608 and additional preclinical research of our other programs;</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scope, progress, results, and costs of drug discovery, preclinical research, and clinical trials for our other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number of future product candidates that we pursue and their development requirements;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product candidates;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ability to establish and maintain collaborations on favorable terms, if at all;</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success of any existing or future collaborations that we may enter into with third parties;</w:t>
      </w:r>
    </w:p>
    <w:p>
      <w:pPr>
        <w:spacing w:after="0" w:line="234" w:lineRule="exact"/>
        <w:rPr>
          <w:rFonts w:ascii="Arial" w:cs="Arial" w:eastAsia="Arial" w:hAnsi="Arial"/>
          <w:sz w:val="16"/>
          <w:szCs w:val="16"/>
          <w:color w:val="auto"/>
        </w:rPr>
      </w:pPr>
    </w:p>
    <w:p>
      <w:pPr>
        <w:ind w:left="760" w:right="300" w:hanging="378"/>
        <w:spacing w:after="0" w:line="293"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and technologies, including entering into licensing or collaboration arrangements for product candidates, such as the Genentech Agreement;</w:t>
      </w:r>
    </w:p>
    <w:p>
      <w:pPr>
        <w:spacing w:after="0" w:line="171" w:lineRule="exact"/>
        <w:rPr>
          <w:rFonts w:ascii="Arial" w:cs="Arial" w:eastAsia="Arial" w:hAnsi="Arial"/>
          <w:sz w:val="16"/>
          <w:szCs w:val="16"/>
          <w:color w:val="auto"/>
        </w:rPr>
      </w:pPr>
    </w:p>
    <w:p>
      <w:pPr>
        <w:ind w:left="760" w:hanging="378"/>
        <w:spacing w:after="0"/>
        <w:tabs>
          <w:tab w:leader="none" w:pos="7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achievement of milestones or occurrence of other developments that trigger payments under any existing or future collaboration agreements, if any;</w:t>
      </w:r>
    </w:p>
    <w:p>
      <w:pPr>
        <w:spacing w:after="0" w:line="246" w:lineRule="exact"/>
        <w:rPr>
          <w:rFonts w:ascii="Arial" w:cs="Arial" w:eastAsia="Arial" w:hAnsi="Arial"/>
          <w:sz w:val="15"/>
          <w:szCs w:val="15"/>
          <w:color w:val="auto"/>
        </w:rPr>
      </w:pPr>
    </w:p>
    <w:p>
      <w:pPr>
        <w:ind w:left="760" w:right="260" w:hanging="378"/>
        <w:spacing w:after="0" w:line="293"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extent to which we are obligated to reimburse, or entitled to reimbursement of, clinical trial costs under any existing or future collaboration agreements, if any;</w:t>
      </w:r>
    </w:p>
    <w:p>
      <w:pPr>
        <w:spacing w:after="0" w:line="171" w:lineRule="exact"/>
        <w:rPr>
          <w:rFonts w:ascii="Arial" w:cs="Arial" w:eastAsia="Arial" w:hAnsi="Arial"/>
          <w:sz w:val="16"/>
          <w:szCs w:val="16"/>
          <w:color w:val="auto"/>
        </w:rPr>
      </w:pPr>
    </w:p>
    <w:p>
      <w:pPr>
        <w:jc w:val="both"/>
        <w:ind w:left="760" w:right="180" w:hanging="378"/>
        <w:spacing w:after="0" w:line="278"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collaborator that we may have at such time;</w:t>
      </w:r>
    </w:p>
    <w:p>
      <w:pPr>
        <w:spacing w:after="0" w:line="184" w:lineRule="exact"/>
        <w:rPr>
          <w:rFonts w:ascii="Arial" w:cs="Arial" w:eastAsia="Arial" w:hAnsi="Arial"/>
          <w:sz w:val="16"/>
          <w:szCs w:val="16"/>
          <w:color w:val="auto"/>
        </w:rPr>
      </w:pPr>
    </w:p>
    <w:p>
      <w:pPr>
        <w:ind w:left="760" w:hanging="378"/>
        <w:spacing w:after="0"/>
        <w:tabs>
          <w:tab w:leader="none" w:pos="7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amount of revenue, if any, received from commercial sales of our product candidates, should any of our product candidates receive marketing approval;</w:t>
      </w:r>
    </w:p>
    <w:p>
      <w:pPr>
        <w:spacing w:after="0" w:line="246" w:lineRule="exact"/>
        <w:rPr>
          <w:rFonts w:ascii="Arial" w:cs="Arial" w:eastAsia="Arial" w:hAnsi="Arial"/>
          <w:sz w:val="15"/>
          <w:szCs w:val="15"/>
          <w:color w:val="auto"/>
        </w:rPr>
      </w:pPr>
    </w:p>
    <w:p>
      <w:pPr>
        <w:ind w:left="760" w:right="60" w:hanging="378"/>
        <w:spacing w:after="0" w:line="293"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1" w:name="page112"/>
    <w:bookmarkEnd w:id="111"/>
    <w:p>
      <w:pPr>
        <w:ind w:left="760" w:hanging="378"/>
        <w:spacing w:after="0"/>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business operations and our research and development activities;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costs of operating as a public company.</w:t>
      </w:r>
    </w:p>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spacing w:after="0" w:line="19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w:t>
      </w:r>
    </w:p>
    <w:p>
      <w:pPr>
        <w:spacing w:after="0" w:line="19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Intellectual Property License</w:t>
      </w:r>
    </w:p>
    <w:p>
      <w:pPr>
        <w:spacing w:after="0" w:line="235" w:lineRule="exact"/>
        <w:rPr>
          <w:sz w:val="20"/>
          <w:szCs w:val="20"/>
          <w:color w:val="auto"/>
        </w:rPr>
      </w:pPr>
    </w:p>
    <w:p>
      <w:pPr>
        <w:ind w:right="20"/>
        <w:spacing w:after="0" w:line="311" w:lineRule="auto"/>
        <w:rPr>
          <w:sz w:val="20"/>
          <w:szCs w:val="20"/>
          <w:color w:val="auto"/>
        </w:rPr>
      </w:pPr>
      <w:r>
        <w:rPr>
          <w:rFonts w:ascii="Arial" w:cs="Arial" w:eastAsia="Arial" w:hAnsi="Arial"/>
          <w:sz w:val="14"/>
          <w:szCs w:val="14"/>
          <w:color w:val="auto"/>
        </w:rPr>
        <w:t>On June 15, 2020, we entered into an Amended and Restated Collaboration and License Agreement, or DESRES Agreement, with D. E. Shaw Research, LLC, or D. E. Shaw Research, extending the term and otherwise modifying the terms of the Collaboration and License Agreement originally entered into on August 17, 2016. The DESRES Agreement provides that the parties will jointly conduct research efforts with the goal of identifying and developing product candidates. On a product-by-product basis, we have agreed to pay D. E. Shaw Research milestone payments upon the achievement of certain development and regulatory milestone events for products we develop under the DESRES Agreement that are directed to a Category 1 Target or any target that was a Category 1 Target. Such payments for achievement of development and regulatory milestones total up to $7.3 million in the aggregate for each of the first three products we develop and up to $6.3 million in the aggregate for each product we develop after the first three. In addition, we are obligated to pay D. E. Shaw Research royalty payments, as defined in the DESRES Agreement. We assessed the milestone and royalty events under the DESRES Agreement as of December 31, 2022 and 2021, concluding no such payments were due as of the balance sheet dates.</w:t>
      </w:r>
    </w:p>
    <w:p>
      <w:pPr>
        <w:spacing w:after="0" w:line="167"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The DESRES Agreement extended the term of the original agreement to August 16, 2025 and increased the annual fee from $1.0 million to $7.9 million, commencing on August 16, 2020. In May 2021, the annual fee was further increased, by mutual agreement of the parties, from $7.9 million to $9.9 million. The DESRES Agreement automatically renews for successive one-year periods, unless either party provides at least one-year notice of non-renewal, and the annual fee during each of the one year renewal terms is subject to the mutual agreement of us and D. E. Shaw Research.</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399 Binney Street</w:t>
      </w:r>
    </w:p>
    <w:p>
      <w:pPr>
        <w:spacing w:after="0" w:line="235" w:lineRule="exact"/>
        <w:rPr>
          <w:sz w:val="20"/>
          <w:szCs w:val="20"/>
          <w:color w:val="auto"/>
        </w:rPr>
      </w:pPr>
    </w:p>
    <w:p>
      <w:pPr>
        <w:ind w:right="120"/>
        <w:spacing w:after="0" w:line="315" w:lineRule="auto"/>
        <w:rPr>
          <w:sz w:val="20"/>
          <w:szCs w:val="20"/>
          <w:color w:val="auto"/>
        </w:rPr>
      </w:pPr>
      <w:r>
        <w:rPr>
          <w:rFonts w:ascii="Arial" w:cs="Arial" w:eastAsia="Arial" w:hAnsi="Arial"/>
          <w:sz w:val="14"/>
          <w:szCs w:val="14"/>
          <w:color w:val="auto"/>
        </w:rPr>
        <w:t>In December 2017, we entered into a facility lease agreement for approximately 44,336 square feet of office and laboratory space at 399 Binney Street, Cambridge, Massachusetts 02139, which was increased to 44,807 square feet in January 2018. We gained control of the space in January 2019 and the lease expires in April 2029, subject to certain renewal options, which have not been included in the measurement of our right of use asset and lease liability on the balance sheet through December 31, 2022. In September 2020, we entered into an amendment to our existing facility lease agreement to expand the leased area by approximately 1,824 square feet of office space at 399 Binney Street, Cambridge, Massachusetts 02139. The amendment commenced in October 2020 and also expires in April 2029, subject to certain renewal options, which have also not been included in the measurement of our right of use asset and lease liability on the balance sheet through December 31, 2022. We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12" w:name="page113"/>
    <w:bookmarkEnd w:id="112"/>
    <w:p>
      <w:pPr>
        <w:ind w:right="260"/>
        <w:spacing w:after="0" w:line="293" w:lineRule="auto"/>
        <w:rPr>
          <w:sz w:val="20"/>
          <w:szCs w:val="20"/>
          <w:color w:val="auto"/>
        </w:rPr>
      </w:pPr>
      <w:r>
        <w:rPr>
          <w:rFonts w:ascii="Arial" w:cs="Arial" w:eastAsia="Arial" w:hAnsi="Arial"/>
          <w:sz w:val="16"/>
          <w:szCs w:val="16"/>
          <w:color w:val="auto"/>
        </w:rPr>
        <w:t>provided a letter of credit in connection with our facility lease agreement in the amount of $0.9 million with a financial institution, which expires commensurate with the lease in April 2029.</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60 Hampshire Street</w:t>
      </w:r>
    </w:p>
    <w:p>
      <w:pPr>
        <w:spacing w:after="0" w:line="235" w:lineRule="exact"/>
        <w:rPr>
          <w:sz w:val="20"/>
          <w:szCs w:val="20"/>
          <w:color w:val="auto"/>
        </w:rPr>
      </w:pPr>
    </w:p>
    <w:p>
      <w:pPr>
        <w:ind w:right="540"/>
        <w:spacing w:after="0" w:line="335" w:lineRule="auto"/>
        <w:rPr>
          <w:sz w:val="20"/>
          <w:szCs w:val="20"/>
          <w:color w:val="auto"/>
        </w:rPr>
      </w:pPr>
      <w:r>
        <w:rPr>
          <w:rFonts w:ascii="Arial" w:cs="Arial" w:eastAsia="Arial" w:hAnsi="Arial"/>
          <w:sz w:val="14"/>
          <w:szCs w:val="14"/>
          <w:color w:val="auto"/>
        </w:rPr>
        <w:t>In May 2021, the Company entered into an agreement to lease approximately 41,474 square feet of office and laboratory space at 60 Hampshire Street, Cambridge, Massachusetts 02139. We gained control of the space in July 2022 and the lease expires in June 2032. There are no renewal options. We provided a letter of credit in connection with the agreement in the amount of $1.7 million with a financial institution, which expires commensurate with the lease in June 2032.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Significant Arrangements</w:t>
      </w:r>
    </w:p>
    <w:p>
      <w:pPr>
        <w:spacing w:after="0" w:line="23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also have certain research and license arrangements with other third parties, which provide us with research services with the goal of identifying and developing product candidates until all payment obligations by us to the third party have expired. We have the right to terminate such agreements with a reasonable period of notice. We are also obligated to pay development milestone payments for up to four targets, each in the range of $4.0 million to $7.0 million, upon the achievement of certain specified contingent events. We assessed the milestones as of December 31, 2022 and 2021, concluding no such payments were due as of December 31, 2022 and $0.5 million in payments were due as of December 31, 2021.</w:t>
      </w:r>
    </w:p>
    <w:p>
      <w:pPr>
        <w:spacing w:after="0" w:line="190"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We enter into contracts in the normal course of business with CROs and CMOs for clinical trials, preclinical research studies, and testing, manufacturing, and other services and products for operating purposes. These contracts do not contain any minimum purchase commitments and are cancelable by us upon prior notice of 30 days. Payments due upon cancelation consist only of payments for services provided and expenses incurred up to the date of cancelation.</w:t>
      </w:r>
    </w:p>
    <w:p>
      <w:pPr>
        <w:spacing w:after="0" w:line="184"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 xml:space="preserve">For more information, please refer to Note 12,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13,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of the notes to our consolidated financial statements included elsewhere in this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Use of Estimates</w:t>
      </w:r>
    </w:p>
    <w:p>
      <w:pPr>
        <w:spacing w:after="0" w:line="239" w:lineRule="exact"/>
        <w:rPr>
          <w:sz w:val="20"/>
          <w:szCs w:val="20"/>
          <w:color w:val="auto"/>
        </w:rPr>
      </w:pPr>
    </w:p>
    <w:p>
      <w:pPr>
        <w:ind w:right="80"/>
        <w:spacing w:after="0" w:line="315" w:lineRule="auto"/>
        <w:rPr>
          <w:sz w:val="20"/>
          <w:szCs w:val="20"/>
          <w:color w:val="auto"/>
        </w:rPr>
      </w:pPr>
      <w:r>
        <w:rPr>
          <w:rFonts w:ascii="Arial" w:cs="Arial" w:eastAsia="Arial" w:hAnsi="Arial"/>
          <w:sz w:val="14"/>
          <w:szCs w:val="14"/>
          <w:color w:val="auto"/>
        </w:rPr>
        <w:t>Our management’s discussion and analysis of financial condition and results of operations is based on our financial statements, which have been prepared in accordance with generally accepted accounting principles in the United States, or GAAP. The preparation of our consolidated financial statements and related disclosures requires us to make estimates and assumptions that affect the reported amounts of assets, liabilities, costs,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3" w:lineRule="exact"/>
        <w:rPr>
          <w:sz w:val="20"/>
          <w:szCs w:val="20"/>
          <w:color w:val="auto"/>
        </w:rPr>
      </w:pPr>
    </w:p>
    <w:p>
      <w:pPr>
        <w:jc w:val="both"/>
        <w:ind w:right="300"/>
        <w:spacing w:after="0" w:line="278" w:lineRule="auto"/>
        <w:rPr>
          <w:sz w:val="20"/>
          <w:szCs w:val="20"/>
          <w:color w:val="auto"/>
        </w:rPr>
      </w:pPr>
      <w:r>
        <w:rPr>
          <w:rFonts w:ascii="Arial" w:cs="Arial" w:eastAsia="Arial" w:hAnsi="Arial"/>
          <w:sz w:val="16"/>
          <w:szCs w:val="16"/>
          <w:color w:val="auto"/>
        </w:rPr>
        <w:t>While our significant accounting policies are described in more detail in the notes to our consolidated financial statements included elsewhere in this Annual Report on Form 10-K, we believe that the following accounting policies are those most critical to the judgments and estimates used in the preparation of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Accounting</w:t>
      </w:r>
    </w:p>
    <w:p>
      <w:pPr>
        <w:spacing w:after="0" w:line="235"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We are required to make significant judgments and estimates to determine whether an acquisition constitutes an acquisition of a business or assets. For asset acquisitions, this includes whether substantially all of the fair value of the gross assets acquired is concentrated in a single identifiable asset or a group of similar identifiable assets. We are also required to make several significant judgments and estimates in order to determine the total consideration transferred for the asset acquisition and then allocate it to the assets we have acquired and the liabilities we have assumed on our consolidated balance sheet.</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With respect to the acquisition of ZebiAI in 2021, the determination of the fair value of in-process research and development, or IPR&amp;D, expense did not include significant judgment, considering substantially all of the fair value of the gross assets acquired was concentrated in a single identifiable asset. However, estimating the fair value of the Contingent Milestone Payments required significant judgment and estimation, primarily with respect to estimating the probability of achieving the milestones and the timing in connection therewith.</w:t>
      </w:r>
    </w:p>
    <w:p>
      <w:pPr>
        <w:spacing w:after="0" w:line="189" w:lineRule="exact"/>
        <w:rPr>
          <w:sz w:val="20"/>
          <w:szCs w:val="20"/>
          <w:color w:val="auto"/>
        </w:rPr>
      </w:pPr>
    </w:p>
    <w:p>
      <w:pPr>
        <w:ind w:right="100"/>
        <w:spacing w:after="0" w:line="335" w:lineRule="auto"/>
        <w:rPr>
          <w:sz w:val="20"/>
          <w:szCs w:val="20"/>
          <w:color w:val="auto"/>
        </w:rPr>
      </w:pPr>
      <w:r>
        <w:rPr>
          <w:rFonts w:ascii="Arial" w:cs="Arial" w:eastAsia="Arial" w:hAnsi="Arial"/>
          <w:sz w:val="14"/>
          <w:szCs w:val="14"/>
          <w:color w:val="auto"/>
        </w:rPr>
        <w:t>We are also required to reassess the fair value of the Contingent Milestone Payments from the acquisition of ZebiAI each quarter, which requires significant judgments and estimation. These significant judgments are primarily the result of our estimates of the probability of achieving the milestone and the timing in connection therewith. Changes in the fair value of the Contingent Milestone Payments can result from changes to one or multiple inputs, including adjustments to the probability of achievement,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13" w:name="page114"/>
    <w:bookmarkEnd w:id="113"/>
    <w:p>
      <w:pPr>
        <w:ind w:right="40"/>
        <w:spacing w:after="0" w:line="369" w:lineRule="auto"/>
        <w:rPr>
          <w:sz w:val="20"/>
          <w:szCs w:val="20"/>
          <w:color w:val="auto"/>
        </w:rPr>
      </w:pPr>
      <w:r>
        <w:rPr>
          <w:rFonts w:ascii="Arial" w:cs="Arial" w:eastAsia="Arial" w:hAnsi="Arial"/>
          <w:sz w:val="14"/>
          <w:szCs w:val="14"/>
          <w:color w:val="auto"/>
        </w:rPr>
        <w:t>timing of the payments, and, to a lesser extent, changes to the discount rate used to measure the payments at present value. Significant judgment is used in determining these assumptions during each reporting period. Reasonable changes in these assumptions can cause material changes to the fair value of our contingent consideration liability.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35"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 xml:space="preserve">We account for revenue recognition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We recognize revenue pursuant to ASC 606 when our customer obtains control of promised goods or services in an amount that reflects the consideration which we expect to receive in exchange for those goods or services.</w:t>
      </w:r>
    </w:p>
    <w:p>
      <w:pPr>
        <w:spacing w:after="0" w:line="18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At contract inception, once the contract is determined to be within the scope of ASC 606, we assess the goods or services promised within the contract and determine those that are performance obligations. We then determine the transaction price and allocate it to the performance obligations. As part of the accounting for such arrangements, we must use judgment to determine: (a) the number of performance obligations; (b) the transaction price, including the determination of whether milestones or other variable consideration should be included in the transaction price; and (c) the stand-alone selling price for each performance obligation identified in the contract for the allocation of the transaction price.</w:t>
      </w:r>
    </w:p>
    <w:p>
      <w:pPr>
        <w:spacing w:after="0" w:line="190"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We utilize key assumptions and judgments in (a) determining the stand-alone selling price for each performance obligation, which may include discounted cash flow models, evaluation of comparable transactions, and pricing considered in negotiating the transaction and estimated costs, and (b) determining how the transaction price is allocated amongst the performance obligations. We also use judgment to determine whether milestones or other variable consideration should be included in the transaction price. As part of management's evaluation of the transaction price, we consider numerous factors, including whether the achievement of the milestones is outside of our control, contingent upon the efforts of others, or subject to scientific risks of success. If we conclude it is probable that a significant revenue reversal would not occur, the associated milestone payment is included in the transaction price. Milestone payments that are not within our control, such as regulatory approvals, are generally not considered probable until those milestones are achieved. We re-evaluate the transaction price, including estimated variable consideration included in the transaction price and all constrained amounts, in each reporting period and as uncertain events are resolved or other changes in circumstances occur. For revenue-based royalties, including milestone payments based on the level of sales, we will include royalties in the transaction price at the later of (i) when the related sales occur, or (ii) when the performance obligation to which some or all of the royalty is allocated has been satisfied (or partially satisfied).</w:t>
      </w:r>
    </w:p>
    <w:p>
      <w:pPr>
        <w:spacing w:after="0" w:line="178" w:lineRule="exact"/>
        <w:rPr>
          <w:sz w:val="20"/>
          <w:szCs w:val="20"/>
          <w:color w:val="auto"/>
        </w:rPr>
      </w:pPr>
    </w:p>
    <w:p>
      <w:pPr>
        <w:ind w:right="120"/>
        <w:spacing w:after="0" w:line="305" w:lineRule="auto"/>
        <w:rPr>
          <w:sz w:val="20"/>
          <w:szCs w:val="20"/>
          <w:color w:val="auto"/>
        </w:rPr>
      </w:pPr>
      <w:r>
        <w:rPr>
          <w:rFonts w:ascii="Arial" w:cs="Arial" w:eastAsia="Arial" w:hAnsi="Arial"/>
          <w:sz w:val="15"/>
          <w:szCs w:val="15"/>
          <w:color w:val="auto"/>
        </w:rPr>
        <w:t>Once the performance obligations are identified, the transaction price is allocated to each performance obligation based on the relative stand-alone selling price. We then recognize as revenue the amount of the transaction price allocated to the respective performance obligation when (or as) it is satisfied, either at a point in time or over time. If the performance obligation is satisfied over time, we recognize revenue based on the use of either an output or input method.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Accrued Research and Development Expenses</w:t>
      </w:r>
    </w:p>
    <w:p>
      <w:pPr>
        <w:spacing w:after="0" w:line="235"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accrued research and development and manufacturing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Examples of estimated accrued research and development expenses include fees paid to:</w:t>
      </w:r>
    </w:p>
    <w:p>
      <w:pPr>
        <w:spacing w:after="0" w:line="235" w:lineRule="exact"/>
        <w:rPr>
          <w:sz w:val="20"/>
          <w:szCs w:val="20"/>
          <w:color w:val="auto"/>
        </w:rPr>
      </w:pPr>
    </w:p>
    <w:p>
      <w:pPr>
        <w:ind w:left="760" w:hanging="378"/>
        <w:spacing w:after="0"/>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CROs in connection with performing research activities on our behalf and conducting preclinical studies and clinical trials on our behalf;</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investigative sites or other service providers in connection with clinical trials;</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vendors in connection with preclinical and clinical development activities; and</w:t>
      </w:r>
    </w:p>
    <w:p>
      <w:pPr>
        <w:spacing w:after="0" w:line="234" w:lineRule="exact"/>
        <w:rPr>
          <w:rFonts w:ascii="Arial" w:cs="Arial" w:eastAsia="Arial" w:hAnsi="Arial"/>
          <w:sz w:val="16"/>
          <w:szCs w:val="16"/>
          <w:color w:val="auto"/>
        </w:rPr>
      </w:pPr>
    </w:p>
    <w:p>
      <w:pPr>
        <w:ind w:left="760" w:hanging="378"/>
        <w:spacing w:after="0"/>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vendors related to product manufacturing and development and distribution of preclinical and clinical supplies.</w:t>
      </w:r>
    </w:p>
    <w:p>
      <w:pPr>
        <w:spacing w:after="0" w:line="235"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CROs that conduct and manage preclinical studies and clinical trials on our behalf. The financial terms of such agreements are subject to negotiation and vary from contract to contract, which may result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4" w:name="page115"/>
    <w:bookmarkEnd w:id="114"/>
    <w:p>
      <w:pPr>
        <w:ind w:right="20"/>
        <w:spacing w:after="0" w:line="289" w:lineRule="auto"/>
        <w:rPr>
          <w:sz w:val="20"/>
          <w:szCs w:val="20"/>
          <w:color w:val="auto"/>
        </w:rPr>
      </w:pPr>
      <w:r>
        <w:rPr>
          <w:rFonts w:ascii="Arial" w:cs="Arial" w:eastAsia="Arial" w:hAnsi="Arial"/>
          <w:sz w:val="15"/>
          <w:szCs w:val="15"/>
          <w:color w:val="auto"/>
        </w:rPr>
        <w:t>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and Adopted Accounting Pronouncements</w:t>
      </w:r>
    </w:p>
    <w:p>
      <w:pPr>
        <w:spacing w:after="0" w:line="239"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color w:val="auto"/>
        </w:rPr>
        <w:t xml:space="preserve">A description of recently issued accounting pronouncements that we have adopted is disclosed in Note 2, </w:t>
      </w:r>
      <w:r>
        <w:rPr>
          <w:rFonts w:ascii="Arial" w:cs="Arial" w:eastAsia="Arial" w:hAnsi="Arial"/>
          <w:sz w:val="14"/>
          <w:szCs w:val="14"/>
          <w:i w:val="1"/>
          <w:iCs w:val="1"/>
          <w:color w:val="auto"/>
        </w:rPr>
        <w:t>Significant Accounting Policies</w:t>
      </w:r>
      <w:r>
        <w:rPr>
          <w:rFonts w:ascii="Arial" w:cs="Arial" w:eastAsia="Arial" w:hAnsi="Arial"/>
          <w:sz w:val="14"/>
          <w:szCs w:val="14"/>
          <w:color w:val="auto"/>
        </w:rPr>
        <w:t>, to our consolidated financial statements included elsewhere in this Annual Report on Form 10-K. None of these pronouncements had a material impact on our financial position or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23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We are exposed to market risk related to changes in interest rates of our investment portfolio of cash equivalents and short-term investments. As of December 31, 2022, our cash equivalents consisted of money market funds. As of December 31, 2022, our investments consisted of investments in U.S. treasury bills and United States agency securities that have contractual maturities of less than two years. Our primary exposure to market risk is interest income sensitivity, which is affected by changes in the general level of U.S. interest rates. The fair value of our marketable securities is subject to change as a result of potential changes in market interest rates, including changes in federal interest rates. The potential change in fair value for interest rate sensitive instruments has been assessed on a hypothetical 100 basis point adverse movement across all maturities. As of December 31, 2022, we estimate that such hypothetical 100 basis point adverse movement would not result in a material impact on our condensed consolidated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we had no debt outstanding and, therefore, are not exposed to interest rate risk with respect to debt.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235"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All of our employees and our operations are currently located in the United States and our expenses are generally denominated in U.S. dollars. However, we have entered into a limited number of contracts with vendors for research and development services that permit us to satisfy our payment obligations in U.S. dollars (at prevailing exchange rates), but have underlying payment obligations denominated in foreign currencies, including the Euro.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We estimate that a 10% increase or decrease in current exchange rates would not have a material effect on our financial results for the years ended December 31, 2022, 2021, and 2020. While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operations and our risk grows.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3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financial statements required to be filed pursuant to this Item 8 are appended to this Annual Report on Form 10-K. An index of those financial statements is found in Index to the Consolidated Financial Statements of this Annual Report on Form 10-K, as incorporated by reference into Item 15, Exhibits and Financial Statement Schedules,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39"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color w:val="auto"/>
        </w:rPr>
        <w:t>We have established disclosure controls and procedures (as defined in Rules 13a-15(e) and 15d-15(e) under the Securities Exchange Act of 1934, as amended, or the Exchange Act) designed to ensure that information required to be disclosed in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115" w:name="page116"/>
    <w:bookmarkEnd w:id="115"/>
    <w:p>
      <w:pPr>
        <w:ind w:right="20"/>
        <w:spacing w:after="0" w:line="297" w:lineRule="auto"/>
        <w:rPr>
          <w:sz w:val="20"/>
          <w:szCs w:val="20"/>
          <w:color w:val="auto"/>
        </w:rPr>
      </w:pPr>
      <w:r>
        <w:rPr>
          <w:rFonts w:ascii="Arial" w:cs="Arial" w:eastAsia="Arial" w:hAnsi="Arial"/>
          <w:sz w:val="15"/>
          <w:szCs w:val="15"/>
          <w:color w:val="auto"/>
        </w:rPr>
        <w:t>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3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Annual Report on Form 10-K.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2022, our disclosure controls and procedures were effective.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Internal Control over Financial Reporting</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Annual Report on Internal Control Over Financial Reporting</w:t>
      </w:r>
    </w:p>
    <w:p>
      <w:pPr>
        <w:spacing w:after="0" w:line="235"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90" w:lineRule="exact"/>
        <w:rPr>
          <w:sz w:val="20"/>
          <w:szCs w:val="20"/>
          <w:color w:val="auto"/>
        </w:rPr>
      </w:pPr>
    </w:p>
    <w:p>
      <w:pPr>
        <w:ind w:left="760" w:hanging="378"/>
        <w:spacing w:after="0"/>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 company’s assets;</w:t>
      </w:r>
    </w:p>
    <w:p>
      <w:pPr>
        <w:spacing w:after="0" w:line="234" w:lineRule="exact"/>
        <w:rPr>
          <w:rFonts w:ascii="Arial" w:cs="Arial" w:eastAsia="Arial" w:hAnsi="Arial"/>
          <w:sz w:val="16"/>
          <w:szCs w:val="16"/>
          <w:color w:val="auto"/>
        </w:rPr>
      </w:pPr>
    </w:p>
    <w:p>
      <w:pPr>
        <w:ind w:left="760" w:right="80" w:hanging="378"/>
        <w:spacing w:after="0" w:line="278"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84" w:lineRule="exact"/>
        <w:rPr>
          <w:rFonts w:ascii="Arial" w:cs="Arial" w:eastAsia="Arial" w:hAnsi="Arial"/>
          <w:sz w:val="16"/>
          <w:szCs w:val="16"/>
          <w:color w:val="auto"/>
        </w:rPr>
      </w:pPr>
    </w:p>
    <w:p>
      <w:pPr>
        <w:ind w:left="760" w:right="280" w:hanging="378"/>
        <w:spacing w:after="0" w:line="293"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financial statements.</w:t>
      </w:r>
    </w:p>
    <w:p>
      <w:pPr>
        <w:spacing w:after="0" w:line="172"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spacing w:after="0" w:line="19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Under the supervision of and with the participation of our principal executive officer and principal financial officer, our management assessed the effectiveness of our internal control over financial reporting as of December 31, 2022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2022.</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Our independent registered public accounting firm has issued an attestation report of our internal control over financial reporting. This report appears below.</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35" w:lineRule="exact"/>
        <w:rPr>
          <w:sz w:val="20"/>
          <w:szCs w:val="20"/>
          <w:color w:val="auto"/>
        </w:rPr>
      </w:pPr>
    </w:p>
    <w:p>
      <w:pPr>
        <w:ind w:right="360"/>
        <w:spacing w:after="0" w:line="328" w:lineRule="auto"/>
        <w:rPr>
          <w:sz w:val="20"/>
          <w:szCs w:val="20"/>
          <w:color w:val="auto"/>
        </w:rPr>
      </w:pPr>
      <w:r>
        <w:rPr>
          <w:rFonts w:ascii="Arial" w:cs="Arial" w:eastAsia="Arial" w:hAnsi="Arial"/>
          <w:sz w:val="15"/>
          <w:szCs w:val="15"/>
          <w:color w:val="auto"/>
        </w:rPr>
        <w:t>There has been no change in our internal control over financial reporting (as defined in Rules 13a-15(f) and 15d-15(f) under the Exchange Act) that occurred during the fiscal quarter ended December 31, 2022 that has materially affected, or is reasonably likely to materially affect, our internal control over financial reporting.</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6" w:name="page117"/>
    <w:bookmarkEnd w:id="116"/>
    <w:p>
      <w:pPr>
        <w:ind w:left="28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Relay Therapeutics, Inc.</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39" w:lineRule="exact"/>
        <w:rPr>
          <w:sz w:val="20"/>
          <w:szCs w:val="20"/>
          <w:color w:val="auto"/>
        </w:rPr>
      </w:pPr>
    </w:p>
    <w:p>
      <w:pPr>
        <w:jc w:val="both"/>
        <w:spacing w:after="0" w:line="335" w:lineRule="auto"/>
        <w:rPr>
          <w:sz w:val="20"/>
          <w:szCs w:val="20"/>
          <w:color w:val="auto"/>
        </w:rPr>
      </w:pPr>
      <w:r>
        <w:rPr>
          <w:rFonts w:ascii="Arial" w:cs="Arial" w:eastAsia="Arial" w:hAnsi="Arial"/>
          <w:sz w:val="14"/>
          <w:szCs w:val="14"/>
          <w:color w:val="auto"/>
        </w:rPr>
        <w:t>We have audited Relay Therapeutics, Inc.’s internal control over financial reporting as of December 31, 2022, based on criteria established in Internal Control—Integrated Framework issued by the Committee of Sponsoring Organizations of the Treadway Commission (2013 framework) (the COSO criteria). In our opinion, Relay Therapeutics, Inc. (the Company) maintained, in all material respects, effective internal control over financial reporting as of December 31, 2022, based on the COSO criteria.</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operations and comprehensive loss, convertible preferred stock and stockholders’ equity (deficit), and cash flows for each of the three years in the period ended December 31, 2022, and the related notes and our report dated February 23, 2023 expressed an unqualified opinion thereon.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color w:val="auto"/>
        </w:rPr>
        <w:t>Item 9B.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9C. Disclosure Regarding Foreign Jurisdictions that Prevent Inspections.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3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8" w:right="1440"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6"/>
          <w:szCs w:val="16"/>
          <w:b w:val="1"/>
          <w:bCs w:val="1"/>
          <w:color w:val="auto"/>
        </w:rPr>
        <w:t>PART III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information required by this Item 10 will be included in our Definitive Proxy Statement to be filed with the Securities and Exchange Commission, or SEC, with respect to our 2023 Annual Meeting of Stockholders within 120 days of the end of our fiscal year pursuant to General Instruction G(3) of Form 10-K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39" w:lineRule="exact"/>
        <w:rPr>
          <w:sz w:val="20"/>
          <w:szCs w:val="20"/>
          <w:color w:val="auto"/>
        </w:rPr>
      </w:pPr>
    </w:p>
    <w:p>
      <w:pPr>
        <w:ind w:right="700"/>
        <w:spacing w:after="0" w:line="328" w:lineRule="auto"/>
        <w:rPr>
          <w:sz w:val="20"/>
          <w:szCs w:val="20"/>
          <w:color w:val="auto"/>
        </w:rPr>
      </w:pPr>
      <w:r>
        <w:rPr>
          <w:rFonts w:ascii="Arial" w:cs="Arial" w:eastAsia="Arial" w:hAnsi="Arial"/>
          <w:sz w:val="15"/>
          <w:szCs w:val="15"/>
          <w:color w:val="auto"/>
        </w:rPr>
        <w:t>The information required by this Item 11 will be included in our Definitive Proxy Statement to be filed with the SEC with respect to our 2023 Annual Meeting of Stockholders within 120 days of the end of our fiscal year pursuant to General Instruction G(3) of Form 10-K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39" w:lineRule="exact"/>
        <w:rPr>
          <w:sz w:val="20"/>
          <w:szCs w:val="20"/>
          <w:color w:val="auto"/>
        </w:rPr>
      </w:pPr>
    </w:p>
    <w:p>
      <w:pPr>
        <w:ind w:right="680"/>
        <w:spacing w:after="0" w:line="328" w:lineRule="auto"/>
        <w:rPr>
          <w:sz w:val="20"/>
          <w:szCs w:val="20"/>
          <w:color w:val="auto"/>
        </w:rPr>
      </w:pPr>
      <w:r>
        <w:rPr>
          <w:rFonts w:ascii="Arial" w:cs="Arial" w:eastAsia="Arial" w:hAnsi="Arial"/>
          <w:sz w:val="15"/>
          <w:szCs w:val="15"/>
          <w:color w:val="auto"/>
        </w:rPr>
        <w:t>The information required by this Item 12 will be included in our Definitive Proxy Statement to be filed with the SEC with respect to our 2023 Annual Meeting of Stockholders within 120 days of the end of our fiscal year pursuant to General Instruction G(3) of Form 10-K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39" w:lineRule="exact"/>
        <w:rPr>
          <w:sz w:val="20"/>
          <w:szCs w:val="20"/>
          <w:color w:val="auto"/>
        </w:rPr>
      </w:pPr>
    </w:p>
    <w:p>
      <w:pPr>
        <w:ind w:right="680"/>
        <w:spacing w:after="0" w:line="328" w:lineRule="auto"/>
        <w:rPr>
          <w:sz w:val="20"/>
          <w:szCs w:val="20"/>
          <w:color w:val="auto"/>
        </w:rPr>
      </w:pPr>
      <w:r>
        <w:rPr>
          <w:rFonts w:ascii="Arial" w:cs="Arial" w:eastAsia="Arial" w:hAnsi="Arial"/>
          <w:sz w:val="15"/>
          <w:szCs w:val="15"/>
          <w:color w:val="auto"/>
        </w:rPr>
        <w:t>The information required by this Item 13 will be included in our Definitive Proxy Statement to be filed with the SEC with respect to our 2023 Annual Meeting of Stockholders within 120 days of the end of our fiscal year pursuant to General Instruction G(3) of Form 10-K and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Our independent public accounting firm is Ernst &amp; Young LLP, Boston, Massachusetts, United States, PCAOB Auditor ID 42.</w:t>
      </w:r>
    </w:p>
    <w:p>
      <w:pPr>
        <w:spacing w:after="0" w:line="235"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information required by this Item 14 will be set forth in the section headed “ – Ratification of the Appointment of Ernst &amp; Young LLP as Relay Therapeutics’ Independent Registered Public Accounting Firm for the Fiscal Year Ending December 31, 2023” in our Definitive Proxy Statement to be filed with the SEC with respect to our 2023 Annual Meeting of Stockholders within 120 days of the end of our fiscal year pursuant to General Instruction G(3) of Form 10-K and is incorporated herein by reference.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2" w:right="419" w:bottom="1440" w:gutter="0" w:footer="0" w:header="0"/>
        </w:sectPr>
      </w:pPr>
    </w:p>
    <w:bookmarkStart w:id="119" w:name="page120"/>
    <w:bookmarkEnd w:id="119"/>
    <w:p>
      <w:pPr>
        <w:jc w:val="center"/>
        <w:ind w:right="-179"/>
        <w:spacing w:after="0"/>
        <w:rPr>
          <w:sz w:val="20"/>
          <w:szCs w:val="20"/>
          <w:color w:val="auto"/>
        </w:rPr>
      </w:pPr>
      <w:r>
        <w:rPr>
          <w:rFonts w:ascii="Arial" w:cs="Arial" w:eastAsia="Arial" w:hAnsi="Arial"/>
          <w:sz w:val="16"/>
          <w:szCs w:val="16"/>
          <w:b w:val="1"/>
          <w:bCs w:val="1"/>
          <w:color w:val="auto"/>
        </w:rPr>
        <w:t>PART IV</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239" w:lineRule="exact"/>
        <w:rPr>
          <w:sz w:val="20"/>
          <w:szCs w:val="20"/>
          <w:color w:val="auto"/>
        </w:rPr>
      </w:pPr>
    </w:p>
    <w:p>
      <w:pPr>
        <w:ind w:left="380" w:hanging="372"/>
        <w:spacing w:after="0" w:line="293"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a list of the financial statements included herein, see Index to the Consolidated Financial Statements of this Annual Report on Form 10-K, incorporated into this Item by reference.</w:t>
      </w:r>
    </w:p>
    <w:p>
      <w:pPr>
        <w:spacing w:after="0" w:line="171" w:lineRule="exact"/>
        <w:rPr>
          <w:rFonts w:ascii="Arial" w:cs="Arial" w:eastAsia="Arial" w:hAnsi="Arial"/>
          <w:sz w:val="16"/>
          <w:szCs w:val="16"/>
          <w:color w:val="auto"/>
        </w:rPr>
      </w:pPr>
    </w:p>
    <w:p>
      <w:pPr>
        <w:ind w:left="380" w:right="160" w:hanging="372"/>
        <w:spacing w:after="0" w:line="293"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Financial statement schedules have been omitted because they are either not required or not applicable or the information is included in the consolidated financial statements or the notes thereto.</w:t>
      </w:r>
    </w:p>
    <w:p>
      <w:pPr>
        <w:spacing w:after="0" w:line="171" w:lineRule="exact"/>
        <w:rPr>
          <w:rFonts w:ascii="Arial" w:cs="Arial" w:eastAsia="Arial" w:hAnsi="Arial"/>
          <w:sz w:val="16"/>
          <w:szCs w:val="16"/>
          <w:color w:val="auto"/>
        </w:rPr>
      </w:pPr>
    </w:p>
    <w:p>
      <w:pPr>
        <w:ind w:left="380" w:right="20" w:hanging="372"/>
        <w:spacing w:after="0" w:line="293"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exhibits filed as part of this Annual Report on Form 10-K are set forth on the Exhibit Index immediately preceding the signature page of this Annual Report on Form 10-K. The Exhibit Index is incorporated herein by reference.</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42" w:right="55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b w:val="1"/>
          <w:bCs w:val="1"/>
          <w:color w:val="auto"/>
        </w:rPr>
        <w:t>Item 16. Form 10-K Summary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 w:lineRule="exact"/>
        <w:rPr>
          <w:sz w:val="20"/>
          <w:szCs w:val="20"/>
          <w:color w:val="auto"/>
        </w:rPr>
      </w:pPr>
    </w:p>
    <w:tbl>
      <w:tblPr>
        <w:tblLayout w:type="fixed"/>
        <w:tblInd w:w="30" w:type="dxa"/>
        <w:tblCellMar>
          <w:top w:w="0" w:type="dxa"/>
          <w:left w:w="0" w:type="dxa"/>
          <w:bottom w:w="0" w:type="dxa"/>
          <w:right w:w="0" w:type="dxa"/>
        </w:tblCellMar>
      </w:tblPr>
      <w:tr>
        <w:trPr>
          <w:trHeight w:val="210"/>
        </w:trPr>
        <w:tc>
          <w:tcPr>
            <w:tcW w:w="1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0" w:type="dxa"/>
            <w:vAlign w:val="bottom"/>
            <w:gridSpan w:val="3"/>
          </w:tcPr>
          <w:p>
            <w:pPr>
              <w:ind w:left="260"/>
              <w:spacing w:after="0"/>
              <w:rPr>
                <w:sz w:val="20"/>
                <w:szCs w:val="20"/>
                <w:color w:val="auto"/>
              </w:rPr>
            </w:pPr>
            <w:r>
              <w:rPr>
                <w:rFonts w:ascii="Arial" w:cs="Arial" w:eastAsia="Arial" w:hAnsi="Arial"/>
                <w:sz w:val="16"/>
                <w:szCs w:val="16"/>
                <w:b w:val="1"/>
                <w:bCs w:val="1"/>
                <w:color w:val="auto"/>
              </w:rPr>
              <w:t>Index to Consolidated Financial Statements</w:t>
            </w:r>
          </w:p>
        </w:tc>
        <w:tc>
          <w:tcPr>
            <w:tcW w:w="2160" w:type="dxa"/>
            <w:vAlign w:val="bottom"/>
          </w:tcPr>
          <w:p>
            <w:pPr>
              <w:spacing w:after="0"/>
              <w:rPr>
                <w:sz w:val="18"/>
                <w:szCs w:val="18"/>
                <w:color w:val="auto"/>
              </w:rPr>
            </w:pPr>
          </w:p>
        </w:tc>
      </w:tr>
      <w:tr>
        <w:trPr>
          <w:trHeight w:val="606"/>
        </w:trPr>
        <w:tc>
          <w:tcPr>
            <w:tcW w:w="9040" w:type="dxa"/>
            <w:vAlign w:val="bottom"/>
            <w:gridSpan w:val="7"/>
          </w:tcPr>
          <w:p>
            <w:pPr>
              <w:spacing w:after="0"/>
              <w:rPr>
                <w:sz w:val="20"/>
                <w:szCs w:val="20"/>
                <w:color w:val="auto"/>
              </w:rPr>
            </w:pPr>
            <w:r>
              <w:rPr>
                <w:rFonts w:ascii="Arial" w:cs="Arial" w:eastAsia="Arial" w:hAnsi="Arial"/>
                <w:sz w:val="16"/>
                <w:szCs w:val="16"/>
                <w:color w:val="0000FF"/>
              </w:rPr>
              <w:t>Report of Independent Registered Public Accounting Firm</w:t>
            </w:r>
          </w:p>
        </w:tc>
        <w:tc>
          <w:tcPr>
            <w:tcW w:w="2160" w:type="dxa"/>
            <w:vAlign w:val="bottom"/>
          </w:tcPr>
          <w:p>
            <w:pPr>
              <w:ind w:left="1940"/>
              <w:spacing w:after="0"/>
              <w:rPr>
                <w:sz w:val="20"/>
                <w:szCs w:val="20"/>
                <w:color w:val="auto"/>
              </w:rPr>
            </w:pPr>
            <w:r>
              <w:rPr>
                <w:rFonts w:ascii="Arial" w:cs="Arial" w:eastAsia="Arial" w:hAnsi="Arial"/>
                <w:sz w:val="16"/>
                <w:szCs w:val="16"/>
                <w:color w:val="auto"/>
                <w:w w:val="83"/>
              </w:rPr>
              <w:t>F-2</w:t>
            </w:r>
          </w:p>
        </w:tc>
      </w:tr>
      <w:tr>
        <w:trPr>
          <w:trHeight w:val="20"/>
        </w:trPr>
        <w:tc>
          <w:tcPr>
            <w:tcW w:w="190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87"/>
        </w:trPr>
        <w:tc>
          <w:tcPr>
            <w:tcW w:w="9040" w:type="dxa"/>
            <w:vAlign w:val="bottom"/>
            <w:gridSpan w:val="7"/>
          </w:tcPr>
          <w:p>
            <w:pPr>
              <w:spacing w:after="0"/>
              <w:rPr>
                <w:sz w:val="20"/>
                <w:szCs w:val="20"/>
                <w:color w:val="auto"/>
              </w:rPr>
            </w:pPr>
            <w:r>
              <w:rPr>
                <w:rFonts w:ascii="Arial" w:cs="Arial" w:eastAsia="Arial" w:hAnsi="Arial"/>
                <w:sz w:val="16"/>
                <w:szCs w:val="16"/>
                <w:color w:val="auto"/>
              </w:rPr>
              <w:t>Consolidated Financial Statements</w:t>
            </w:r>
          </w:p>
        </w:tc>
        <w:tc>
          <w:tcPr>
            <w:tcW w:w="2160" w:type="dxa"/>
            <w:vAlign w:val="bottom"/>
          </w:tcPr>
          <w:p>
            <w:pPr>
              <w:spacing w:after="0"/>
              <w:rPr>
                <w:sz w:val="24"/>
                <w:szCs w:val="24"/>
                <w:color w:val="auto"/>
              </w:rPr>
            </w:pPr>
          </w:p>
        </w:tc>
      </w:tr>
      <w:tr>
        <w:trPr>
          <w:trHeight w:val="424"/>
        </w:trPr>
        <w:tc>
          <w:tcPr>
            <w:tcW w:w="9040" w:type="dxa"/>
            <w:vAlign w:val="bottom"/>
            <w:gridSpan w:val="7"/>
          </w:tcPr>
          <w:p>
            <w:pPr>
              <w:spacing w:after="0"/>
              <w:rPr>
                <w:sz w:val="20"/>
                <w:szCs w:val="20"/>
                <w:color w:val="auto"/>
              </w:rPr>
            </w:pPr>
            <w:r>
              <w:rPr>
                <w:rFonts w:ascii="Arial" w:cs="Arial" w:eastAsia="Arial" w:hAnsi="Arial"/>
                <w:sz w:val="16"/>
                <w:szCs w:val="16"/>
                <w:color w:val="0000FF"/>
              </w:rPr>
              <w:t>Consolidated Balance Sheets</w:t>
            </w:r>
          </w:p>
        </w:tc>
        <w:tc>
          <w:tcPr>
            <w:tcW w:w="2160" w:type="dxa"/>
            <w:vAlign w:val="bottom"/>
          </w:tcPr>
          <w:p>
            <w:pPr>
              <w:ind w:left="1940"/>
              <w:spacing w:after="0"/>
              <w:rPr>
                <w:sz w:val="20"/>
                <w:szCs w:val="20"/>
                <w:color w:val="auto"/>
              </w:rPr>
            </w:pPr>
            <w:r>
              <w:rPr>
                <w:rFonts w:ascii="Arial" w:cs="Arial" w:eastAsia="Arial" w:hAnsi="Arial"/>
                <w:sz w:val="16"/>
                <w:szCs w:val="16"/>
                <w:color w:val="auto"/>
                <w:w w:val="83"/>
              </w:rPr>
              <w:t>F-4</w:t>
            </w:r>
          </w:p>
        </w:tc>
      </w:tr>
      <w:tr>
        <w:trPr>
          <w:trHeight w:val="20"/>
        </w:trPr>
        <w:tc>
          <w:tcPr>
            <w:tcW w:w="19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3"/>
        </w:trPr>
        <w:tc>
          <w:tcPr>
            <w:tcW w:w="9040" w:type="dxa"/>
            <w:vAlign w:val="bottom"/>
            <w:gridSpan w:val="7"/>
          </w:tcPr>
          <w:p>
            <w:pPr>
              <w:spacing w:after="0"/>
              <w:rPr>
                <w:sz w:val="20"/>
                <w:szCs w:val="20"/>
                <w:color w:val="auto"/>
              </w:rPr>
            </w:pPr>
            <w:r>
              <w:rPr>
                <w:rFonts w:ascii="Arial" w:cs="Arial" w:eastAsia="Arial" w:hAnsi="Arial"/>
                <w:sz w:val="16"/>
                <w:szCs w:val="16"/>
                <w:color w:val="0000FF"/>
              </w:rPr>
              <w:t>Consolidated Statements of Operations and Comprehensive Loss</w:t>
            </w:r>
          </w:p>
        </w:tc>
        <w:tc>
          <w:tcPr>
            <w:tcW w:w="2160" w:type="dxa"/>
            <w:vAlign w:val="bottom"/>
          </w:tcPr>
          <w:p>
            <w:pPr>
              <w:ind w:left="1940"/>
              <w:spacing w:after="0"/>
              <w:rPr>
                <w:sz w:val="20"/>
                <w:szCs w:val="20"/>
                <w:color w:val="auto"/>
              </w:rPr>
            </w:pPr>
            <w:r>
              <w:rPr>
                <w:rFonts w:ascii="Arial" w:cs="Arial" w:eastAsia="Arial" w:hAnsi="Arial"/>
                <w:sz w:val="16"/>
                <w:szCs w:val="16"/>
                <w:color w:val="auto"/>
                <w:w w:val="83"/>
              </w:rPr>
              <w:t>F-5</w:t>
            </w:r>
          </w:p>
        </w:tc>
      </w:tr>
      <w:tr>
        <w:trPr>
          <w:trHeight w:val="20"/>
        </w:trPr>
        <w:tc>
          <w:tcPr>
            <w:tcW w:w="2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3"/>
        </w:trPr>
        <w:tc>
          <w:tcPr>
            <w:tcW w:w="9040" w:type="dxa"/>
            <w:vAlign w:val="bottom"/>
            <w:gridSpan w:val="7"/>
          </w:tcPr>
          <w:p>
            <w:pPr>
              <w:spacing w:after="0"/>
              <w:rPr>
                <w:sz w:val="20"/>
                <w:szCs w:val="20"/>
                <w:color w:val="auto"/>
              </w:rPr>
            </w:pPr>
            <w:r>
              <w:rPr>
                <w:rFonts w:ascii="Arial" w:cs="Arial" w:eastAsia="Arial" w:hAnsi="Arial"/>
                <w:sz w:val="16"/>
                <w:szCs w:val="16"/>
                <w:color w:val="0000FF"/>
              </w:rPr>
              <w:t>Consolidated Statements of Convertible Preferred Stock and Stockholders’ Equity (Deficit)</w:t>
            </w:r>
          </w:p>
        </w:tc>
        <w:tc>
          <w:tcPr>
            <w:tcW w:w="2160" w:type="dxa"/>
            <w:vAlign w:val="bottom"/>
          </w:tcPr>
          <w:p>
            <w:pPr>
              <w:ind w:left="1940"/>
              <w:spacing w:after="0"/>
              <w:rPr>
                <w:sz w:val="20"/>
                <w:szCs w:val="20"/>
                <w:color w:val="auto"/>
              </w:rPr>
            </w:pPr>
            <w:r>
              <w:rPr>
                <w:rFonts w:ascii="Arial" w:cs="Arial" w:eastAsia="Arial" w:hAnsi="Arial"/>
                <w:sz w:val="16"/>
                <w:szCs w:val="16"/>
                <w:color w:val="auto"/>
                <w:w w:val="83"/>
              </w:rPr>
              <w:t>F-6</w:t>
            </w:r>
          </w:p>
        </w:tc>
      </w:tr>
      <w:tr>
        <w:trPr>
          <w:trHeight w:val="20"/>
        </w:trPr>
        <w:tc>
          <w:tcPr>
            <w:tcW w:w="2600" w:type="dxa"/>
            <w:vAlign w:val="bottom"/>
            <w:tcBorders>
              <w:left w:val="single" w:sz="8" w:color="0000FF"/>
              <w:righ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380" w:type="dxa"/>
            <w:vAlign w:val="bottom"/>
            <w:tcBorders>
              <w:right w:val="single" w:sz="8" w:color="0000EE"/>
            </w:tcBorders>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3"/>
        </w:trPr>
        <w:tc>
          <w:tcPr>
            <w:tcW w:w="9040" w:type="dxa"/>
            <w:vAlign w:val="bottom"/>
            <w:gridSpan w:val="7"/>
          </w:tcPr>
          <w:p>
            <w:pPr>
              <w:spacing w:after="0"/>
              <w:rPr>
                <w:sz w:val="20"/>
                <w:szCs w:val="20"/>
                <w:color w:val="auto"/>
              </w:rPr>
            </w:pPr>
            <w:r>
              <w:rPr>
                <w:rFonts w:ascii="Arial" w:cs="Arial" w:eastAsia="Arial" w:hAnsi="Arial"/>
                <w:sz w:val="16"/>
                <w:szCs w:val="16"/>
                <w:color w:val="0000FF"/>
              </w:rPr>
              <w:t>Consolidated Statements of Cash Flows</w:t>
            </w:r>
          </w:p>
        </w:tc>
        <w:tc>
          <w:tcPr>
            <w:tcW w:w="2160" w:type="dxa"/>
            <w:vAlign w:val="bottom"/>
          </w:tcPr>
          <w:p>
            <w:pPr>
              <w:ind w:left="1940"/>
              <w:spacing w:after="0"/>
              <w:rPr>
                <w:sz w:val="20"/>
                <w:szCs w:val="20"/>
                <w:color w:val="auto"/>
              </w:rPr>
            </w:pPr>
            <w:r>
              <w:rPr>
                <w:rFonts w:ascii="Arial" w:cs="Arial" w:eastAsia="Arial" w:hAnsi="Arial"/>
                <w:sz w:val="16"/>
                <w:szCs w:val="16"/>
                <w:color w:val="auto"/>
                <w:w w:val="83"/>
              </w:rPr>
              <w:t>F-7</w:t>
            </w:r>
          </w:p>
        </w:tc>
      </w:tr>
      <w:tr>
        <w:trPr>
          <w:trHeight w:val="20"/>
        </w:trPr>
        <w:tc>
          <w:tcPr>
            <w:tcW w:w="26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3"/>
        </w:trPr>
        <w:tc>
          <w:tcPr>
            <w:tcW w:w="9040" w:type="dxa"/>
            <w:vAlign w:val="bottom"/>
            <w:gridSpan w:val="7"/>
          </w:tcPr>
          <w:p>
            <w:pPr>
              <w:spacing w:after="0"/>
              <w:rPr>
                <w:sz w:val="20"/>
                <w:szCs w:val="20"/>
                <w:color w:val="auto"/>
              </w:rPr>
            </w:pPr>
            <w:r>
              <w:rPr>
                <w:rFonts w:ascii="Arial" w:cs="Arial" w:eastAsia="Arial" w:hAnsi="Arial"/>
                <w:sz w:val="16"/>
                <w:szCs w:val="16"/>
                <w:color w:val="0000FF"/>
              </w:rPr>
              <w:t>Notes to Consolidated Financial Statements</w:t>
            </w:r>
          </w:p>
        </w:tc>
        <w:tc>
          <w:tcPr>
            <w:tcW w:w="2160" w:type="dxa"/>
            <w:vAlign w:val="bottom"/>
          </w:tcPr>
          <w:p>
            <w:pPr>
              <w:ind w:left="1940"/>
              <w:spacing w:after="0"/>
              <w:rPr>
                <w:sz w:val="20"/>
                <w:szCs w:val="20"/>
                <w:color w:val="auto"/>
              </w:rPr>
            </w:pPr>
            <w:r>
              <w:rPr>
                <w:rFonts w:ascii="Arial" w:cs="Arial" w:eastAsia="Arial" w:hAnsi="Arial"/>
                <w:sz w:val="16"/>
                <w:szCs w:val="16"/>
                <w:color w:val="auto"/>
                <w:w w:val="83"/>
              </w:rPr>
              <w:t>F-8</w:t>
            </w:r>
          </w:p>
        </w:tc>
      </w:tr>
      <w:tr>
        <w:trPr>
          <w:trHeight w:val="20"/>
        </w:trPr>
        <w:tc>
          <w:tcPr>
            <w:tcW w:w="19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121" w:name="page122"/>
    <w:bookmarkEnd w:id="121"/>
    <w:p>
      <w:pPr>
        <w:ind w:left="28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Relay Therapeutics, Inc.</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39"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We have audited the accompanying consolidated balance sheets of Relay Therapeutics, Inc. (the Company) as of December 31, 2022 and 2021, the related consolidated statements of operations and comprehensive loss, convertible preferred stock and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76" w:lineRule="exact"/>
        <w:rPr>
          <w:sz w:val="20"/>
          <w:szCs w:val="20"/>
          <w:color w:val="auto"/>
        </w:rPr>
      </w:pPr>
    </w:p>
    <w:p>
      <w:pPr>
        <w:jc w:val="both"/>
        <w:ind w:right="100"/>
        <w:spacing w:after="0" w:line="30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23, 2023 expressed an unqualified opinion thereon.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39"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3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19" w:lineRule="exact"/>
        <w:rPr>
          <w:sz w:val="20"/>
          <w:szCs w:val="20"/>
          <w:color w:val="auto"/>
        </w:rPr>
      </w:pPr>
    </w:p>
    <w:p>
      <w:pPr>
        <w:ind w:left="2100"/>
        <w:spacing w:after="0"/>
        <w:rPr>
          <w:sz w:val="20"/>
          <w:szCs w:val="20"/>
          <w:color w:val="auto"/>
        </w:rPr>
      </w:pPr>
      <w:r>
        <w:rPr>
          <w:rFonts w:ascii="Arial" w:cs="Arial" w:eastAsia="Arial" w:hAnsi="Arial"/>
          <w:sz w:val="16"/>
          <w:szCs w:val="16"/>
          <w:b w:val="1"/>
          <w:bCs w:val="1"/>
          <w:i w:val="1"/>
          <w:iCs w:val="1"/>
          <w:color w:val="auto"/>
        </w:rPr>
        <w:t>Valuation of Contingent Milestone Payment Liability</w:t>
      </w:r>
    </w:p>
    <w:p>
      <w:pPr>
        <w:spacing w:after="0" w:line="262" w:lineRule="exact"/>
        <w:rPr>
          <w:sz w:val="20"/>
          <w:szCs w:val="20"/>
          <w:color w:val="auto"/>
        </w:rPr>
      </w:pPr>
    </w:p>
    <w:p>
      <w:pPr>
        <w:jc w:val="both"/>
        <w:ind w:left="2100" w:right="20" w:hanging="2078"/>
        <w:spacing w:after="0" w:line="278" w:lineRule="auto"/>
        <w:tabs>
          <w:tab w:leader="none" w:pos="2080" w:val="left"/>
        </w:tabs>
        <w:rPr>
          <w:sz w:val="20"/>
          <w:szCs w:val="20"/>
          <w:color w:val="auto"/>
        </w:rPr>
      </w:pPr>
      <w:r>
        <w:rPr>
          <w:rFonts w:ascii="Arial" w:cs="Arial" w:eastAsia="Arial" w:hAnsi="Arial"/>
          <w:sz w:val="16"/>
          <w:szCs w:val="16"/>
          <w:i w:val="1"/>
          <w:iCs w:val="1"/>
          <w:color w:val="auto"/>
        </w:rPr>
        <w:t>Description of the Matter</w:t>
      </w:r>
      <w:r>
        <w:rPr>
          <w:sz w:val="20"/>
          <w:szCs w:val="20"/>
          <w:color w:val="auto"/>
        </w:rPr>
        <w:tab/>
      </w:r>
      <w:r>
        <w:rPr>
          <w:rFonts w:ascii="Arial" w:cs="Arial" w:eastAsia="Arial" w:hAnsi="Arial"/>
          <w:sz w:val="16"/>
          <w:szCs w:val="16"/>
          <w:color w:val="auto"/>
        </w:rPr>
        <w:t>As discussed in Notes 3 and 10 to the consolidated financial statements, the Company’s acquisition-related Contingent Milestone Payment Liability is remeasured to its estimated fair value each reporting period. As of December 31, 2022, the acquisition-related Contingent Milestone Payment Liability was $27.4 million.</w:t>
      </w:r>
    </w:p>
    <w:p>
      <w:pPr>
        <w:spacing w:after="0" w:line="184" w:lineRule="exact"/>
        <w:rPr>
          <w:sz w:val="20"/>
          <w:szCs w:val="20"/>
          <w:color w:val="auto"/>
        </w:rPr>
      </w:pPr>
    </w:p>
    <w:p>
      <w:pPr>
        <w:jc w:val="both"/>
        <w:ind w:left="2100" w:right="20"/>
        <w:spacing w:after="0" w:line="278" w:lineRule="auto"/>
        <w:rPr>
          <w:sz w:val="20"/>
          <w:szCs w:val="20"/>
          <w:color w:val="auto"/>
        </w:rPr>
      </w:pPr>
      <w:r>
        <w:rPr>
          <w:rFonts w:ascii="Arial" w:cs="Arial" w:eastAsia="Arial" w:hAnsi="Arial"/>
          <w:sz w:val="16"/>
          <w:szCs w:val="16"/>
          <w:color w:val="auto"/>
        </w:rPr>
        <w:t>Auditing the valuation of the Contingent Milestone Payment Liability was especially subjective and judgmental due to the significant estimation required in determining the fair value. In particular, the fair value estimate was sensitive to significant assumptions including the probability of milestone achievement and the related timing thereof.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22" w:name="page123"/>
    <w:bookmarkEnd w:id="122"/>
    <w:p>
      <w:pPr>
        <w:ind w:left="20"/>
        <w:spacing w:after="0" w:line="369"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73"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valuation of the Contingent Milestone Payment Liability. For example, we tested controls over management’s review of the valuation model and the significant assumptions utilized in the calculation, including the probability and expected timeline of achieving certain platform and program-related milestones.</w:t>
      </w:r>
    </w:p>
    <w:p>
      <w:pPr>
        <w:spacing w:after="0" w:line="189" w:lineRule="exact"/>
        <w:rPr>
          <w:sz w:val="20"/>
          <w:szCs w:val="20"/>
          <w:color w:val="auto"/>
        </w:rPr>
      </w:pPr>
    </w:p>
    <w:p>
      <w:pPr>
        <w:sectPr>
          <w:pgSz w:w="11900" w:h="16838" w:orient="portrait"/>
          <w:cols w:equalWidth="0" w:num="2">
            <w:col w:w="1500" w:space="600"/>
            <w:col w:w="9120"/>
          </w:cols>
          <w:pgMar w:left="320" w:top="575" w:right="359" w:bottom="1440" w:gutter="0" w:footer="0" w:header="0"/>
        </w:sectPr>
      </w:pPr>
    </w:p>
    <w:p>
      <w:pPr>
        <w:jc w:val="both"/>
        <w:ind w:left="2100"/>
        <w:spacing w:after="0" w:line="269" w:lineRule="auto"/>
        <w:rPr>
          <w:sz w:val="20"/>
          <w:szCs w:val="20"/>
          <w:color w:val="auto"/>
        </w:rPr>
      </w:pPr>
      <w:r>
        <w:rPr>
          <w:rFonts w:ascii="Arial" w:cs="Arial" w:eastAsia="Arial" w:hAnsi="Arial"/>
          <w:sz w:val="16"/>
          <w:szCs w:val="16"/>
          <w:color w:val="auto"/>
        </w:rPr>
        <w:t>To test the valuation of the Contingent Milestone Payment Liability, we performed audit procedures that included, among others, assessing the terms of the arrangement, evaluating the methodology used, testing the significant assumptions discussed above, and testing the completeness and accuracy of the underlying data. For example, to test the estimated probability and expected timeline of achieving milestones, we considered the stage of development of the research in relation to relevant external data and discussed these probabilities with the Company’s executives, including those in research and development. In addition, we performed sensitivity analyses of the significant assumptions to evaluate the change in the fair value of the Contingent Milestone Payment Liability resulting from changes in the significant assumptions.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w:t>
      </w:r>
    </w:p>
    <w:p>
      <w:pPr>
        <w:sectPr>
          <w:pgSz w:w="11900" w:h="16838" w:orient="portrait"/>
          <w:cols w:equalWidth="0" w:num="1">
            <w:col w:w="11220"/>
          </w:cols>
          <w:pgMar w:left="320" w:top="575" w:right="35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2023</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type w:val="continuous"/>
        </w:sectPr>
      </w:pPr>
    </w:p>
    <w:bookmarkStart w:id="123" w:name="page124"/>
    <w:bookmarkEnd w:id="123"/>
    <w:p>
      <w:pPr>
        <w:jc w:val="center"/>
        <w:ind w:right="40"/>
        <w:spacing w:after="0"/>
        <w:rPr>
          <w:sz w:val="20"/>
          <w:szCs w:val="20"/>
          <w:color w:val="auto"/>
        </w:rPr>
      </w:pPr>
      <w:r>
        <w:rPr>
          <w:rFonts w:ascii="Arial" w:cs="Arial" w:eastAsia="Arial" w:hAnsi="Arial"/>
          <w:sz w:val="16"/>
          <w:szCs w:val="16"/>
          <w:color w:val="auto"/>
        </w:rPr>
        <w:t>Relay Therapeutics,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Consolidated Balance Sheets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share and per share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3"/>
              </w:rPr>
              <w:t>December 31, 2022</w:t>
            </w:r>
          </w:p>
        </w:tc>
        <w:tc>
          <w:tcPr>
            <w:tcW w:w="18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December 31, 2021</w:t>
            </w:r>
          </w:p>
        </w:tc>
      </w:tr>
      <w:tr>
        <w:trPr>
          <w:trHeight w:val="224"/>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151,794</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280,119</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847,123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677,954</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Contract asset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4,913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4,537</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12,110</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11,465</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3,259</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1,019,505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976,242</w:t>
            </w: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11,634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6,543</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63,754</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20,780</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2,578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2,578</w:t>
            </w:r>
          </w:p>
        </w:tc>
        <w:tc>
          <w:tcPr>
            <w:tcW w:w="10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Intangible asset</w:t>
            </w: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2,300</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1,099,771</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1,008,443</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10,578</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8,276</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22,703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13,557</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4,276</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1,844</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9"/>
                <w:szCs w:val="19"/>
                <w:color w:val="auto"/>
              </w:rPr>
            </w:pPr>
          </w:p>
        </w:tc>
      </w:tr>
      <w:tr>
        <w:trPr>
          <w:trHeight w:val="23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26,152</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63,709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24,321</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 net of current portion</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53,466</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21,056</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Contingent consideration liability</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32,378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50,258</w:t>
            </w:r>
          </w:p>
        </w:tc>
        <w:tc>
          <w:tcPr>
            <w:tcW w:w="100" w:type="dxa"/>
            <w:vAlign w:val="bottom"/>
          </w:tcPr>
          <w:p>
            <w:pPr>
              <w:spacing w:after="0"/>
              <w:rPr>
                <w:sz w:val="19"/>
                <w:szCs w:val="19"/>
                <w:color w:val="auto"/>
              </w:rPr>
            </w:pPr>
          </w:p>
        </w:tc>
      </w:tr>
      <w:tr>
        <w:trPr>
          <w:trHeight w:val="233"/>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149,553</w:t>
            </w:r>
          </w:p>
        </w:tc>
        <w:tc>
          <w:tcPr>
            <w:tcW w:w="3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110,635</w:t>
            </w:r>
          </w:p>
        </w:tc>
        <w:tc>
          <w:tcPr>
            <w:tcW w:w="100" w:type="dxa"/>
            <w:vAlign w:val="bottom"/>
            <w:tcBorders>
              <w:top w:val="single" w:sz="8" w:color="CFF0FC"/>
            </w:tcBorders>
          </w:tcPr>
          <w:p>
            <w:pPr>
              <w:spacing w:after="0"/>
              <w:rPr>
                <w:sz w:val="19"/>
                <w:szCs w:val="19"/>
                <w:color w:val="auto"/>
              </w:rPr>
            </w:pPr>
          </w:p>
        </w:tc>
      </w:tr>
      <w:tr>
        <w:trPr>
          <w:trHeight w:val="239"/>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12)</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Undesignated preferred stock, $0.001 par value, 10,000,000 shares authorized as of</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76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2022 and December 31, 2021; no shares issued and outstanding at</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680" w:type="dxa"/>
            <w:vAlign w:val="bottom"/>
            <w:shd w:val="clear" w:color="auto" w:fill="CFF0FC"/>
          </w:tcPr>
          <w:p>
            <w:pPr>
              <w:ind w:left="320"/>
              <w:spacing w:after="0"/>
              <w:rPr>
                <w:sz w:val="20"/>
                <w:szCs w:val="20"/>
                <w:color w:val="auto"/>
              </w:rPr>
            </w:pPr>
            <w:r>
              <w:rPr>
                <w:rFonts w:ascii="Arial" w:cs="Arial" w:eastAsia="Arial" w:hAnsi="Arial"/>
                <w:sz w:val="16"/>
                <w:szCs w:val="16"/>
                <w:color w:val="auto"/>
              </w:rPr>
              <w:t>December 31, 2022 and December 31, 2021</w:t>
            </w:r>
          </w:p>
        </w:tc>
        <w:tc>
          <w:tcPr>
            <w:tcW w:w="1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7680" w:type="dxa"/>
            <w:vAlign w:val="bottom"/>
          </w:tcPr>
          <w:p>
            <w:pPr>
              <w:ind w:left="200"/>
              <w:spacing w:after="0"/>
              <w:rPr>
                <w:sz w:val="20"/>
                <w:szCs w:val="20"/>
                <w:color w:val="auto"/>
              </w:rPr>
            </w:pPr>
            <w:r>
              <w:rPr>
                <w:rFonts w:ascii="Arial" w:cs="Arial" w:eastAsia="Arial" w:hAnsi="Arial"/>
                <w:sz w:val="16"/>
                <w:szCs w:val="16"/>
                <w:color w:val="auto"/>
              </w:rPr>
              <w:t>Common stock, $0.001 par value; 300,000,000 and 150,000,000 shares authorized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tcPr>
          <w:p>
            <w:pPr>
              <w:ind w:left="320"/>
              <w:spacing w:after="0"/>
              <w:rPr>
                <w:sz w:val="20"/>
                <w:szCs w:val="20"/>
                <w:color w:val="auto"/>
              </w:rPr>
            </w:pPr>
            <w:r>
              <w:rPr>
                <w:rFonts w:ascii="Arial" w:cs="Arial" w:eastAsia="Arial" w:hAnsi="Arial"/>
                <w:sz w:val="16"/>
                <w:szCs w:val="16"/>
                <w:color w:val="auto"/>
              </w:rPr>
              <w:t>at December 31, 2022 and December 31, 2021, respectively; 121,112,234 and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tcPr>
          <w:p>
            <w:pPr>
              <w:ind w:left="320"/>
              <w:spacing w:after="0"/>
              <w:rPr>
                <w:sz w:val="20"/>
                <w:szCs w:val="20"/>
                <w:color w:val="auto"/>
              </w:rPr>
            </w:pPr>
            <w:r>
              <w:rPr>
                <w:rFonts w:ascii="Arial" w:cs="Arial" w:eastAsia="Arial" w:hAnsi="Arial"/>
                <w:sz w:val="16"/>
                <w:szCs w:val="16"/>
                <w:color w:val="auto"/>
              </w:rPr>
              <w:t>108,210,318 shares issued and outstanding at December 31, 2022 and December</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80" w:type="dxa"/>
            <w:vAlign w:val="bottom"/>
          </w:tcPr>
          <w:p>
            <w:pPr>
              <w:ind w:left="320"/>
              <w:spacing w:after="0"/>
              <w:rPr>
                <w:sz w:val="20"/>
                <w:szCs w:val="20"/>
                <w:color w:val="auto"/>
              </w:rPr>
            </w:pPr>
            <w:r>
              <w:rPr>
                <w:rFonts w:ascii="Arial" w:cs="Arial" w:eastAsia="Arial" w:hAnsi="Arial"/>
                <w:sz w:val="16"/>
                <w:szCs w:val="16"/>
                <w:color w:val="auto"/>
              </w:rPr>
              <w:t>31, 2021, respectively</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2,019,126</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1,666,887</w:t>
            </w:r>
          </w:p>
        </w:tc>
        <w:tc>
          <w:tcPr>
            <w:tcW w:w="100" w:type="dxa"/>
            <w:vAlign w:val="bottom"/>
            <w:shd w:val="clear" w:color="auto" w:fill="CFF0FC"/>
          </w:tcPr>
          <w:p>
            <w:pPr>
              <w:spacing w:after="0"/>
              <w:rPr>
                <w:sz w:val="20"/>
                <w:szCs w:val="20"/>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(10,420 )</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(1,088 )</w:t>
            </w:r>
          </w:p>
        </w:tc>
      </w:tr>
      <w:tr>
        <w:trPr>
          <w:trHeight w:val="233"/>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(1,058,609 )</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(768,100 )</w:t>
            </w:r>
          </w:p>
        </w:tc>
      </w:tr>
      <w:tr>
        <w:trPr>
          <w:trHeight w:val="22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950,218</w:t>
            </w:r>
          </w:p>
        </w:tc>
        <w:tc>
          <w:tcPr>
            <w:tcW w:w="30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897,808</w:t>
            </w:r>
          </w:p>
        </w:tc>
        <w:tc>
          <w:tcPr>
            <w:tcW w:w="100" w:type="dxa"/>
            <w:vAlign w:val="bottom"/>
            <w:tcBorders>
              <w:top w:val="single" w:sz="8" w:color="CFF0FC"/>
            </w:tcBorders>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1,099,771</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1,008,443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-3942715</wp:posOffset>
            </wp:positionV>
            <wp:extent cx="6858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-2742565</wp:posOffset>
            </wp:positionV>
            <wp:extent cx="6858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-2150745</wp:posOffset>
            </wp:positionV>
            <wp:extent cx="6858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-333375</wp:posOffset>
            </wp:positionV>
            <wp:extent cx="6858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4" w:name="page125"/>
    <w:bookmarkEnd w:id="124"/>
    <w:p>
      <w:pPr>
        <w:jc w:val="center"/>
        <w:ind w:right="40"/>
        <w:spacing w:after="0"/>
        <w:rPr>
          <w:sz w:val="20"/>
          <w:szCs w:val="20"/>
          <w:color w:val="auto"/>
        </w:rPr>
      </w:pPr>
      <w:r>
        <w:rPr>
          <w:rFonts w:ascii="Arial" w:cs="Arial" w:eastAsia="Arial" w:hAnsi="Arial"/>
          <w:sz w:val="16"/>
          <w:szCs w:val="16"/>
          <w:color w:val="auto"/>
        </w:rPr>
        <w:t>Relay Therapeutics,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Consolidated Statements of Operations and Comprehensive Loss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share and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87"/>
              </w:rPr>
              <w:t>Year Ended December 31,</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7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6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 and other revenue</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1,381</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3,029</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82,654</w:t>
            </w:r>
          </w:p>
        </w:tc>
        <w:tc>
          <w:tcPr>
            <w:tcW w:w="100" w:type="dxa"/>
            <w:vAlign w:val="bottom"/>
            <w:shd w:val="clear" w:color="auto" w:fill="CFF0FC"/>
          </w:tcPr>
          <w:p>
            <w:pPr>
              <w:spacing w:after="0"/>
              <w:rPr>
                <w:sz w:val="20"/>
                <w:szCs w:val="20"/>
                <w:color w:val="auto"/>
              </w:rPr>
            </w:pPr>
          </w:p>
        </w:tc>
      </w:tr>
      <w:tr>
        <w:trPr>
          <w:trHeight w:val="223"/>
        </w:trPr>
        <w:tc>
          <w:tcPr>
            <w:tcW w:w="67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3,029</w:t>
            </w:r>
          </w:p>
        </w:tc>
        <w:tc>
          <w:tcPr>
            <w:tcW w:w="20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82,654</w:t>
            </w:r>
          </w:p>
        </w:tc>
        <w:tc>
          <w:tcPr>
            <w:tcW w:w="100" w:type="dxa"/>
            <w:vAlign w:val="bottom"/>
            <w:tcBorders>
              <w:top w:val="single" w:sz="8" w:color="CFF0FC"/>
            </w:tcBorders>
          </w:tcPr>
          <w:p>
            <w:pPr>
              <w:spacing w:after="0"/>
              <w:rPr>
                <w:sz w:val="19"/>
                <w:szCs w:val="19"/>
                <w:color w:val="auto"/>
              </w:rPr>
            </w:pPr>
          </w:p>
        </w:tc>
      </w:tr>
      <w:tr>
        <w:trPr>
          <w:trHeight w:val="229"/>
        </w:trPr>
        <w:tc>
          <w:tcPr>
            <w:tcW w:w="6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8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246,355</w:t>
            </w:r>
          </w:p>
        </w:tc>
        <w:tc>
          <w:tcPr>
            <w:tcW w:w="8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172,650</w:t>
            </w:r>
          </w:p>
        </w:tc>
        <w:tc>
          <w:tcPr>
            <w:tcW w:w="2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99,862</w:t>
            </w:r>
          </w:p>
        </w:tc>
        <w:tc>
          <w:tcPr>
            <w:tcW w:w="100" w:type="dxa"/>
            <w:vAlign w:val="bottom"/>
          </w:tcPr>
          <w:p>
            <w:pPr>
              <w:spacing w:after="0"/>
              <w:rPr>
                <w:sz w:val="19"/>
                <w:szCs w:val="19"/>
                <w:color w:val="auto"/>
              </w:rPr>
            </w:pPr>
          </w:p>
        </w:tc>
      </w:tr>
      <w:tr>
        <w:trPr>
          <w:trHeight w:val="239"/>
        </w:trPr>
        <w:tc>
          <w:tcPr>
            <w:tcW w:w="6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In-process research and development expenses</w:t>
            </w:r>
          </w:p>
        </w:tc>
        <w:tc>
          <w:tcPr>
            <w:tcW w:w="3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123,000</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6780" w:type="dxa"/>
            <w:vAlign w:val="bottom"/>
          </w:tcPr>
          <w:p>
            <w:pPr>
              <w:ind w:left="200"/>
              <w:spacing w:after="0"/>
              <w:rPr>
                <w:sz w:val="20"/>
                <w:szCs w:val="20"/>
                <w:color w:val="auto"/>
              </w:rPr>
            </w:pPr>
            <w:r>
              <w:rPr>
                <w:rFonts w:ascii="Arial" w:cs="Arial" w:eastAsia="Arial" w:hAnsi="Arial"/>
                <w:sz w:val="16"/>
                <w:szCs w:val="16"/>
                <w:color w:val="auto"/>
              </w:rPr>
              <w:t>Loss on initial consolidation of variable interest entity</w:t>
            </w:r>
          </w:p>
        </w:tc>
        <w:tc>
          <w:tcPr>
            <w:tcW w:w="3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11,855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6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fair value of contingent consideration liability</w:t>
            </w:r>
          </w:p>
        </w:tc>
        <w:tc>
          <w:tcPr>
            <w:tcW w:w="3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(11,677 )</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2,836</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6780" w:type="dxa"/>
            <w:vAlign w:val="bottom"/>
          </w:tcPr>
          <w:p>
            <w:pPr>
              <w:ind w:left="200"/>
              <w:spacing w:after="0"/>
              <w:rPr>
                <w:sz w:val="20"/>
                <w:szCs w:val="20"/>
                <w:color w:val="auto"/>
              </w:rPr>
            </w:pPr>
            <w:r>
              <w:rPr>
                <w:rFonts w:ascii="Arial" w:cs="Arial" w:eastAsia="Arial" w:hAnsi="Arial"/>
                <w:sz w:val="16"/>
                <w:szCs w:val="16"/>
                <w:color w:val="auto"/>
              </w:rPr>
              <w:t>General and administrative expenses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57,386</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38,588</w:t>
            </w:r>
          </w:p>
        </w:tc>
        <w:tc>
          <w:tcPr>
            <w:tcW w:w="100" w:type="dxa"/>
            <w:vAlign w:val="bottom"/>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300,656</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367,727</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138,450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67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(299,275 )</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(364,698 )</w:t>
            </w: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(55,796 )</w:t>
            </w:r>
          </w:p>
        </w:tc>
      </w:tr>
      <w:tr>
        <w:trPr>
          <w:trHeight w:val="239"/>
        </w:trPr>
        <w:tc>
          <w:tcPr>
            <w:tcW w:w="6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80" w:type="dxa"/>
            <w:vAlign w:val="bottom"/>
          </w:tcPr>
          <w:p>
            <w:pPr>
              <w:ind w:left="20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19"/>
                <w:szCs w:val="19"/>
                <w:color w:val="auto"/>
              </w:rPr>
            </w:pPr>
          </w:p>
        </w:tc>
      </w:tr>
      <w:tr>
        <w:trPr>
          <w:trHeight w:val="233"/>
        </w:trPr>
        <w:tc>
          <w:tcPr>
            <w:tcW w:w="6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income (expense)</w:t>
            </w:r>
          </w:p>
        </w:tc>
        <w:tc>
          <w:tcPr>
            <w:tcW w:w="34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(20 )</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(4 )</w:t>
            </w:r>
          </w:p>
        </w:tc>
        <w:tc>
          <w:tcPr>
            <w:tcW w:w="3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(16 )</w:t>
            </w:r>
          </w:p>
        </w:tc>
      </w:tr>
      <w:tr>
        <w:trPr>
          <w:trHeight w:val="223"/>
        </w:trPr>
        <w:tc>
          <w:tcPr>
            <w:tcW w:w="67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other income, net</w:t>
            </w: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8,766</w:t>
            </w: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826</w:t>
            </w:r>
          </w:p>
        </w:tc>
        <w:tc>
          <w:tcPr>
            <w:tcW w:w="20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3,384</w:t>
            </w:r>
          </w:p>
        </w:tc>
        <w:tc>
          <w:tcPr>
            <w:tcW w:w="100" w:type="dxa"/>
            <w:vAlign w:val="bottom"/>
            <w:tcBorders>
              <w:top w:val="single" w:sz="8" w:color="CFF0FC"/>
            </w:tcBorders>
          </w:tcPr>
          <w:p>
            <w:pPr>
              <w:spacing w:after="0"/>
              <w:rPr>
                <w:sz w:val="19"/>
                <w:szCs w:val="19"/>
                <w:color w:val="auto"/>
              </w:rPr>
            </w:pPr>
          </w:p>
        </w:tc>
      </w:tr>
      <w:tr>
        <w:trPr>
          <w:trHeight w:val="230"/>
        </w:trPr>
        <w:tc>
          <w:tcPr>
            <w:tcW w:w="6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(290,509 )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(363,872 )</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(52,412 )</w:t>
            </w:r>
          </w:p>
        </w:tc>
      </w:tr>
      <w:tr>
        <w:trPr>
          <w:trHeight w:val="220"/>
        </w:trPr>
        <w:tc>
          <w:tcPr>
            <w:tcW w:w="6780" w:type="dxa"/>
            <w:vAlign w:val="bottom"/>
          </w:tcPr>
          <w:p>
            <w:pPr>
              <w:ind w:left="20"/>
              <w:spacing w:after="0"/>
              <w:rPr>
                <w:sz w:val="20"/>
                <w:szCs w:val="20"/>
                <w:color w:val="auto"/>
              </w:rPr>
            </w:pPr>
            <w:r>
              <w:rPr>
                <w:rFonts w:ascii="Arial" w:cs="Arial" w:eastAsia="Arial" w:hAnsi="Arial"/>
                <w:sz w:val="16"/>
                <w:szCs w:val="16"/>
                <w:color w:val="auto"/>
              </w:rPr>
              <w:t>Dividend upon extinguishment of Series C Preferred Stock (Note 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(177,789 )</w:t>
            </w:r>
          </w:p>
        </w:tc>
      </w:tr>
      <w:tr>
        <w:trPr>
          <w:trHeight w:val="23"/>
        </w:trPr>
        <w:tc>
          <w:tcPr>
            <w:tcW w:w="6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(290,509 )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(363,872 )</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(230,201 )</w:t>
            </w: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 per share, basic and 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(2.59 )</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(3.82 )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(5.40 )</w:t>
            </w:r>
          </w:p>
        </w:tc>
      </w:tr>
      <w:tr>
        <w:trPr>
          <w:trHeight w:val="20"/>
        </w:trPr>
        <w:tc>
          <w:tcPr>
            <w:tcW w:w="6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 average shares of common stock, basic and diluted</w:t>
            </w: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112,233,649</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95,136,719</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42,619,582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7"/>
        </w:trPr>
        <w:tc>
          <w:tcPr>
            <w:tcW w:w="6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6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Unrealized holding loss</w:t>
            </w:r>
          </w:p>
        </w:tc>
        <w:tc>
          <w:tcPr>
            <w:tcW w:w="3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(9,332 )</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(1,152 )</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(261 )</w:t>
            </w:r>
          </w:p>
        </w:tc>
      </w:tr>
      <w:tr>
        <w:trPr>
          <w:trHeight w:val="23"/>
        </w:trPr>
        <w:tc>
          <w:tcPr>
            <w:tcW w:w="67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780" w:type="dxa"/>
            <w:vAlign w:val="bottom"/>
          </w:tcPr>
          <w:p>
            <w:pPr>
              <w:ind w:left="380"/>
              <w:spacing w:after="0"/>
              <w:rPr>
                <w:sz w:val="20"/>
                <w:szCs w:val="20"/>
                <w:color w:val="auto"/>
              </w:rPr>
            </w:pPr>
            <w:r>
              <w:rPr>
                <w:rFonts w:ascii="Arial" w:cs="Arial" w:eastAsia="Arial" w:hAnsi="Arial"/>
                <w:sz w:val="16"/>
                <w:szCs w:val="16"/>
                <w:color w:val="auto"/>
              </w:rPr>
              <w:t>Total other comprehensive loss</w:t>
            </w:r>
          </w:p>
        </w:tc>
        <w:tc>
          <w:tcPr>
            <w:tcW w:w="3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(9,332 )</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(1,152 )</w:t>
            </w:r>
          </w:p>
        </w:tc>
        <w:tc>
          <w:tcPr>
            <w:tcW w:w="3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(261 )</w:t>
            </w:r>
          </w:p>
        </w:tc>
      </w:tr>
      <w:tr>
        <w:trPr>
          <w:trHeight w:val="23"/>
        </w:trPr>
        <w:tc>
          <w:tcPr>
            <w:tcW w:w="6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comprehensive loss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(299,841 )</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(365,024 )</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(52,673 )</w:t>
            </w: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-3385820</wp:posOffset>
            </wp:positionV>
            <wp:extent cx="7747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-3385820</wp:posOffset>
            </wp:positionV>
            <wp:extent cx="68580" cy="1631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-3385820</wp:posOffset>
            </wp:positionV>
            <wp:extent cx="68580" cy="1631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-2193925</wp:posOffset>
            </wp:positionV>
            <wp:extent cx="7747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-2193925</wp:posOffset>
            </wp:positionV>
            <wp:extent cx="68580"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-1602105</wp:posOffset>
            </wp:positionV>
            <wp:extent cx="77470"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-1602105</wp:posOffset>
            </wp:positionV>
            <wp:extent cx="6858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62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-993775</wp:posOffset>
            </wp:positionV>
            <wp:extent cx="1954530" cy="196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54530" cy="1968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-650875</wp:posOffset>
            </wp:positionV>
            <wp:extent cx="195453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95453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-334010</wp:posOffset>
            </wp:positionV>
            <wp:extent cx="7747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-334010</wp:posOffset>
            </wp:positionV>
            <wp:extent cx="6858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6"/>
          <w:szCs w:val="16"/>
          <w:color w:val="auto"/>
        </w:rPr>
        <w:t>Relay Therapeutics,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Consolidated Statements of Convertible Preferred Stock and Stockholders’ Equity (Deficit)</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6"/>
              </w:rPr>
              <w:t>Accumulated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80" w:type="dxa"/>
            <w:vAlign w:val="bottom"/>
          </w:tcPr>
          <w:p>
            <w:pPr>
              <w:spacing w:after="0"/>
              <w:rPr>
                <w:sz w:val="10"/>
                <w:szCs w:val="10"/>
                <w:color w:val="auto"/>
              </w:rPr>
            </w:pPr>
          </w:p>
        </w:tc>
        <w:tc>
          <w:tcPr>
            <w:tcW w:w="1780" w:type="dxa"/>
            <w:vAlign w:val="bottom"/>
            <w:tcBorders>
              <w:right w:val="single" w:sz="8" w:color="auto"/>
            </w:tcBorders>
            <w:gridSpan w:val="5"/>
            <w:vMerge w:val="restart"/>
          </w:tcPr>
          <w:p>
            <w:pPr>
              <w:jc w:val="right"/>
              <w:ind w:right="360"/>
              <w:spacing w:after="0"/>
              <w:rPr>
                <w:sz w:val="20"/>
                <w:szCs w:val="20"/>
                <w:color w:val="auto"/>
              </w:rPr>
            </w:pPr>
            <w:r>
              <w:rPr>
                <w:rFonts w:ascii="Arial" w:cs="Arial" w:eastAsia="Arial" w:hAnsi="Arial"/>
                <w:sz w:val="11"/>
                <w:szCs w:val="11"/>
                <w:b w:val="1"/>
                <w:bCs w:val="1"/>
                <w:color w:val="auto"/>
                <w:w w:val="96"/>
              </w:rPr>
              <w:t>Convertible Preferred Stock</w:t>
            </w:r>
          </w:p>
        </w:tc>
        <w:tc>
          <w:tcPr>
            <w:tcW w:w="120" w:type="dxa"/>
            <w:vAlign w:val="bottom"/>
          </w:tcPr>
          <w:p>
            <w:pPr>
              <w:spacing w:after="0"/>
              <w:rPr>
                <w:sz w:val="10"/>
                <w:szCs w:val="10"/>
                <w:color w:val="auto"/>
              </w:rPr>
            </w:pPr>
          </w:p>
        </w:tc>
        <w:tc>
          <w:tcPr>
            <w:tcW w:w="1180" w:type="dxa"/>
            <w:vAlign w:val="bottom"/>
            <w:gridSpan w:val="3"/>
            <w:vMerge w:val="restart"/>
          </w:tcPr>
          <w:p>
            <w:pPr>
              <w:jc w:val="right"/>
              <w:ind w:right="23"/>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92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5"/>
        </w:trPr>
        <w:tc>
          <w:tcPr>
            <w:tcW w:w="3880" w:type="dxa"/>
            <w:vAlign w:val="bottom"/>
          </w:tcPr>
          <w:p>
            <w:pPr>
              <w:spacing w:after="0"/>
              <w:rPr>
                <w:sz w:val="11"/>
                <w:szCs w:val="11"/>
                <w:color w:val="auto"/>
              </w:rPr>
            </w:pPr>
          </w:p>
        </w:tc>
        <w:tc>
          <w:tcPr>
            <w:tcW w:w="1780" w:type="dxa"/>
            <w:vAlign w:val="bottom"/>
            <w:tcBorders>
              <w:right w:val="single" w:sz="8" w:color="auto"/>
            </w:tcBorders>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Paid-In</w:t>
            </w:r>
          </w:p>
        </w:tc>
        <w:tc>
          <w:tcPr>
            <w:tcW w:w="10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87"/>
              </w:rPr>
              <w:t>Comprehensive</w:t>
            </w:r>
          </w:p>
        </w:tc>
        <w:tc>
          <w:tcPr>
            <w:tcW w:w="60" w:type="dxa"/>
            <w:vAlign w:val="bottom"/>
          </w:tcPr>
          <w:p>
            <w:pPr>
              <w:spacing w:after="0"/>
              <w:rPr>
                <w:sz w:val="11"/>
                <w:szCs w:val="1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86"/>
              </w:rPr>
              <w:t>Accumulated</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15"/>
        </w:trPr>
        <w:tc>
          <w:tcPr>
            <w:tcW w:w="388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Shares</w:t>
            </w:r>
          </w:p>
        </w:tc>
        <w:tc>
          <w:tcPr>
            <w:tcW w:w="84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b w:val="1"/>
                <w:bCs w:val="1"/>
                <w:color w:val="auto"/>
                <w:w w:val="99"/>
              </w:rPr>
              <w:t>Par Value</w:t>
            </w:r>
          </w:p>
        </w:tc>
        <w:tc>
          <w:tcPr>
            <w:tcW w:w="120" w:type="dxa"/>
            <w:vAlign w:val="bottom"/>
          </w:tcPr>
          <w:p>
            <w:pPr>
              <w:spacing w:after="0"/>
              <w:rPr>
                <w:sz w:val="12"/>
                <w:szCs w:val="12"/>
                <w:color w:val="auto"/>
              </w:rPr>
            </w:pPr>
          </w:p>
        </w:tc>
        <w:tc>
          <w:tcPr>
            <w:tcW w:w="680" w:type="dxa"/>
            <w:vAlign w:val="bottom"/>
          </w:tcPr>
          <w:p>
            <w:pPr>
              <w:jc w:val="right"/>
              <w:ind w:right="122"/>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560" w:type="dxa"/>
            <w:vAlign w:val="bottom"/>
            <w:gridSpan w:val="2"/>
          </w:tcPr>
          <w:p>
            <w:pPr>
              <w:jc w:val="right"/>
              <w:ind w:right="2"/>
              <w:spacing w:after="0"/>
              <w:rPr>
                <w:sz w:val="20"/>
                <w:szCs w:val="20"/>
                <w:color w:val="auto"/>
              </w:rPr>
            </w:pPr>
            <w:r>
              <w:rPr>
                <w:rFonts w:ascii="Arial" w:cs="Arial" w:eastAsia="Arial" w:hAnsi="Arial"/>
                <w:sz w:val="11"/>
                <w:szCs w:val="11"/>
                <w:b w:val="1"/>
                <w:bCs w:val="1"/>
                <w:color w:val="auto"/>
                <w:w w:val="95"/>
              </w:rPr>
              <w:t>Par Value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Capital</w:t>
            </w:r>
          </w:p>
        </w:tc>
        <w:tc>
          <w:tcPr>
            <w:tcW w:w="100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8"/>
              </w:rPr>
              <w:t>Income/(Loss)</w:t>
            </w:r>
          </w:p>
        </w:tc>
        <w:tc>
          <w:tcPr>
            <w:tcW w:w="6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140"/>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Balances at December 31, 2019</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212,642,85</w:t>
            </w:r>
          </w:p>
        </w:tc>
        <w:tc>
          <w:tcPr>
            <w:tcW w:w="2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537,781</w:t>
            </w:r>
          </w:p>
        </w:tc>
        <w:tc>
          <w:tcPr>
            <w:tcW w:w="26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4,037,476</w:t>
            </w:r>
          </w:p>
        </w:tc>
        <w:tc>
          <w:tcPr>
            <w:tcW w:w="500" w:type="dxa"/>
            <w:vAlign w:val="bottom"/>
            <w:gridSpan w:val="2"/>
            <w:shd w:val="clear" w:color="auto" w:fill="CFF0FC"/>
          </w:tcPr>
          <w:p>
            <w:pPr>
              <w:jc w:val="right"/>
              <w:ind w:right="123"/>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8,715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325</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(189,482 )</w:t>
            </w:r>
          </w:p>
        </w:tc>
        <w:tc>
          <w:tcPr>
            <w:tcW w:w="100" w:type="dxa"/>
            <w:vAlign w:val="bottom"/>
            <w:shd w:val="clear" w:color="auto" w:fill="CFF0FC"/>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(180,438 )</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Extinguishment upon modification of Series C Preferred Stock (Note 9)</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177,789</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2"/>
                <w:szCs w:val="12"/>
                <w:color w:val="auto"/>
              </w:rPr>
              <w:t>(15,455 )</w:t>
            </w: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(162,334 )</w:t>
            </w:r>
          </w:p>
        </w:tc>
        <w:tc>
          <w:tcPr>
            <w:tcW w:w="1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(177,789 )</w:t>
            </w:r>
          </w:p>
        </w:tc>
        <w:tc>
          <w:tcPr>
            <w:tcW w:w="0" w:type="dxa"/>
            <w:vAlign w:val="bottom"/>
          </w:tcPr>
          <w:p>
            <w:pPr>
              <w:spacing w:after="0"/>
              <w:rPr>
                <w:sz w:val="1"/>
                <w:szCs w:val="1"/>
                <w:color w:val="auto"/>
              </w:rPr>
            </w:pPr>
          </w:p>
        </w:tc>
      </w:tr>
      <w:tr>
        <w:trPr>
          <w:trHeight w:val="146"/>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w w:val="96"/>
              </w:rPr>
              <w:t>Conversion of preferred stock into common stock upon initial public offering</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(212,642,8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6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57 )</w:t>
            </w:r>
          </w:p>
        </w:tc>
        <w:tc>
          <w:tcPr>
            <w:tcW w:w="120" w:type="dxa"/>
            <w:vAlign w:val="bottom"/>
            <w:shd w:val="clear" w:color="auto" w:fill="CFF0FC"/>
          </w:tcPr>
          <w:p>
            <w:pPr>
              <w:spacing w:after="0"/>
              <w:rPr>
                <w:sz w:val="13"/>
                <w:szCs w:val="13"/>
                <w:color w:val="auto"/>
              </w:rPr>
            </w:pPr>
          </w:p>
        </w:tc>
        <w:tc>
          <w:tcPr>
            <w:tcW w:w="7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2"/>
                <w:szCs w:val="12"/>
                <w:color w:val="auto"/>
                <w:w w:val="91"/>
              </w:rPr>
              <w:t>(715,570 )</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61,992,534</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715,508</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715,570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Issuance of common stock in initial public offering, net</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23,000,000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425,270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425,293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297,000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Vesting of restricted common stock</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579,825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Stock-based compensation expense</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31,960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31,960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Unrealized loss on investments</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(261 )</w:t>
            </w:r>
          </w:p>
        </w:tc>
        <w:tc>
          <w:tcPr>
            <w:tcW w:w="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(261 )</w:t>
            </w:r>
          </w:p>
        </w:tc>
        <w:tc>
          <w:tcPr>
            <w:tcW w:w="0" w:type="dxa"/>
            <w:vAlign w:val="bottom"/>
          </w:tcPr>
          <w:p>
            <w:pPr>
              <w:spacing w:after="0"/>
              <w:rPr>
                <w:sz w:val="1"/>
                <w:szCs w:val="1"/>
                <w:color w:val="auto"/>
              </w:rPr>
            </w:pPr>
          </w:p>
        </w:tc>
      </w:tr>
      <w:tr>
        <w:trPr>
          <w:trHeight w:val="182"/>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(52,412 )</w:t>
            </w:r>
          </w:p>
        </w:tc>
        <w:tc>
          <w:tcPr>
            <w:tcW w:w="1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(52,412 )</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tcPr>
          <w:p>
            <w:pPr>
              <w:ind w:left="20"/>
              <w:spacing w:after="0"/>
              <w:rPr>
                <w:sz w:val="20"/>
                <w:szCs w:val="20"/>
                <w:color w:val="auto"/>
              </w:rPr>
            </w:pPr>
            <w:r>
              <w:rPr>
                <w:rFonts w:ascii="Arial" w:cs="Arial" w:eastAsia="Arial" w:hAnsi="Arial"/>
                <w:sz w:val="12"/>
                <w:szCs w:val="12"/>
                <w:color w:val="auto"/>
              </w:rPr>
              <w:t>Balances at December 31, 2020</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89,906,835</w:t>
            </w:r>
          </w:p>
        </w:tc>
        <w:tc>
          <w:tcPr>
            <w:tcW w:w="24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90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1,167,367</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64</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(404,228 )</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763,293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996,536</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Issuance of common stock upon acquisition of ZebiAI</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1,914,219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62,990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62,992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common stock in follow-on offering, net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15,188,679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382,195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382,210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Issuance of common stock under ESPP</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43,685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1,140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Vesting of restricted common stock</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84,489</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Vesting of restricted stock units</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75,875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Stock-based compensation expense</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48,454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48,454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Unrealized loss on investments</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(1,152 )</w:t>
            </w:r>
          </w:p>
        </w:tc>
        <w:tc>
          <w:tcPr>
            <w:tcW w:w="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(1,152 )</w:t>
            </w:r>
          </w:p>
        </w:tc>
        <w:tc>
          <w:tcPr>
            <w:tcW w:w="0" w:type="dxa"/>
            <w:vAlign w:val="bottom"/>
          </w:tcPr>
          <w:p>
            <w:pPr>
              <w:spacing w:after="0"/>
              <w:rPr>
                <w:sz w:val="1"/>
                <w:szCs w:val="1"/>
                <w:color w:val="auto"/>
              </w:rPr>
            </w:pPr>
          </w:p>
        </w:tc>
      </w:tr>
      <w:tr>
        <w:trPr>
          <w:trHeight w:val="202"/>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Net loss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7"/>
                <w:szCs w:val="17"/>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(363,872 )</w:t>
            </w:r>
          </w:p>
        </w:tc>
        <w:tc>
          <w:tcPr>
            <w:tcW w:w="1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(363,872 )</w:t>
            </w:r>
          </w:p>
        </w:tc>
        <w:tc>
          <w:tcPr>
            <w:tcW w:w="0" w:type="dxa"/>
            <w:vAlign w:val="bottom"/>
          </w:tcPr>
          <w:p>
            <w:pPr>
              <w:spacing w:after="0"/>
              <w:rPr>
                <w:sz w:val="1"/>
                <w:szCs w:val="1"/>
                <w:color w:val="auto"/>
              </w:rPr>
            </w:pPr>
          </w:p>
        </w:tc>
      </w:tr>
      <w:tr>
        <w:trPr>
          <w:trHeight w:val="126"/>
        </w:trPr>
        <w:tc>
          <w:tcPr>
            <w:tcW w:w="3880" w:type="dxa"/>
            <w:vAlign w:val="bottom"/>
            <w:tcBorders>
              <w:top w:val="single" w:sz="8" w:color="CFF0FC"/>
            </w:tcBorders>
          </w:tcPr>
          <w:p>
            <w:pPr>
              <w:ind w:left="20"/>
              <w:spacing w:after="0" w:line="126" w:lineRule="exact"/>
              <w:rPr>
                <w:sz w:val="20"/>
                <w:szCs w:val="20"/>
                <w:color w:val="auto"/>
              </w:rPr>
            </w:pPr>
            <w:r>
              <w:rPr>
                <w:rFonts w:ascii="Arial" w:cs="Arial" w:eastAsia="Arial" w:hAnsi="Arial"/>
                <w:sz w:val="12"/>
                <w:szCs w:val="12"/>
                <w:color w:val="auto"/>
              </w:rPr>
              <w:t>Balances at December 31, 2021</w:t>
            </w: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Borders>
              <w:top w:val="single" w:sz="8" w:color="CFF0FC"/>
              <w:right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color w:val="auto"/>
              </w:rPr>
              <w:t>108,210,31</w:t>
            </w:r>
          </w:p>
        </w:tc>
        <w:tc>
          <w:tcPr>
            <w:tcW w:w="24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8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w:t>
            </w:r>
          </w:p>
        </w:tc>
        <w:tc>
          <w:tcPr>
            <w:tcW w:w="24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2"/>
                <w:szCs w:val="12"/>
                <w:color w:val="auto"/>
                <w:w w:val="89"/>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109</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1,666,887</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(1,088 )</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(768,100 )</w:t>
            </w:r>
          </w:p>
        </w:tc>
        <w:tc>
          <w:tcPr>
            <w:tcW w:w="100" w:type="dxa"/>
            <w:vAlign w:val="bottom"/>
          </w:tcPr>
          <w:p>
            <w:pPr>
              <w:ind w:left="2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897,808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common stock upon exercise of stock options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757,873</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3,479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Issuance of common stock upon milestone achievement</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301,939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6,203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6,203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common stock in follow-on offering, net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11,320,755</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284,733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284,744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Issuance of common stock under ESPP</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123,019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1,686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Vesting of restricted stock units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398,330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56,138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56,138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shd w:val="clear" w:color="auto" w:fill="CFF0FC"/>
          </w:tcPr>
          <w:p>
            <w:pPr>
              <w:ind w:left="20"/>
              <w:spacing w:after="0"/>
              <w:rPr>
                <w:sz w:val="20"/>
                <w:szCs w:val="20"/>
                <w:color w:val="auto"/>
              </w:rPr>
            </w:pPr>
            <w:r>
              <w:rPr>
                <w:rFonts w:ascii="Arial" w:cs="Arial" w:eastAsia="Arial" w:hAnsi="Arial"/>
                <w:sz w:val="12"/>
                <w:szCs w:val="12"/>
                <w:color w:val="auto"/>
              </w:rPr>
              <w:t>Unrealized loss on investments</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7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(9,332 )</w:t>
            </w:r>
          </w:p>
        </w:tc>
        <w:tc>
          <w:tcPr>
            <w:tcW w:w="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(9,332 )</w:t>
            </w:r>
          </w:p>
        </w:tc>
        <w:tc>
          <w:tcPr>
            <w:tcW w:w="0" w:type="dxa"/>
            <w:vAlign w:val="bottom"/>
          </w:tcPr>
          <w:p>
            <w:pPr>
              <w:spacing w:after="0"/>
              <w:rPr>
                <w:sz w:val="1"/>
                <w:szCs w:val="1"/>
                <w:color w:val="auto"/>
              </w:rPr>
            </w:pPr>
          </w:p>
        </w:tc>
      </w:tr>
      <w:tr>
        <w:trPr>
          <w:trHeight w:val="159"/>
        </w:trPr>
        <w:tc>
          <w:tcPr>
            <w:tcW w:w="3880" w:type="dxa"/>
            <w:vAlign w:val="bottom"/>
          </w:tcPr>
          <w:p>
            <w:pPr>
              <w:ind w:left="20"/>
              <w:spacing w:after="0"/>
              <w:rPr>
                <w:sz w:val="20"/>
                <w:szCs w:val="20"/>
                <w:color w:val="auto"/>
              </w:rPr>
            </w:pPr>
            <w:r>
              <w:rPr>
                <w:rFonts w:ascii="Arial" w:cs="Arial" w:eastAsia="Arial" w:hAnsi="Arial"/>
                <w:sz w:val="12"/>
                <w:szCs w:val="12"/>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(290,509 )</w:t>
            </w:r>
          </w:p>
        </w:tc>
        <w:tc>
          <w:tcPr>
            <w:tcW w:w="10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(290,509 )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880" w:type="dxa"/>
            <w:vAlign w:val="bottom"/>
            <w:shd w:val="clear" w:color="auto" w:fill="CFF0FC"/>
          </w:tcPr>
          <w:p>
            <w:pPr>
              <w:ind w:left="20"/>
              <w:spacing w:after="0" w:line="126" w:lineRule="exact"/>
              <w:rPr>
                <w:sz w:val="20"/>
                <w:szCs w:val="20"/>
                <w:color w:val="auto"/>
              </w:rPr>
            </w:pPr>
            <w:r>
              <w:rPr>
                <w:rFonts w:ascii="Arial" w:cs="Arial" w:eastAsia="Arial" w:hAnsi="Arial"/>
                <w:sz w:val="12"/>
                <w:szCs w:val="12"/>
                <w:color w:val="auto"/>
              </w:rPr>
              <w:t>Balances at December 31, 2022</w:t>
            </w: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6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6" w:lineRule="exact"/>
              <w:rPr>
                <w:sz w:val="20"/>
                <w:szCs w:val="20"/>
                <w:color w:val="auto"/>
              </w:rPr>
            </w:pPr>
            <w:r>
              <w:rPr>
                <w:rFonts w:ascii="Arial" w:cs="Arial" w:eastAsia="Arial" w:hAnsi="Arial"/>
                <w:sz w:val="12"/>
                <w:szCs w:val="12"/>
                <w:color w:val="auto"/>
              </w:rPr>
              <w:t>121,112,23</w:t>
            </w:r>
          </w:p>
        </w:tc>
        <w:tc>
          <w:tcPr>
            <w:tcW w:w="2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23"/>
              <w:spacing w:after="0"/>
              <w:rPr>
                <w:sz w:val="20"/>
                <w:szCs w:val="20"/>
                <w:color w:val="auto"/>
              </w:rPr>
            </w:pPr>
            <w:r>
              <w:rPr>
                <w:rFonts w:ascii="Arial" w:cs="Arial" w:eastAsia="Arial" w:hAnsi="Arial"/>
                <w:sz w:val="12"/>
                <w:szCs w:val="12"/>
                <w:color w:val="auto"/>
                <w:w w:val="8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2,019,126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(10,420 )</w:t>
            </w: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(1,058,609 )</w:t>
            </w:r>
          </w:p>
        </w:tc>
        <w:tc>
          <w:tcPr>
            <w:tcW w:w="100" w:type="dxa"/>
            <w:vAlign w:val="bottom"/>
            <w:shd w:val="clear" w:color="auto" w:fill="CFF0FC"/>
          </w:tcPr>
          <w:p>
            <w:pPr>
              <w:ind w:left="2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950,218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-2382520</wp:posOffset>
            </wp:positionV>
            <wp:extent cx="4225925"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25925" cy="15430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-1302385</wp:posOffset>
            </wp:positionV>
            <wp:extent cx="4225925" cy="240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25925" cy="24003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-24765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16"/>
          <w:szCs w:val="16"/>
          <w:color w:val="auto"/>
        </w:rPr>
        <w:t>Relay Therapeutics,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Consolidated Statements of Cash Flows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0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83"/>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color w:val="auto"/>
              </w:rPr>
              <w:t>Net loss</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(290,509 )</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(363,872 )</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(52,412 )</w:t>
            </w:r>
          </w:p>
        </w:tc>
      </w:tr>
      <w:tr>
        <w:trPr>
          <w:trHeight w:val="189"/>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56,138</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48,454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31,960</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Depreciation expense</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4,130</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3,925</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3,549</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color w:val="auto"/>
              </w:rPr>
              <w:t>Net amortization of premiums and discounts on investments</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1,182</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2,052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(416 )</w:t>
            </w:r>
          </w:p>
        </w:tc>
      </w:tr>
      <w:tr>
        <w:trPr>
          <w:trHeight w:val="189"/>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Acquired in-process research and development</w:t>
            </w:r>
          </w:p>
        </w:tc>
        <w:tc>
          <w:tcPr>
            <w:tcW w:w="3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123,000</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color w:val="auto"/>
              </w:rPr>
              <w:t>Loss on initial consolidation of variable interest entity</w:t>
            </w:r>
          </w:p>
        </w:tc>
        <w:tc>
          <w:tcPr>
            <w:tcW w:w="34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11,855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Change in fair value of contingent consideration liability</w:t>
            </w:r>
          </w:p>
        </w:tc>
        <w:tc>
          <w:tcPr>
            <w:tcW w:w="3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(11,677 )</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2,836</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color w:val="auto"/>
              </w:rPr>
              <w:t>Changes in assets and liabilities: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Accounts receivable</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74,677</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(75,000 )</w:t>
            </w:r>
          </w:p>
        </w:tc>
      </w:tr>
      <w:tr>
        <w:trPr>
          <w:trHeight w:val="189"/>
        </w:trPr>
        <w:tc>
          <w:tcPr>
            <w:tcW w:w="7020" w:type="dxa"/>
            <w:vAlign w:val="bottom"/>
          </w:tcPr>
          <w:p>
            <w:pPr>
              <w:ind w:left="200"/>
              <w:spacing w:after="0"/>
              <w:rPr>
                <w:sz w:val="20"/>
                <w:szCs w:val="20"/>
                <w:color w:val="auto"/>
              </w:rPr>
            </w:pPr>
            <w:r>
              <w:rPr>
                <w:rFonts w:ascii="Arial" w:cs="Arial" w:eastAsia="Arial" w:hAnsi="Arial"/>
                <w:sz w:val="15"/>
                <w:szCs w:val="15"/>
                <w:color w:val="auto"/>
              </w:rPr>
              <w:t>Contract asset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(376 )</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3,117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(7,654 )</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(2,140 )</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(2,681 )</w:t>
            </w: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(4,665 )</w:t>
            </w:r>
          </w:p>
        </w:tc>
      </w:tr>
      <w:tr>
        <w:trPr>
          <w:trHeight w:val="189"/>
        </w:trPr>
        <w:tc>
          <w:tcPr>
            <w:tcW w:w="7020" w:type="dxa"/>
            <w:vAlign w:val="bottom"/>
          </w:tcPr>
          <w:p>
            <w:pPr>
              <w:ind w:left="200"/>
              <w:spacing w:after="0"/>
              <w:rPr>
                <w:sz w:val="20"/>
                <w:szCs w:val="20"/>
                <w:color w:val="auto"/>
              </w:rPr>
            </w:pPr>
            <w:r>
              <w:rPr>
                <w:rFonts w:ascii="Arial" w:cs="Arial" w:eastAsia="Arial" w:hAnsi="Arial"/>
                <w:sz w:val="15"/>
                <w:szCs w:val="15"/>
                <w:color w:val="auto"/>
              </w:rPr>
              <w:t>Operating lease assets and liabilities, net</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(8,132 )</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571</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Other assets</w:t>
            </w:r>
          </w:p>
        </w:tc>
        <w:tc>
          <w:tcPr>
            <w:tcW w:w="3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(22 )</w:t>
            </w:r>
          </w:p>
        </w:tc>
      </w:tr>
      <w:tr>
        <w:trPr>
          <w:trHeight w:val="189"/>
        </w:trPr>
        <w:tc>
          <w:tcPr>
            <w:tcW w:w="702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1,989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(410 )</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Accrued expenses and other liabilities</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20,056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21,002</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2,010</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(248 )</w:t>
            </w:r>
          </w:p>
        </w:tc>
        <w:tc>
          <w:tcPr>
            <w:tcW w:w="3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0"/>
        </w:trPr>
        <w:tc>
          <w:tcPr>
            <w:tcW w:w="7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cash used in operating activities</w:t>
            </w:r>
          </w:p>
        </w:tc>
        <w:tc>
          <w:tcPr>
            <w:tcW w:w="3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(229,490 )</w:t>
            </w:r>
          </w:p>
        </w:tc>
        <w:tc>
          <w:tcPr>
            <w:tcW w:w="3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(74,406 )</w:t>
            </w: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(102,489 )</w:t>
            </w: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Purchases of property and equipment</w:t>
            </w:r>
          </w:p>
        </w:tc>
        <w:tc>
          <w:tcPr>
            <w:tcW w:w="3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(9,062 )</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(3,471 )</w:t>
            </w:r>
          </w:p>
        </w:tc>
        <w:tc>
          <w:tcPr>
            <w:tcW w:w="22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(1,931 )</w:t>
            </w: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color w:val="auto"/>
              </w:rPr>
              <w:t>Purchases of investments</w:t>
            </w:r>
          </w:p>
        </w:tc>
        <w:tc>
          <w:tcPr>
            <w:tcW w:w="3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(535,419 )</w:t>
            </w:r>
          </w:p>
        </w:tc>
        <w:tc>
          <w:tcPr>
            <w:tcW w:w="3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(980,665 )</w:t>
            </w:r>
          </w:p>
        </w:tc>
        <w:tc>
          <w:tcPr>
            <w:tcW w:w="22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(266,455 )</w:t>
            </w:r>
          </w:p>
        </w:tc>
      </w:tr>
      <w:tr>
        <w:trPr>
          <w:trHeight w:val="189"/>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Proceeds from maturities of investments</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355,736</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529,923</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350,058</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color w:val="auto"/>
              </w:rPr>
              <w:t>Cash paid for acquisition of ZebiAI, net of cash acquired</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(25,298 )</w:t>
            </w:r>
          </w:p>
        </w:tc>
        <w:tc>
          <w:tcPr>
            <w:tcW w:w="2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0"/>
        </w:trPr>
        <w:tc>
          <w:tcPr>
            <w:tcW w:w="70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cash (used in) provided by investing activities</w:t>
            </w:r>
          </w:p>
        </w:tc>
        <w:tc>
          <w:tcPr>
            <w:tcW w:w="3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(188,745 )</w:t>
            </w:r>
          </w:p>
        </w:tc>
        <w:tc>
          <w:tcPr>
            <w:tcW w:w="3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(479,511 )</w:t>
            </w: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81,672</w:t>
            </w:r>
          </w:p>
        </w:tc>
        <w:tc>
          <w:tcPr>
            <w:tcW w:w="100" w:type="dxa"/>
            <w:vAlign w:val="bottom"/>
            <w:shd w:val="clear" w:color="auto" w:fill="CFF0FC"/>
          </w:tcPr>
          <w:p>
            <w:pPr>
              <w:spacing w:after="0"/>
              <w:rPr>
                <w:sz w:val="15"/>
                <w:szCs w:val="15"/>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Proceeds from issuance of common stock in initial public offering, net</w:t>
            </w:r>
          </w:p>
        </w:tc>
        <w:tc>
          <w:tcPr>
            <w:tcW w:w="34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425,293</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color w:val="auto"/>
              </w:rPr>
              <w:t>Proceeds from issuance of common stock in follow-on offering, net</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284,744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382,210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Proceeds from issuance of common stock upon exercise of stock options</w:t>
            </w:r>
          </w:p>
        </w:tc>
        <w:tc>
          <w:tcPr>
            <w:tcW w:w="34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3,480</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4,739</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1,216</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5"/>
                <w:szCs w:val="15"/>
                <w:color w:val="auto"/>
              </w:rPr>
              <w:t>Proceeds from issuance of common stock under ESPP</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1,686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1,141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Net cash provided by financing activities</w:t>
            </w: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289,910</w:t>
            </w:r>
          </w:p>
        </w:tc>
        <w:tc>
          <w:tcPr>
            <w:tcW w:w="2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388,090</w:t>
            </w: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426,509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020" w:type="dxa"/>
            <w:vAlign w:val="bottom"/>
          </w:tcPr>
          <w:p>
            <w:pPr>
              <w:ind w:left="20"/>
              <w:spacing w:after="0"/>
              <w:rPr>
                <w:sz w:val="20"/>
                <w:szCs w:val="20"/>
                <w:color w:val="auto"/>
              </w:rPr>
            </w:pPr>
            <w:r>
              <w:rPr>
                <w:rFonts w:ascii="Arial" w:cs="Arial" w:eastAsia="Arial" w:hAnsi="Arial"/>
                <w:sz w:val="15"/>
                <w:szCs w:val="15"/>
                <w:b w:val="1"/>
                <w:bCs w:val="1"/>
                <w:color w:val="auto"/>
              </w:rPr>
              <w:t>Net (decrease) increase in cash, cash equivalents, and restricted cash</w:t>
            </w:r>
          </w:p>
        </w:tc>
        <w:tc>
          <w:tcPr>
            <w:tcW w:w="34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(128,325 )</w:t>
            </w:r>
          </w:p>
        </w:tc>
        <w:tc>
          <w:tcPr>
            <w:tcW w:w="3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(165,827 )</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405,692</w:t>
            </w:r>
          </w:p>
        </w:tc>
        <w:tc>
          <w:tcPr>
            <w:tcW w:w="100" w:type="dxa"/>
            <w:vAlign w:val="bottom"/>
          </w:tcPr>
          <w:p>
            <w:pPr>
              <w:spacing w:after="0"/>
              <w:rPr>
                <w:sz w:val="15"/>
                <w:szCs w:val="15"/>
                <w:color w:val="auto"/>
              </w:rPr>
            </w:pPr>
          </w:p>
        </w:tc>
      </w:tr>
      <w:tr>
        <w:trPr>
          <w:trHeight w:val="189"/>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3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282,697</w:t>
            </w:r>
          </w:p>
        </w:tc>
        <w:tc>
          <w:tcPr>
            <w:tcW w:w="2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448,524</w:t>
            </w:r>
          </w:p>
        </w:tc>
        <w:tc>
          <w:tcPr>
            <w:tcW w:w="2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42,832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02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154,372</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282,697</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448,524</w:t>
            </w:r>
          </w:p>
        </w:tc>
        <w:tc>
          <w:tcPr>
            <w:tcW w:w="100" w:type="dxa"/>
            <w:vAlign w:val="bottom"/>
          </w:tcPr>
          <w:p>
            <w:pPr>
              <w:spacing w:after="0"/>
              <w:rPr>
                <w:sz w:val="15"/>
                <w:szCs w:val="15"/>
                <w:color w:val="auto"/>
              </w:rPr>
            </w:pPr>
          </w:p>
        </w:tc>
      </w:tr>
      <w:tr>
        <w:trPr>
          <w:trHeight w:val="183"/>
        </w:trPr>
        <w:tc>
          <w:tcPr>
            <w:tcW w:w="70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Supplemental disclosure of non-cash activities:</w:t>
            </w: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5"/>
                <w:szCs w:val="15"/>
                <w:color w:val="auto"/>
              </w:rPr>
              <w:t>Extinguishment upon modification of Series C Preferred Stock (Note 9)</w:t>
            </w:r>
          </w:p>
        </w:tc>
        <w:tc>
          <w:tcPr>
            <w:tcW w:w="340" w:type="dxa"/>
            <w:vAlign w:val="bottom"/>
          </w:tcPr>
          <w:p>
            <w:pPr>
              <w:jc w:val="right"/>
              <w:ind w:right="164"/>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(177,789 )</w:t>
            </w:r>
          </w:p>
        </w:tc>
      </w:tr>
      <w:tr>
        <w:trPr>
          <w:trHeight w:val="20"/>
        </w:trPr>
        <w:tc>
          <w:tcPr>
            <w:tcW w:w="7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20" w:type="dxa"/>
            <w:vAlign w:val="bottom"/>
            <w:shd w:val="clear" w:color="auto" w:fill="CFF0FC"/>
          </w:tcPr>
          <w:p>
            <w:pPr>
              <w:ind w:left="200"/>
              <w:spacing w:after="0" w:line="169" w:lineRule="exact"/>
              <w:rPr>
                <w:sz w:val="20"/>
                <w:szCs w:val="20"/>
                <w:color w:val="auto"/>
              </w:rPr>
            </w:pPr>
            <w:r>
              <w:rPr>
                <w:rFonts w:ascii="Arial" w:cs="Arial" w:eastAsia="Arial" w:hAnsi="Arial"/>
                <w:sz w:val="15"/>
                <w:szCs w:val="15"/>
                <w:color w:val="auto"/>
              </w:rPr>
              <w:t>Conversion of preferred stock into common stock upon initial public offering</w:t>
            </w:r>
          </w:p>
        </w:tc>
        <w:tc>
          <w:tcPr>
            <w:tcW w:w="340" w:type="dxa"/>
            <w:vAlign w:val="bottom"/>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28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715,508</w:t>
            </w:r>
          </w:p>
        </w:tc>
        <w:tc>
          <w:tcPr>
            <w:tcW w:w="100" w:type="dxa"/>
            <w:vAlign w:val="bottom"/>
            <w:shd w:val="clear" w:color="auto" w:fill="CFF0FC"/>
          </w:tcPr>
          <w:p>
            <w:pPr>
              <w:spacing w:after="0"/>
              <w:rPr>
                <w:sz w:val="18"/>
                <w:szCs w:val="18"/>
                <w:color w:val="auto"/>
              </w:rPr>
            </w:pPr>
          </w:p>
        </w:tc>
      </w:tr>
      <w:tr>
        <w:trPr>
          <w:trHeight w:val="169"/>
        </w:trPr>
        <w:tc>
          <w:tcPr>
            <w:tcW w:w="7020" w:type="dxa"/>
            <w:vAlign w:val="bottom"/>
            <w:tcBorders>
              <w:top w:val="single" w:sz="8" w:color="CFF0FC"/>
            </w:tcBorders>
          </w:tcPr>
          <w:p>
            <w:pPr>
              <w:ind w:left="200"/>
              <w:spacing w:after="0" w:line="169" w:lineRule="exact"/>
              <w:rPr>
                <w:sz w:val="20"/>
                <w:szCs w:val="20"/>
                <w:color w:val="auto"/>
              </w:rPr>
            </w:pPr>
            <w:r>
              <w:rPr>
                <w:rFonts w:ascii="Arial" w:cs="Arial" w:eastAsia="Arial" w:hAnsi="Arial"/>
                <w:sz w:val="15"/>
                <w:szCs w:val="15"/>
                <w:color w:val="auto"/>
              </w:rPr>
              <w:t>Additions of property and equipment in accounts payable and accrued expenses</w:t>
            </w:r>
          </w:p>
        </w:tc>
        <w:tc>
          <w:tcPr>
            <w:tcW w:w="340" w:type="dxa"/>
            <w:vAlign w:val="bottom"/>
            <w:tcBorders>
              <w:top w:val="single" w:sz="8" w:color="auto"/>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159</w:t>
            </w:r>
          </w:p>
        </w:tc>
        <w:tc>
          <w:tcPr>
            <w:tcW w:w="24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1,010</w:t>
            </w:r>
          </w:p>
        </w:tc>
        <w:tc>
          <w:tcPr>
            <w:tcW w:w="20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519</w:t>
            </w:r>
          </w:p>
        </w:tc>
        <w:tc>
          <w:tcPr>
            <w:tcW w:w="100" w:type="dxa"/>
            <w:vAlign w:val="bottom"/>
            <w:tcBorders>
              <w:top w:val="single" w:sz="8" w:color="CFF0FC"/>
            </w:tcBorders>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20" w:type="dxa"/>
            <w:vAlign w:val="bottom"/>
            <w:tcBorders>
              <w:bottom w:val="single" w:sz="8" w:color="CFF0FC"/>
            </w:tcBorders>
            <w:shd w:val="clear" w:color="auto" w:fill="CFF0FC"/>
          </w:tcPr>
          <w:p>
            <w:pPr>
              <w:ind w:left="200"/>
              <w:spacing w:after="0" w:line="169" w:lineRule="exact"/>
              <w:rPr>
                <w:sz w:val="20"/>
                <w:szCs w:val="20"/>
                <w:color w:val="auto"/>
              </w:rPr>
            </w:pPr>
            <w:r>
              <w:rPr>
                <w:rFonts w:ascii="Arial" w:cs="Arial" w:eastAsia="Arial" w:hAnsi="Arial"/>
                <w:sz w:val="15"/>
                <w:szCs w:val="15"/>
                <w:color w:val="auto"/>
              </w:rPr>
              <w:t>Reclassification of restricted stock liability to additional paid-in capital</w:t>
            </w:r>
          </w:p>
        </w:tc>
        <w:tc>
          <w:tcPr>
            <w:tcW w:w="340" w:type="dxa"/>
            <w:vAlign w:val="bottom"/>
            <w:tcBorders>
              <w:bottom w:val="single" w:sz="8" w:color="auto"/>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0"/>
        </w:trPr>
        <w:tc>
          <w:tcPr>
            <w:tcW w:w="7020" w:type="dxa"/>
            <w:vAlign w:val="bottom"/>
          </w:tcPr>
          <w:p>
            <w:pPr>
              <w:ind w:left="200"/>
              <w:spacing w:after="0" w:line="169" w:lineRule="exact"/>
              <w:rPr>
                <w:sz w:val="20"/>
                <w:szCs w:val="20"/>
                <w:color w:val="auto"/>
              </w:rPr>
            </w:pPr>
            <w:r>
              <w:rPr>
                <w:rFonts w:ascii="Arial" w:cs="Arial" w:eastAsia="Arial" w:hAnsi="Arial"/>
                <w:sz w:val="15"/>
                <w:szCs w:val="15"/>
                <w:color w:val="auto"/>
              </w:rPr>
              <w:t>Assets obtained in asset acquisition of ZebiAI</w:t>
            </w:r>
          </w:p>
        </w:tc>
        <w:tc>
          <w:tcPr>
            <w:tcW w:w="34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662</w:t>
            </w:r>
          </w:p>
        </w:tc>
        <w:tc>
          <w:tcPr>
            <w:tcW w:w="200" w:type="dxa"/>
            <w:vAlign w:val="bottom"/>
          </w:tcPr>
          <w:p>
            <w:pPr>
              <w:spacing w:after="0"/>
              <w:rPr>
                <w:sz w:val="14"/>
                <w:szCs w:val="14"/>
                <w:color w:val="auto"/>
              </w:rPr>
            </w:pPr>
          </w:p>
        </w:tc>
        <w:tc>
          <w:tcPr>
            <w:tcW w:w="22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20" w:type="dxa"/>
            <w:vAlign w:val="bottom"/>
            <w:tcBorders>
              <w:bottom w:val="single" w:sz="8" w:color="CFF0FC"/>
            </w:tcBorders>
            <w:shd w:val="clear" w:color="auto" w:fill="CFF0FC"/>
          </w:tcPr>
          <w:p>
            <w:pPr>
              <w:ind w:left="200"/>
              <w:spacing w:after="0" w:line="169" w:lineRule="exact"/>
              <w:rPr>
                <w:sz w:val="20"/>
                <w:szCs w:val="20"/>
                <w:color w:val="auto"/>
              </w:rPr>
            </w:pPr>
            <w:r>
              <w:rPr>
                <w:rFonts w:ascii="Arial" w:cs="Arial" w:eastAsia="Arial" w:hAnsi="Arial"/>
                <w:sz w:val="15"/>
                <w:szCs w:val="15"/>
                <w:color w:val="auto"/>
              </w:rPr>
              <w:t>Liabilities assumed in asset acquisition of ZebiAI</w:t>
            </w:r>
          </w:p>
        </w:tc>
        <w:tc>
          <w:tcPr>
            <w:tcW w:w="340" w:type="dxa"/>
            <w:vAlign w:val="bottom"/>
            <w:tcBorders>
              <w:bottom w:val="single" w:sz="8" w:color="auto"/>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2,330</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69"/>
        </w:trPr>
        <w:tc>
          <w:tcPr>
            <w:tcW w:w="7020" w:type="dxa"/>
            <w:vAlign w:val="bottom"/>
          </w:tcPr>
          <w:p>
            <w:pPr>
              <w:ind w:left="200"/>
              <w:spacing w:after="0" w:line="169" w:lineRule="exact"/>
              <w:rPr>
                <w:sz w:val="20"/>
                <w:szCs w:val="20"/>
                <w:color w:val="auto"/>
              </w:rPr>
            </w:pPr>
            <w:r>
              <w:rPr>
                <w:rFonts w:ascii="Arial" w:cs="Arial" w:eastAsia="Arial" w:hAnsi="Arial"/>
                <w:sz w:val="15"/>
                <w:szCs w:val="15"/>
                <w:color w:val="auto"/>
              </w:rPr>
              <w:t>Fair value of common stock issued in asset acquisition of ZebiAI</w:t>
            </w:r>
          </w:p>
        </w:tc>
        <w:tc>
          <w:tcPr>
            <w:tcW w:w="34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320" w:type="dxa"/>
            <w:vAlign w:val="bottom"/>
            <w:tcBorders>
              <w:bottom w:val="single" w:sz="8" w:color="auto"/>
            </w:tcBorders>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62,990</w:t>
            </w:r>
          </w:p>
        </w:tc>
        <w:tc>
          <w:tcPr>
            <w:tcW w:w="200" w:type="dxa"/>
            <w:vAlign w:val="bottom"/>
          </w:tcPr>
          <w:p>
            <w:pPr>
              <w:spacing w:after="0"/>
              <w:rPr>
                <w:sz w:val="14"/>
                <w:szCs w:val="14"/>
                <w:color w:val="auto"/>
              </w:rPr>
            </w:pPr>
          </w:p>
        </w:tc>
        <w:tc>
          <w:tcPr>
            <w:tcW w:w="22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20" w:type="dxa"/>
            <w:vAlign w:val="bottom"/>
            <w:tcBorders>
              <w:bottom w:val="single" w:sz="8" w:color="CFF0FC"/>
            </w:tcBorders>
            <w:shd w:val="clear" w:color="auto" w:fill="CFF0FC"/>
          </w:tcPr>
          <w:p>
            <w:pPr>
              <w:ind w:left="200"/>
              <w:spacing w:after="0" w:line="169" w:lineRule="exact"/>
              <w:rPr>
                <w:sz w:val="20"/>
                <w:szCs w:val="20"/>
                <w:color w:val="auto"/>
              </w:rPr>
            </w:pPr>
            <w:r>
              <w:rPr>
                <w:rFonts w:ascii="Arial" w:cs="Arial" w:eastAsia="Arial" w:hAnsi="Arial"/>
                <w:sz w:val="15"/>
                <w:szCs w:val="15"/>
                <w:color w:val="auto"/>
              </w:rPr>
              <w:t>Issuance of common stock upon milestone achievement</w:t>
            </w:r>
          </w:p>
        </w:tc>
        <w:tc>
          <w:tcPr>
            <w:tcW w:w="340" w:type="dxa"/>
            <w:vAlign w:val="bottom"/>
            <w:tcBorders>
              <w:bottom w:val="single" w:sz="8" w:color="auto"/>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6,203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0"/>
        </w:trPr>
        <w:tc>
          <w:tcPr>
            <w:tcW w:w="7020" w:type="dxa"/>
            <w:vAlign w:val="bottom"/>
          </w:tcPr>
          <w:p>
            <w:pPr>
              <w:ind w:left="200"/>
              <w:spacing w:after="0" w:line="169" w:lineRule="exact"/>
              <w:rPr>
                <w:sz w:val="20"/>
                <w:szCs w:val="20"/>
                <w:color w:val="auto"/>
              </w:rPr>
            </w:pPr>
            <w:r>
              <w:rPr>
                <w:rFonts w:ascii="Arial" w:cs="Arial" w:eastAsia="Arial" w:hAnsi="Arial"/>
                <w:sz w:val="15"/>
                <w:szCs w:val="15"/>
                <w:color w:val="auto"/>
              </w:rPr>
              <w:t>Operating lease assets obtained in exchange for operating lease liabilities</w:t>
            </w:r>
          </w:p>
        </w:tc>
        <w:tc>
          <w:tcPr>
            <w:tcW w:w="340" w:type="dxa"/>
            <w:vAlign w:val="bottom"/>
          </w:tcPr>
          <w:p>
            <w:pPr>
              <w:jc w:val="right"/>
              <w:ind w:right="164"/>
              <w:spacing w:after="0" w:line="169" w:lineRule="exact"/>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line="169" w:lineRule="exact"/>
              <w:rPr>
                <w:sz w:val="20"/>
                <w:szCs w:val="20"/>
                <w:color w:val="auto"/>
              </w:rPr>
            </w:pPr>
            <w:r>
              <w:rPr>
                <w:rFonts w:ascii="Arial" w:cs="Arial" w:eastAsia="Arial" w:hAnsi="Arial"/>
                <w:sz w:val="15"/>
                <w:szCs w:val="15"/>
                <w:color w:val="auto"/>
              </w:rPr>
              <w:t>46,626</w:t>
            </w:r>
          </w:p>
        </w:tc>
        <w:tc>
          <w:tcPr>
            <w:tcW w:w="240" w:type="dxa"/>
            <w:vAlign w:val="bottom"/>
          </w:tcPr>
          <w:p>
            <w:pPr>
              <w:spacing w:after="0"/>
              <w:rPr>
                <w:sz w:val="14"/>
                <w:szCs w:val="14"/>
                <w:color w:val="auto"/>
              </w:rPr>
            </w:pPr>
          </w:p>
        </w:tc>
        <w:tc>
          <w:tcPr>
            <w:tcW w:w="320" w:type="dxa"/>
            <w:vAlign w:val="bottom"/>
          </w:tcPr>
          <w:p>
            <w:pPr>
              <w:jc w:val="right"/>
              <w:ind w:right="164"/>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jc w:val="right"/>
              <w:ind w:right="44"/>
              <w:spacing w:after="0" w:line="169" w:lineRule="exact"/>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819</w:t>
            </w:r>
          </w:p>
        </w:tc>
        <w:tc>
          <w:tcPr>
            <w:tcW w:w="100" w:type="dxa"/>
            <w:vAlign w:val="bottom"/>
          </w:tcPr>
          <w:p>
            <w:pPr>
              <w:spacing w:after="0"/>
              <w:rPr>
                <w:sz w:val="14"/>
                <w:szCs w:val="14"/>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-1816735</wp:posOffset>
            </wp:positionV>
            <wp:extent cx="7747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-1816735</wp:posOffset>
            </wp:positionV>
            <wp:extent cx="6858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-1567815</wp:posOffset>
            </wp:positionV>
            <wp:extent cx="7747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-1567815</wp:posOffset>
            </wp:positionV>
            <wp:extent cx="6858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-1045210</wp:posOffset>
            </wp:positionV>
            <wp:extent cx="180848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084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-753745</wp:posOffset>
            </wp:positionV>
            <wp:extent cx="180848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084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-462280</wp:posOffset>
            </wp:positionV>
            <wp:extent cx="180848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08480" cy="17145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-170815</wp:posOffset>
            </wp:positionV>
            <wp:extent cx="180848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08480" cy="1714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Cash, Cash Equivalents, and Restricted Cash from Balance Sheets to Statements of Cash Flows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gridSpan w:val="4"/>
          </w:tcPr>
          <w:p>
            <w:pPr>
              <w:ind w:left="18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3"/>
        </w:trPr>
        <w:tc>
          <w:tcPr>
            <w:tcW w:w="67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55"/>
        </w:trPr>
        <w:tc>
          <w:tcPr>
            <w:tcW w:w="67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55"/>
        </w:trPr>
        <w:tc>
          <w:tcPr>
            <w:tcW w:w="6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209"/>
              <w:spacing w:after="0"/>
              <w:rPr>
                <w:sz w:val="20"/>
                <w:szCs w:val="20"/>
                <w:color w:val="auto"/>
              </w:rPr>
            </w:pPr>
            <w:r>
              <w:rPr>
                <w:rFonts w:ascii="Arial" w:cs="Arial" w:eastAsia="Arial" w:hAnsi="Arial"/>
                <w:sz w:val="13"/>
                <w:szCs w:val="13"/>
                <w:b w:val="1"/>
                <w:bCs w:val="1"/>
                <w:color w:val="auto"/>
                <w:w w:val="89"/>
              </w:rPr>
              <w:t>(in thousands)</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6700" w:type="dxa"/>
            <w:vAlign w:val="bottom"/>
            <w:shd w:val="clear" w:color="auto" w:fill="CFF0FC"/>
          </w:tcPr>
          <w:p>
            <w:pPr>
              <w:ind w:left="20"/>
              <w:spacing w:after="0"/>
              <w:rPr>
                <w:sz w:val="20"/>
                <w:szCs w:val="20"/>
                <w:color w:val="auto"/>
              </w:rPr>
            </w:pPr>
            <w:r>
              <w:rPr>
                <w:rFonts w:ascii="Arial" w:cs="Arial" w:eastAsia="Arial" w:hAnsi="Arial"/>
                <w:sz w:val="15"/>
                <w:szCs w:val="15"/>
                <w:color w:val="auto"/>
              </w:rPr>
              <w:t>Cash and cash equivalents</w:t>
            </w:r>
          </w:p>
        </w:tc>
        <w:tc>
          <w:tcPr>
            <w:tcW w:w="820" w:type="dxa"/>
            <w:vAlign w:val="bottom"/>
            <w:shd w:val="clear" w:color="auto" w:fill="CFF0FC"/>
          </w:tcPr>
          <w:p>
            <w:pPr>
              <w:jc w:val="right"/>
              <w:ind w:right="66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8"/>
              </w:rPr>
              <w:t>151,794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280,119</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447,646</w:t>
            </w:r>
          </w:p>
        </w:tc>
        <w:tc>
          <w:tcPr>
            <w:tcW w:w="100" w:type="dxa"/>
            <w:vAlign w:val="bottom"/>
            <w:shd w:val="clear" w:color="auto" w:fill="CFF0FC"/>
          </w:tcPr>
          <w:p>
            <w:pPr>
              <w:spacing w:after="0"/>
              <w:rPr>
                <w:sz w:val="16"/>
                <w:szCs w:val="16"/>
                <w:color w:val="auto"/>
              </w:rPr>
            </w:pPr>
          </w:p>
        </w:tc>
      </w:tr>
      <w:tr>
        <w:trPr>
          <w:trHeight w:val="189"/>
        </w:trPr>
        <w:tc>
          <w:tcPr>
            <w:tcW w:w="6700" w:type="dxa"/>
            <w:vAlign w:val="bottom"/>
          </w:tcPr>
          <w:p>
            <w:pPr>
              <w:ind w:left="20"/>
              <w:spacing w:after="0"/>
              <w:rPr>
                <w:sz w:val="20"/>
                <w:szCs w:val="20"/>
                <w:color w:val="auto"/>
              </w:rPr>
            </w:pPr>
            <w:r>
              <w:rPr>
                <w:rFonts w:ascii="Arial" w:cs="Arial" w:eastAsia="Arial" w:hAnsi="Arial"/>
                <w:sz w:val="15"/>
                <w:szCs w:val="15"/>
                <w:color w:val="auto"/>
              </w:rPr>
              <w:t>Restricted cash</w:t>
            </w: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2,578</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2,578</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w:t>
            </w:r>
          </w:p>
        </w:tc>
        <w:tc>
          <w:tcPr>
            <w:tcW w:w="100" w:type="dxa"/>
            <w:vAlign w:val="bottom"/>
          </w:tcPr>
          <w:p>
            <w:pPr>
              <w:spacing w:after="0"/>
              <w:rPr>
                <w:sz w:val="16"/>
                <w:szCs w:val="16"/>
                <w:color w:val="auto"/>
              </w:rPr>
            </w:pPr>
          </w:p>
        </w:tc>
      </w:tr>
      <w:tr>
        <w:trPr>
          <w:trHeight w:val="223"/>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Cash, cash equivalents, and restricted cash per statements of cash flows</w:t>
            </w:r>
          </w:p>
        </w:tc>
        <w:tc>
          <w:tcPr>
            <w:tcW w:w="820" w:type="dxa"/>
            <w:vAlign w:val="bottom"/>
            <w:tcBorders>
              <w:bottom w:val="single" w:sz="8" w:color="auto"/>
            </w:tcBorders>
            <w:shd w:val="clear" w:color="auto" w:fill="CFF0FC"/>
          </w:tcPr>
          <w:p>
            <w:pPr>
              <w:jc w:val="right"/>
              <w:ind w:right="66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88"/>
              </w:rPr>
              <w:t>154,372</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282,697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448,524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768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16"/>
          <w:szCs w:val="16"/>
          <w:color w:val="auto"/>
        </w:rPr>
        <w:t>Relay Therapeutics, Inc.</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Notes to Consolidated Financial Statements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share and per share data)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Nature of Business and Basis of Presentation</w:t>
      </w:r>
    </w:p>
    <w:p>
      <w:pPr>
        <w:spacing w:after="0" w:line="239"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Relay Therapeutics, Inc. (the “Company”) was incorporated in Delaware on May 4, 2015 and is headquartered in Cambridge, Massachusetts. The Company is a clinical-stage, precision medicine company transforming the drug discovery process by combining leading-edge computational and experimental technologies with the goal of bringing life-changing therapies to patients. As the Company believes it is among the first of a new breed of biotech created at the intersection of complementary techniques and technologies, the Company aims to push the boundaries of what’s possible in drug discovery. The Company’s Dynamo™ platform integrates an array of leading-edge computational and experimental approaches designed to drug protein targets that have previously been intractable or inadequately addressed. The Company’s initial focus is on enhancing small molecule therapeutic discovery in targeted oncology and genetic disease indications. The Company’s lead product candidates, RLY-4008, RLY-2608, and GDC-1971 (formerly known as RLY-1971), are in clinical development. In addition, the Company has three discovery stage programs as part of its HR+/HER2- breast cancer franchise, including a selective cyclin dependent kinase 2 inhibitor, a rationally designed estrogen receptor alpha degrader and a selective and chemically distinct pan-mutant PI3Kα inhibitor, RLY-5836. The Company also has five additional discovery stage programs across both precision oncology and genetic disease indications.</w:t>
      </w:r>
    </w:p>
    <w:p>
      <w:pPr>
        <w:spacing w:after="0" w:line="167" w:lineRule="exact"/>
        <w:rPr>
          <w:sz w:val="20"/>
          <w:szCs w:val="20"/>
          <w:color w:val="auto"/>
        </w:rPr>
      </w:pPr>
    </w:p>
    <w:p>
      <w:pPr>
        <w:ind w:right="100"/>
        <w:spacing w:after="0" w:line="324" w:lineRule="auto"/>
        <w:rPr>
          <w:sz w:val="20"/>
          <w:szCs w:val="20"/>
          <w:color w:val="auto"/>
        </w:rPr>
      </w:pPr>
      <w:r>
        <w:rPr>
          <w:rFonts w:ascii="Arial" w:cs="Arial" w:eastAsia="Arial" w:hAnsi="Arial"/>
          <w:sz w:val="14"/>
          <w:szCs w:val="14"/>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57"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6" w:lineRule="exact"/>
        <w:rPr>
          <w:sz w:val="20"/>
          <w:szCs w:val="20"/>
          <w:color w:val="auto"/>
        </w:rPr>
      </w:pPr>
    </w:p>
    <w:p>
      <w:pPr>
        <w:jc w:val="both"/>
        <w:ind w:right="100"/>
        <w:spacing w:after="0" w:line="278" w:lineRule="auto"/>
        <w:rPr>
          <w:sz w:val="20"/>
          <w:szCs w:val="20"/>
          <w:color w:val="auto"/>
        </w:rPr>
      </w:pPr>
      <w:r>
        <w:rPr>
          <w:rFonts w:ascii="Arial" w:cs="Arial" w:eastAsia="Arial" w:hAnsi="Arial"/>
          <w:sz w:val="16"/>
          <w:szCs w:val="16"/>
          <w:color w:val="auto"/>
        </w:rPr>
        <w:t>The Company has devoted substantially all of its resources to developing its product candidates, including RLY-4008, RLY-2608, and GDC-1971 (formerly known as RLY-1971), by developing its computation and experimental approaches, building its intellectual property portfolio, business planning, raising capital and providing general and administrative support for these operations.</w:t>
      </w:r>
    </w:p>
    <w:p>
      <w:pPr>
        <w:spacing w:after="0" w:line="184" w:lineRule="exact"/>
        <w:rPr>
          <w:sz w:val="20"/>
          <w:szCs w:val="20"/>
          <w:color w:val="auto"/>
        </w:rPr>
      </w:pPr>
    </w:p>
    <w:p>
      <w:pPr>
        <w:ind w:right="60"/>
        <w:spacing w:after="0" w:line="310" w:lineRule="auto"/>
        <w:rPr>
          <w:sz w:val="20"/>
          <w:szCs w:val="20"/>
          <w:color w:val="auto"/>
        </w:rPr>
      </w:pPr>
      <w:r>
        <w:rPr>
          <w:rFonts w:ascii="Arial" w:cs="Arial" w:eastAsia="Arial" w:hAnsi="Arial"/>
          <w:sz w:val="14"/>
          <w:szCs w:val="14"/>
          <w:color w:val="auto"/>
        </w:rPr>
        <w:t>The Company has incurred net operating losses since inception and had an accumulated deficit of $1.1 billion as of December 31, 2022. The Company expects that its existing cash, cash equivalents, and investments as of December 31, 2022 will enable it to fund its planned operating expenses and capital expenditure requirements for at least one year from the date of the issuance of these consolidated financial statements. The future viability of the Company is dependent on its ability to generate cash from operating activities or to raise additional capital to finance its operations. The Company’s failure to raise capital as and when needed could have a material adverse effect on its financial condition and ability to pursue its business strategies. The Company may not be able to obtain financing on acceptable terms, or at all, and the Company may not be able to enter into license or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In the event the Company requires additional funding, there can be no assurance that it will be successful in obtaining sufficient funding on terms acceptable to the Company to fund its continuing operations, if at all.</w:t>
      </w:r>
    </w:p>
    <w:p>
      <w:pPr>
        <w:spacing w:after="0" w:line="163" w:lineRule="exact"/>
        <w:rPr>
          <w:sz w:val="20"/>
          <w:szCs w:val="20"/>
          <w:color w:val="auto"/>
        </w:rPr>
      </w:pPr>
    </w:p>
    <w:p>
      <w:pPr>
        <w:ind w:right="8920" w:firstLine="8"/>
        <w:spacing w:after="0" w:line="548" w:lineRule="auto"/>
        <w:tabs>
          <w:tab w:leader="none" w:pos="162"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Basis of Presentation</w:t>
      </w:r>
    </w:p>
    <w:p>
      <w:pPr>
        <w:spacing w:after="0" w:line="1"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of America (“GAAP”) and pursuant to the rules and regulations of the U.S. Securities and Exchange Commission (“SEC”) for reporting on Form 10-K. The Company’s consolidated financial statements include the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accounts of Relay Therapeutics, Inc. and its wholly-owned subsidiaries, Relay Securities Corporation and Relay ML Discovery, LLC.</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All intercompany balances and transactions have been eliminated.</w:t>
      </w:r>
    </w:p>
    <w:p>
      <w:pPr>
        <w:spacing w:after="0" w:line="235" w:lineRule="exact"/>
        <w:rPr>
          <w:sz w:val="20"/>
          <w:szCs w:val="20"/>
          <w:color w:val="auto"/>
        </w:rPr>
      </w:pPr>
    </w:p>
    <w:p>
      <w:pPr>
        <w:ind w:right="500"/>
        <w:spacing w:after="0" w:line="278" w:lineRule="auto"/>
        <w:rPr>
          <w:sz w:val="20"/>
          <w:szCs w:val="20"/>
          <w:color w:val="auto"/>
        </w:rPr>
      </w:pPr>
      <w:r>
        <w:rPr>
          <w:rFonts w:ascii="Arial" w:cs="Arial" w:eastAsia="Arial" w:hAnsi="Arial"/>
          <w:sz w:val="16"/>
          <w:szCs w:val="16"/>
          <w:color w:val="auto"/>
        </w:rPr>
        <w:t>Certain prior period amounts, limited to (a) prepaid expenses and other current assets and (b) accrued expenses and other current liabilities, have been reclassified to conform to current period presentation. Such reclassifications have no impact on the Company’s consolidated statements of operations and comprehensive loss, as previously reported.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9"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 xml:space="preserve">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fair value of contingent milestone payments in connection with the acquisition of ZebiAI Therapeutics, Inc. (“ZebiAI”), the determination of the transaction price and standalone selling price of performance obligations under Financial Accounting Standards Board (“FASB”) Accounting Standards Codification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the accrual of research and development and manufacturing expenses, the valuation of equity instruments, and the incremental borrowing rate for determining operating lease assets and liabilities. Estimates are periodically reviewed in light of changes in circumstances, facts and experience.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manages its operations as a single segment for purposes of assessing performance and making operating decisions. The Company’s singular focus is on using innovative experimental and computational approaches on protein motion for making medicines to drug protein targets that have previously been intractable or inadequately addressed. The Company operates in the United States and all tangible assets are held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39"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The Company considers all short-term, highly liquid investments with original maturities of 90 days or less at acquisition date to be cash equivalents. Cash equivalents, which consist of money market funds, are stated at fair value.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23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The Company had restricted cash of $2.6 million as of December 31, 2022 and 2021, specifically to secure letters of credit in connection with operating leases of the Company’s facilities, as detailed in Note 13, </w:t>
      </w:r>
      <w:r>
        <w:rPr>
          <w:rFonts w:ascii="Arial" w:cs="Arial" w:eastAsia="Arial" w:hAnsi="Arial"/>
          <w:sz w:val="16"/>
          <w:szCs w:val="16"/>
          <w:i w:val="1"/>
          <w:iCs w:val="1"/>
          <w:color w:val="auto"/>
        </w:rPr>
        <w:t>Leases</w:t>
      </w:r>
      <w:r>
        <w:rPr>
          <w:rFonts w:ascii="Arial" w:cs="Arial" w:eastAsia="Arial" w:hAnsi="Arial"/>
          <w:sz w:val="16"/>
          <w:szCs w:val="16"/>
          <w:color w:val="auto"/>
        </w:rPr>
        <w:t>. The Company classified the restricted cash as a noncurrent asset on its consolidated balance sheets, consistent with the terms of the lease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marketable securities are classified as available-for-sale.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Available-for-sale securities are measured and reported at fair value using quoted prices in active markets for similar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Premiums or discounts from par value are amortized to investment income over the life of the underlying investment.</w:t>
      </w:r>
    </w:p>
    <w:p>
      <w:pPr>
        <w:spacing w:after="0" w:line="235"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 xml:space="preserve">In June 2016, the FASB issued Accounting Standards Update ("ASU") No. 2016-13, </w:t>
      </w:r>
      <w:r>
        <w:rPr>
          <w:rFonts w:ascii="Arial" w:cs="Arial" w:eastAsia="Arial" w:hAnsi="Arial"/>
          <w:sz w:val="15"/>
          <w:szCs w:val="15"/>
          <w:i w:val="1"/>
          <w:iCs w:val="1"/>
          <w:color w:val="auto"/>
        </w:rPr>
        <w:t>Financial Instruments—Credit Losses (Topic 326): Measurement of Credit Losses 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Instruments </w:t>
      </w:r>
      <w:r>
        <w:rPr>
          <w:rFonts w:ascii="Arial" w:cs="Arial" w:eastAsia="Arial" w:hAnsi="Arial"/>
          <w:sz w:val="15"/>
          <w:szCs w:val="15"/>
          <w:color w:val="auto"/>
        </w:rPr>
        <w:t>(“ASU 2016-13”). Certain amendments thereto were also issued by the FASB. The Company adopted ASU 2016-13, as well as the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amendments thereto, on January 1, 2022, pursuant to which the Company reviews investments whenever the fair value of an investment is less than the amortized cost and evidence indicates that an investment’s carrying amount is not recoverable within a reasonable period of time. In connection therewith, the Company evaluates whether the decline in fair value has resulted from credit losses or other factors, considering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on the consolidated balance sheet, limited by the amount that the fair value is less than the amortized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62" w:right="399" w:bottom="1440" w:gutter="0" w:footer="0" w:header="0"/>
        </w:sectPr>
      </w:pPr>
    </w:p>
    <w:bookmarkStart w:id="129" w:name="page130"/>
    <w:bookmarkEnd w:id="129"/>
    <w:p>
      <w:pPr>
        <w:ind w:right="100"/>
        <w:spacing w:after="0" w:line="273" w:lineRule="auto"/>
        <w:rPr>
          <w:sz w:val="20"/>
          <w:szCs w:val="20"/>
          <w:color w:val="auto"/>
        </w:rPr>
      </w:pPr>
      <w:r>
        <w:rPr>
          <w:rFonts w:ascii="Arial" w:cs="Arial" w:eastAsia="Arial" w:hAnsi="Arial"/>
          <w:sz w:val="16"/>
          <w:szCs w:val="16"/>
          <w:color w:val="auto"/>
        </w:rPr>
        <w:t>cost basis. Any impairment that is not related to credit is recognized in other comprehensive loss as a separate component of stockholders' equity. Changes in the allowance for credit losses are recorded as a provision for (or reversal of) credit loss expense in general and administrative expenses within the consolidated statements of operations and comprehensive loss. Losses are charged against the allowance when the Company believes the uncollectability of an available-for-sale security is confirmed or when either of the criteria regarding intent or requirement to sell is met.</w:t>
      </w:r>
    </w:p>
    <w:p>
      <w:pPr>
        <w:spacing w:after="0" w:line="189" w:lineRule="exact"/>
        <w:rPr>
          <w:sz w:val="20"/>
          <w:szCs w:val="20"/>
          <w:color w:val="auto"/>
        </w:rPr>
      </w:pPr>
    </w:p>
    <w:p>
      <w:pPr>
        <w:ind w:right="260"/>
        <w:spacing w:after="0" w:line="369" w:lineRule="auto"/>
        <w:rPr>
          <w:sz w:val="20"/>
          <w:szCs w:val="20"/>
          <w:color w:val="auto"/>
        </w:rPr>
      </w:pPr>
      <w:r>
        <w:rPr>
          <w:rFonts w:ascii="Arial" w:cs="Arial" w:eastAsia="Arial" w:hAnsi="Arial"/>
          <w:sz w:val="14"/>
          <w:szCs w:val="14"/>
          <w:color w:val="auto"/>
        </w:rPr>
        <w:t>All of the Company’s available-for-sale securities are available to the Company for use in current operations. As a result, the Company classified all such securities as current assets as of December 31, 2022 and 2021, even though the stated maturity of some individual securities may be one year or more beyond the balance sheet dates.</w:t>
      </w:r>
    </w:p>
    <w:p>
      <w:pPr>
        <w:spacing w:after="0" w:line="126"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The cost of securities sold is determined on a specific identification basis, and realized gains and losses are included in other income (expense) within the consolidated statements of operations and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 and Significant Suppliers</w:t>
      </w:r>
    </w:p>
    <w:p>
      <w:pPr>
        <w:spacing w:after="0" w:line="239"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cash equivalents, and investments. From time to time, the Company has maintained all of its cash, cash equivalents, and investments at certain accredited financial institutions in amounts that exceed federally insured limits. The Company generally invests its excess capital in money market funds, U.S. treasury bonds, U.S. treasury bills, and agency bonds, all of which are subject to minimal credit and market risk. Management has established guidelines relative to credit ratings and maturities intended to safeguard principal balances and maintain liquidity. The investment portfolio is maintained in accordance with the Company’s investment policy, which defines allowable investments, specifies credit quality standards, and limits the credit exposure of any single issuer.</w:t>
      </w:r>
    </w:p>
    <w:p>
      <w:pPr>
        <w:spacing w:after="0" w:line="194"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 xml:space="preserve">The Company is dependent on third-party suppliers for research and development activities of its programs, including preclinical and clinical testing. In particular, the Company relies and expects to continue to rely on a small number of these suppliers, including D. E. Shaw Research, LLC, as discussed in Note 12,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to meet its requirements for its programs. These programs could be adversely affected by a significant interruption in preclinical and clinical testing,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the supply of active pharmaceutical ingredients and formulated drugs.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3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72" w:lineRule="exact"/>
        <w:rPr>
          <w:sz w:val="20"/>
          <w:szCs w:val="20"/>
          <w:color w:val="auto"/>
        </w:rPr>
      </w:pPr>
    </w:p>
    <w:p>
      <w:pPr>
        <w:ind w:left="760" w:hanging="378"/>
        <w:spacing w:after="0"/>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Level 1—Quoted prices in active markets for identical assets or liabilities.</w:t>
      </w:r>
    </w:p>
    <w:p>
      <w:pPr>
        <w:spacing w:after="0" w:line="234" w:lineRule="exact"/>
        <w:rPr>
          <w:rFonts w:ascii="Arial" w:cs="Arial" w:eastAsia="Arial" w:hAnsi="Arial"/>
          <w:sz w:val="16"/>
          <w:szCs w:val="16"/>
          <w:color w:val="auto"/>
        </w:rPr>
      </w:pPr>
    </w:p>
    <w:p>
      <w:pPr>
        <w:ind w:left="760" w:right="160" w:hanging="378"/>
        <w:spacing w:after="0" w:line="328" w:lineRule="auto"/>
        <w:tabs>
          <w:tab w:leader="none" w:pos="7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9" w:lineRule="exact"/>
        <w:rPr>
          <w:rFonts w:ascii="Arial" w:cs="Arial" w:eastAsia="Arial" w:hAnsi="Arial"/>
          <w:sz w:val="15"/>
          <w:szCs w:val="15"/>
          <w:color w:val="auto"/>
        </w:rPr>
      </w:pPr>
    </w:p>
    <w:p>
      <w:pPr>
        <w:ind w:left="760" w:right="240" w:hanging="378"/>
        <w:spacing w:after="0" w:line="293" w:lineRule="auto"/>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3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Property and equipment are stated at cost less accumulated depreciation. Depreciation expense is recognized using the straight-line method over the useful life of the asset. Laboratory and computer equipment are depreciated over three years. Furniture and fixtures are depreciated over five years. Leasehold improvements are amortized over the shorter of the lease term or the estimated useful life of the underlying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239"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in an amount by which the book values of the assets exceed their fair value. The Company did not recognize any impairment losses for the years ended December 31, 2022, 2021, and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39" w:lineRule="exact"/>
        <w:rPr>
          <w:sz w:val="20"/>
          <w:szCs w:val="20"/>
          <w:color w:val="auto"/>
        </w:rPr>
      </w:pPr>
    </w:p>
    <w:p>
      <w:pPr>
        <w:spacing w:after="0" w:line="324" w:lineRule="auto"/>
        <w:rPr>
          <w:sz w:val="20"/>
          <w:szCs w:val="20"/>
          <w:color w:val="auto"/>
        </w:rPr>
      </w:pPr>
      <w:r>
        <w:rPr>
          <w:rFonts w:ascii="Arial" w:cs="Arial" w:eastAsia="Arial" w:hAnsi="Arial"/>
          <w:sz w:val="14"/>
          <w:szCs w:val="14"/>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 Costs</w:t>
      </w:r>
    </w:p>
    <w:p>
      <w:pPr>
        <w:spacing w:after="0" w:line="239"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39"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The Company measures stock options and other stock-based awards granted to employees, directors, and other consultants based on their fair value on the date of grant and recognizes compensation expense for such awards over the requisite service period, which is generally the vesting period of the respective award. The Company recognizes the impact of forfeitures on stock-based compensation expense as they occur.</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estimates the fair value of each stock option grant on the date of grant using the Black-Scholes option pricing model, which uses as inputs the fair value of the Company’s common stock and assumptions the Company makes for the expected term of the stock options, the risk-free interest rate and volatility of its common stock for a period that approximates the expected term of the stock options, and the expected dividend yield.</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 xml:space="preserve">Prior to the Company’s initial public offering of common stock in 2020, the estimated fair value of its common stock was determined by the board of directors, or compensation committee thereof, as of the date of each option grant, with input from management, considering the most recently available third-party valuations of common stock and the board of directors’ assessment of additional objective and subjective factors that it believed were relevant and which may have changed from the date of the most recent valuation through the date of the grant. Historically, such independent third-party valuations of the Company’s equity instruments were performed contemporaneously with identified value inflection points. Furthermore, such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(the “Practice Aid”). The Practice Aid identifies various available methods for allocating the enterprise value across classes of series of capital stock in determining the fair value of the Company’s common stock at each valuation date.</w:t>
      </w:r>
    </w:p>
    <w:p>
      <w:pPr>
        <w:spacing w:after="0" w:line="19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Following the Company’s initial public offering of common stock in 2020, in connection with the accounting for stock options and other awards the Company may grant, the fair value of the Company’s common stock is determined based on the quoted market price of its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 accounts for revenue recognition in accordance with ASC 606, pursuant to which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customer(s); (ii) identify the performance obligation(s) in the contract(s); (iii) determine the transaction price; (iv) allocate the transaction price to the performance obligation(s) in the contract(s); and (v) recognize revenue when (or as) the entity satisfies a performance obligation.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131" w:name="page132"/>
    <w:bookmarkEnd w:id="131"/>
    <w:p>
      <w:pPr>
        <w:spacing w:after="0" w:line="318" w:lineRule="auto"/>
        <w:rPr>
          <w:sz w:val="20"/>
          <w:szCs w:val="20"/>
          <w:color w:val="auto"/>
        </w:rPr>
      </w:pPr>
      <w:r>
        <w:rPr>
          <w:rFonts w:ascii="Arial" w:cs="Arial" w:eastAsia="Arial" w:hAnsi="Arial"/>
          <w:sz w:val="14"/>
          <w:szCs w:val="14"/>
          <w:color w:val="auto"/>
        </w:rPr>
        <w:t>At contract inception, once the contract is determined to be within the scope of ASC 606, the Company assesses the goods or services promised within the contract and determines those that are performance obligations. The Company then determines the transaction price and allocates it to the performance obligations. As part of the accounting for such arrangements, the Company must use judgment to determine: (a) the number of performance obligations based on the determination under step (ii) above; (b) the transaction price under step (iii) above, including the determination of whether milestones or other variable consideration should be included in the transaction price; and (c) the stand-alone selling price for each performance obligation identified in the contract for the allocation of the transaction price in step (iv) above.</w:t>
      </w:r>
    </w:p>
    <w:p>
      <w:pPr>
        <w:spacing w:after="0" w:line="162" w:lineRule="exact"/>
        <w:rPr>
          <w:sz w:val="20"/>
          <w:szCs w:val="20"/>
          <w:color w:val="auto"/>
        </w:rPr>
      </w:pPr>
    </w:p>
    <w:p>
      <w:pPr>
        <w:ind w:right="40"/>
        <w:spacing w:after="0" w:line="309" w:lineRule="auto"/>
        <w:rPr>
          <w:sz w:val="20"/>
          <w:szCs w:val="20"/>
          <w:color w:val="auto"/>
        </w:rPr>
      </w:pPr>
      <w:r>
        <w:rPr>
          <w:rFonts w:ascii="Arial" w:cs="Arial" w:eastAsia="Arial" w:hAnsi="Arial"/>
          <w:sz w:val="14"/>
          <w:szCs w:val="14"/>
          <w:color w:val="auto"/>
        </w:rPr>
        <w:t>The Company utilizes key assumptions and judgments in (a) determining the stand-alone selling price for each performance obligation, which may include discounted cash flow models, evaluation of comparable transactions, and pricing considered in negotiating the transaction and estimated costs, and (b) determining how the transaction price is allocated amongst the performance obligations. The Company also uses judgment to determine whether milestones or other variable consideration should be included in the transaction price. As part of management’s evaluation of the transaction price, the Company considers numerous factors, including whether the achievement of the milestones is outside of the Company's control, contingent upon the efforts of others, or subject to scientific risks of success. If the Company concludes it is probable that a significant revenue reversal would not occur, the associated milestone payment is included in the transaction price. Milestone payments that are not within the Company's control, such as regulatory approvals, are generally not considered probable until those milestones are achieved. The Company re-evaluates the transaction price, including estimated variable consideration included in the transaction price and all constrained amounts, in each reporting period and as uncertain events are resolved or other changes in circumstances occur. For revenue-based royalties, including milestone payments based on the level of sales, the Company will include royalties in the transaction price at the later of (i) when the related sales occur, or (ii) when the performance obligation to which some or all of the royalty is allocated has been satisfied (or partially satisfied).</w:t>
      </w:r>
    </w:p>
    <w:p>
      <w:pPr>
        <w:spacing w:after="0" w:line="168" w:lineRule="exact"/>
        <w:rPr>
          <w:sz w:val="20"/>
          <w:szCs w:val="20"/>
          <w:color w:val="auto"/>
        </w:rPr>
      </w:pPr>
    </w:p>
    <w:p>
      <w:pPr>
        <w:ind w:right="280"/>
        <w:spacing w:after="0" w:line="305" w:lineRule="auto"/>
        <w:rPr>
          <w:sz w:val="20"/>
          <w:szCs w:val="20"/>
          <w:color w:val="auto"/>
        </w:rPr>
      </w:pPr>
      <w:r>
        <w:rPr>
          <w:rFonts w:ascii="Arial" w:cs="Arial" w:eastAsia="Arial" w:hAnsi="Arial"/>
          <w:sz w:val="15"/>
          <w:szCs w:val="15"/>
          <w:color w:val="auto"/>
        </w:rPr>
        <w:t>Once the performance obligations are identified, the transaction price is allocated to each performance obligation based on the relative stand-alone selling price. The Company then recognizes as revenue the amount of the transaction price allocated to the respective performance obligation when (or as) it is satisfied, either at a point in time or over time. If the performance obligation is satisfied over time, the Company recognizes revenue based on the use of either an output or input method.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Collaboration Agreements</w:t>
      </w:r>
    </w:p>
    <w:p>
      <w:pPr>
        <w:spacing w:after="0" w:line="239" w:lineRule="exact"/>
        <w:rPr>
          <w:sz w:val="20"/>
          <w:szCs w:val="20"/>
          <w:color w:val="auto"/>
        </w:rPr>
      </w:pPr>
    </w:p>
    <w:p>
      <w:pPr>
        <w:ind w:right="60"/>
        <w:spacing w:after="0" w:line="289" w:lineRule="auto"/>
        <w:rPr>
          <w:sz w:val="20"/>
          <w:szCs w:val="20"/>
          <w:color w:val="auto"/>
        </w:rPr>
      </w:pPr>
      <w:r>
        <w:rPr>
          <w:rFonts w:ascii="Arial" w:cs="Arial" w:eastAsia="Arial" w:hAnsi="Arial"/>
          <w:sz w:val="15"/>
          <w:szCs w:val="15"/>
          <w:color w:val="auto"/>
        </w:rPr>
        <w:t xml:space="preserve">The Company enters into collaborative agreements with third parties to research, develop, and commercialize drug candidates, pursuant to which the risks and rewards for such activities are shared between the parties. Such arrangements also provide for cost sharing between the parties during the research and development phase, as well as potential future profit share payments during the commercialization phase. In general, such contracts are evaluated under the provisions of FASB ASC 808, </w:t>
      </w:r>
      <w:r>
        <w:rPr>
          <w:rFonts w:ascii="Arial" w:cs="Arial" w:eastAsia="Arial" w:hAnsi="Arial"/>
          <w:sz w:val="15"/>
          <w:szCs w:val="15"/>
          <w:i w:val="1"/>
          <w:iCs w:val="1"/>
          <w:color w:val="auto"/>
        </w:rPr>
        <w:t>Collaborative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Arrangements </w:t>
      </w:r>
      <w:r>
        <w:rPr>
          <w:rFonts w:ascii="Arial" w:cs="Arial" w:eastAsia="Arial" w:hAnsi="Arial"/>
          <w:sz w:val="15"/>
          <w:szCs w:val="15"/>
          <w:color w:val="auto"/>
        </w:rPr>
        <w:t>(“ASC 808”). The amounts receivable and payable for research and development activities are presented net within research and development expense on the</w:t>
      </w:r>
      <w:r>
        <w:rPr>
          <w:rFonts w:ascii="Arial" w:cs="Arial" w:eastAsia="Arial" w:hAnsi="Arial"/>
          <w:sz w:val="15"/>
          <w:szCs w:val="15"/>
          <w:i w:val="1"/>
          <w:iCs w:val="1"/>
          <w:color w:val="auto"/>
        </w:rPr>
        <w:t xml:space="preserve"> </w:t>
      </w:r>
      <w:r>
        <w:rPr>
          <w:rFonts w:ascii="Arial" w:cs="Arial" w:eastAsia="Arial" w:hAnsi="Arial"/>
          <w:sz w:val="15"/>
          <w:szCs w:val="15"/>
          <w:color w:val="auto"/>
        </w:rPr>
        <w:t>consolidated statements of operations and comprehensive loss. As such, the net costs reflect the Company’s share of the ongoing research and development efforts. The amounts receivable and payable for commercialization activities are presented net as either collaboration revenue, separate from revenue from contracts with customers, or collaboration expense on the consolidated statements of operations, as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Manufacturing Contracts</w:t>
      </w:r>
    </w:p>
    <w:p>
      <w:pPr>
        <w:spacing w:after="0" w:line="239"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The Company has entered into various research and development contracts with research institutions and other companies whose costs are included in research and development expense in the accompanying consolidated statements of operations and comprehensive loss. These agreements are generally cancelable and related payments are recorded as research and development expenses as the underlying services are performed. When evaluating the adequacy of the expense recognized, the Company analyzes progress of the services, including the phase or completion of events, invoices received, and contracted costs. Judgments and estimates are made in determining the expense recognized and the related prepaid or accrued balances at the end of any reporting period. Actual results could differ from the Company’s estimates. The Company’s historical estimates have not been materially different from the actual costs.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Agreements</w:t>
      </w:r>
    </w:p>
    <w:p>
      <w:pPr>
        <w:spacing w:after="0" w:line="239"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 xml:space="preserve">Pursuant to ASC 842, </w:t>
      </w:r>
      <w:r>
        <w:rPr>
          <w:rFonts w:ascii="Arial" w:cs="Arial" w:eastAsia="Arial" w:hAnsi="Arial"/>
          <w:sz w:val="16"/>
          <w:szCs w:val="16"/>
          <w:i w:val="1"/>
          <w:iCs w:val="1"/>
          <w:color w:val="auto"/>
        </w:rPr>
        <w:t>Leases</w:t>
      </w:r>
      <w:r>
        <w:rPr>
          <w:rFonts w:ascii="Arial" w:cs="Arial" w:eastAsia="Arial" w:hAnsi="Arial"/>
          <w:sz w:val="16"/>
          <w:szCs w:val="16"/>
          <w:color w:val="auto"/>
        </w:rPr>
        <w:t>, the Company determines if an arrangement is or contains a lease at inception. For leases with a term of 12 months or less, the Company does not recognize a right-of-use asset or lease liability. The Company’s operating leases are recognized on its consolidated balance sheets as other noncurrent assets, other current liabilities, and other noncurrent liabilities. The Company does not have any finance leases.</w:t>
      </w:r>
    </w:p>
    <w:p>
      <w:pPr>
        <w:spacing w:after="0" w:line="184" w:lineRule="exact"/>
        <w:rPr>
          <w:sz w:val="20"/>
          <w:szCs w:val="20"/>
          <w:color w:val="auto"/>
        </w:rPr>
      </w:pPr>
    </w:p>
    <w:p>
      <w:pPr>
        <w:jc w:val="both"/>
        <w:ind w:right="520"/>
        <w:spacing w:after="0" w:line="278" w:lineRule="auto"/>
        <w:rPr>
          <w:sz w:val="20"/>
          <w:szCs w:val="20"/>
          <w:color w:val="auto"/>
        </w:rPr>
      </w:pPr>
      <w:r>
        <w:rPr>
          <w:rFonts w:ascii="Arial" w:cs="Arial" w:eastAsia="Arial" w:hAnsi="Arial"/>
          <w:sz w:val="16"/>
          <w:szCs w:val="16"/>
          <w:color w:val="auto"/>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the Company’s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2" w:name="page133"/>
    <w:bookmarkEnd w:id="132"/>
    <w:p>
      <w:pPr>
        <w:ind w:right="380"/>
        <w:spacing w:after="0" w:line="273" w:lineRule="auto"/>
        <w:rPr>
          <w:sz w:val="20"/>
          <w:szCs w:val="20"/>
          <w:color w:val="auto"/>
        </w:rPr>
      </w:pPr>
      <w:r>
        <w:rPr>
          <w:rFonts w:ascii="Arial" w:cs="Arial" w:eastAsia="Arial" w:hAnsi="Arial"/>
          <w:sz w:val="16"/>
          <w:szCs w:val="16"/>
          <w:color w:val="auto"/>
        </w:rPr>
        <w:t>leases typically do not provide an implicit rate, the Company uses an estimate of its incremental borrowing rate based on the information available at the lease commencement date in determining the present value of lease payments. Operating lease right-of-use assets also include the effect of any lease payments made prior to commencement and exclude lease incentives. The lease terms may include options to extend or terminate the lease when it is reasonably certain that the Company will exercise that option. Lease expense is recognized on a straight-line basis over the lease term.</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lease agreements with lease and non-lease components, which are accounted for as a combined element.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Acquired In-Process Research and Development</w:t>
      </w:r>
    </w:p>
    <w:p>
      <w:pPr>
        <w:spacing w:after="0" w:line="23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 xml:space="preserve">In an asset acquisition, the cost allocated to acquire in-process research and development (“IPR&amp;D”) with no alternative future use is charged to expense at the acquisition date. Please refer to Note 10, </w:t>
      </w:r>
      <w:r>
        <w:rPr>
          <w:rFonts w:ascii="Arial" w:cs="Arial" w:eastAsia="Arial" w:hAnsi="Arial"/>
          <w:sz w:val="16"/>
          <w:szCs w:val="16"/>
          <w:i w:val="1"/>
          <w:iCs w:val="1"/>
          <w:color w:val="auto"/>
        </w:rPr>
        <w:t>Acquisition of ZebiAI</w:t>
      </w:r>
      <w:r>
        <w:rPr>
          <w:rFonts w:ascii="Arial" w:cs="Arial" w:eastAsia="Arial" w:hAnsi="Arial"/>
          <w:sz w:val="16"/>
          <w:szCs w:val="16"/>
          <w:color w:val="auto"/>
        </w:rPr>
        <w:t>, for a more detailed description of the accounting policies applied to the Company's only asset acquisition during the three years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Loss</w:t>
      </w:r>
    </w:p>
    <w:p>
      <w:pPr>
        <w:spacing w:after="0" w:line="239"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Comprehensive loss includes net loss, as well as other changes in stockholders’ equity (deficit) that result from transactions and economic events other than those with stockholders. For the years ended December 31, 2022, 2021, and 2020, other comprehensive income (loss) consisted of changes in unrealized gains and losses from available-for-sale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 per Common Share</w:t>
      </w:r>
    </w:p>
    <w:p>
      <w:pPr>
        <w:spacing w:after="0" w:line="23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Basic net loss per share is computed using the weighted-average number of common shares outstanding during the period. Diluted net loss per share is computed using the sum of the weighted-average number of common shares outstanding during the period and the effect of any dilutive securities.</w:t>
      </w:r>
    </w:p>
    <w:p>
      <w:pPr>
        <w:spacing w:after="0" w:line="17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Company applies the two-class method to calculate its basic and diluted net loss per share, as the Company has issued shares that meet the definition of participating securities. The two-class method is an earnings allocation formula that treats a participating security as having rights to earnings that otherwise would have been available to common stockholders. The Company’s participating securities contractually entitle the holders of such shares to participate in dividends, but do not contractually require the holders of such shares to participate in losses of the Company. Accordingly, in periods in which the Company reports a net loss, such losses are not allocated to such participating securities. Additionally, in periods in which the Company reports a net loss, diluted net loss per share is the same as basic net loss per share, since dilutive common shares are not assumed to have been issued if their effect is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additional discussion of net loss per common share, please refer to Note 9, </w:t>
      </w:r>
      <w:r>
        <w:rPr>
          <w:rFonts w:ascii="Arial" w:cs="Arial" w:eastAsia="Arial" w:hAnsi="Arial"/>
          <w:sz w:val="16"/>
          <w:szCs w:val="16"/>
          <w:i w:val="1"/>
          <w:iCs w:val="1"/>
          <w:color w:val="auto"/>
        </w:rPr>
        <w:t>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39" w:lineRule="exact"/>
        <w:rPr>
          <w:sz w:val="20"/>
          <w:szCs w:val="20"/>
          <w:color w:val="auto"/>
        </w:rPr>
      </w:pPr>
    </w:p>
    <w:p>
      <w:pPr>
        <w:spacing w:after="0" w:line="324" w:lineRule="auto"/>
        <w:rPr>
          <w:sz w:val="20"/>
          <w:szCs w:val="20"/>
          <w:color w:val="auto"/>
        </w:rPr>
      </w:pPr>
      <w:r>
        <w:rPr>
          <w:rFonts w:ascii="Arial" w:cs="Arial" w:eastAsia="Arial" w:hAnsi="Arial"/>
          <w:sz w:val="14"/>
          <w:szCs w:val="14"/>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57" w:lineRule="exact"/>
        <w:rPr>
          <w:sz w:val="20"/>
          <w:szCs w:val="20"/>
          <w:color w:val="auto"/>
        </w:rPr>
      </w:pPr>
    </w:p>
    <w:p>
      <w:pPr>
        <w:ind w:right="120"/>
        <w:spacing w:after="0" w:line="318" w:lineRule="auto"/>
        <w:rPr>
          <w:sz w:val="20"/>
          <w:szCs w:val="20"/>
          <w:color w:val="auto"/>
        </w:rPr>
      </w:pPr>
      <w:r>
        <w:rPr>
          <w:rFonts w:ascii="Arial" w:cs="Arial" w:eastAsia="Arial" w:hAnsi="Arial"/>
          <w:sz w:val="14"/>
          <w:szCs w:val="14"/>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3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As noted above, the Company adopted ASU 2016-13, as well as the related amendments thereto, on January 1, 2022. The adoption of ASU 2016-13, as well as the related amendments thereto, did not have a material impact on the Company’s consolidated financial statements or disclosures.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Recently Issued Accounting Pronouncements Not Yet Adopted</w:t>
      </w:r>
    </w:p>
    <w:p>
      <w:pPr>
        <w:spacing w:after="0" w:line="239" w:lineRule="exact"/>
        <w:rPr>
          <w:sz w:val="20"/>
          <w:szCs w:val="20"/>
          <w:color w:val="auto"/>
        </w:rPr>
      </w:pPr>
    </w:p>
    <w:p>
      <w:pPr>
        <w:ind w:right="100"/>
        <w:spacing w:after="0" w:line="369" w:lineRule="auto"/>
        <w:rPr>
          <w:sz w:val="20"/>
          <w:szCs w:val="20"/>
          <w:color w:val="auto"/>
        </w:rPr>
      </w:pPr>
      <w:r>
        <w:rPr>
          <w:rFonts w:ascii="Arial" w:cs="Arial" w:eastAsia="Arial" w:hAnsi="Arial"/>
          <w:sz w:val="14"/>
          <w:szCs w:val="14"/>
          <w:color w:val="auto"/>
        </w:rPr>
        <w:t>From time to time, new accounting pronouncements are issued by the FASB or other standard setting bodies that the Company adopts as of the specified effective date. The Company does not believe that the adoption of any recently issued standards have or may have a material impact on its consolidated financial statements and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239"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following tables present information about the Company’s financial assets and liabilities measured at fair value on a recurring basis and indicate the level of the fair value hierarchy utilized to determine such fair values: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4"/>
          </w:tcPr>
          <w:p>
            <w:pPr>
              <w:jc w:val="center"/>
              <w:ind w:right="161"/>
              <w:spacing w:after="0"/>
              <w:rPr>
                <w:sz w:val="20"/>
                <w:szCs w:val="20"/>
                <w:color w:val="auto"/>
              </w:rPr>
            </w:pPr>
            <w:r>
              <w:rPr>
                <w:rFonts w:ascii="Arial" w:cs="Arial" w:eastAsia="Arial" w:hAnsi="Arial"/>
                <w:sz w:val="13"/>
                <w:szCs w:val="13"/>
                <w:b w:val="1"/>
                <w:bCs w:val="1"/>
                <w:color w:val="auto"/>
                <w:w w:val="88"/>
              </w:rPr>
              <w:t>Fair Value Measurements as of</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5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181"/>
              <w:spacing w:after="0"/>
              <w:rPr>
                <w:sz w:val="20"/>
                <w:szCs w:val="20"/>
                <w:color w:val="auto"/>
              </w:rPr>
            </w:pPr>
            <w:r>
              <w:rPr>
                <w:rFonts w:ascii="Arial" w:cs="Arial" w:eastAsia="Arial" w:hAnsi="Arial"/>
                <w:sz w:val="13"/>
                <w:szCs w:val="13"/>
                <w:b w:val="1"/>
                <w:bCs w:val="1"/>
                <w:color w:val="auto"/>
                <w:w w:val="87"/>
              </w:rPr>
              <w:t>December 31, 2022:</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5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Level 1</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Level 2</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w w:val="95"/>
              </w:rPr>
              <w:t>Level 3</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r>
      <w:tr>
        <w:trPr>
          <w:trHeight w:val="156"/>
        </w:trPr>
        <w:tc>
          <w:tcPr>
            <w:tcW w:w="5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45"/>
              <w:spacing w:after="0"/>
              <w:rPr>
                <w:sz w:val="20"/>
                <w:szCs w:val="20"/>
                <w:color w:val="auto"/>
              </w:rPr>
            </w:pPr>
            <w:r>
              <w:rPr>
                <w:rFonts w:ascii="Arial" w:cs="Arial" w:eastAsia="Arial" w:hAnsi="Arial"/>
                <w:sz w:val="13"/>
                <w:szCs w:val="13"/>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8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Money market funds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118,446</w:t>
            </w:r>
          </w:p>
        </w:tc>
        <w:tc>
          <w:tcPr>
            <w:tcW w:w="5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118,446</w:t>
            </w:r>
          </w:p>
        </w:tc>
        <w:tc>
          <w:tcPr>
            <w:tcW w:w="100" w:type="dxa"/>
            <w:vAlign w:val="bottom"/>
            <w:shd w:val="clear" w:color="auto" w:fill="CFF0FC"/>
          </w:tcPr>
          <w:p>
            <w:pPr>
              <w:spacing w:after="0"/>
              <w:rPr>
                <w:sz w:val="20"/>
                <w:szCs w:val="20"/>
                <w:color w:val="auto"/>
              </w:rPr>
            </w:pPr>
          </w:p>
        </w:tc>
      </w:tr>
      <w:tr>
        <w:trPr>
          <w:trHeight w:val="223"/>
        </w:trPr>
        <w:tc>
          <w:tcPr>
            <w:tcW w:w="5780" w:type="dxa"/>
            <w:vAlign w:val="bottom"/>
          </w:tcPr>
          <w:p>
            <w:pPr>
              <w:ind w:left="200"/>
              <w:spacing w:after="0"/>
              <w:rPr>
                <w:sz w:val="20"/>
                <w:szCs w:val="20"/>
                <w:color w:val="auto"/>
              </w:rPr>
            </w:pPr>
            <w:r>
              <w:rPr>
                <w:rFonts w:ascii="Arial" w:cs="Arial" w:eastAsia="Arial" w:hAnsi="Arial"/>
                <w:sz w:val="16"/>
                <w:szCs w:val="16"/>
                <w:color w:val="auto"/>
              </w:rPr>
              <w:t>U.S. treasury bills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9,950</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9,950</w:t>
            </w:r>
          </w:p>
        </w:tc>
        <w:tc>
          <w:tcPr>
            <w:tcW w:w="100" w:type="dxa"/>
            <w:vAlign w:val="bottom"/>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cash equivalents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118,446</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9,950</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128,396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578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treasury bills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466,603</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466,603</w:t>
            </w:r>
          </w:p>
        </w:tc>
        <w:tc>
          <w:tcPr>
            <w:tcW w:w="100" w:type="dxa"/>
            <w:vAlign w:val="bottom"/>
            <w:shd w:val="clear" w:color="auto" w:fill="CFF0FC"/>
          </w:tcPr>
          <w:p>
            <w:pPr>
              <w:spacing w:after="0"/>
              <w:rPr>
                <w:sz w:val="20"/>
                <w:szCs w:val="20"/>
                <w:color w:val="auto"/>
              </w:rPr>
            </w:pPr>
          </w:p>
        </w:tc>
      </w:tr>
      <w:tr>
        <w:trPr>
          <w:trHeight w:val="223"/>
        </w:trPr>
        <w:tc>
          <w:tcPr>
            <w:tcW w:w="5780" w:type="dxa"/>
            <w:vAlign w:val="bottom"/>
          </w:tcPr>
          <w:p>
            <w:pPr>
              <w:ind w:left="200"/>
              <w:spacing w:after="0"/>
              <w:rPr>
                <w:sz w:val="20"/>
                <w:szCs w:val="20"/>
                <w:color w:val="auto"/>
              </w:rPr>
            </w:pPr>
            <w:r>
              <w:rPr>
                <w:rFonts w:ascii="Arial" w:cs="Arial" w:eastAsia="Arial" w:hAnsi="Arial"/>
                <w:sz w:val="16"/>
                <w:szCs w:val="16"/>
                <w:color w:val="auto"/>
              </w:rPr>
              <w:t>U.S. agency securities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380,520</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380,520</w:t>
            </w:r>
          </w:p>
        </w:tc>
        <w:tc>
          <w:tcPr>
            <w:tcW w:w="100" w:type="dxa"/>
            <w:vAlign w:val="bottom"/>
          </w:tcPr>
          <w:p>
            <w:pPr>
              <w:spacing w:after="0"/>
              <w:rPr>
                <w:sz w:val="19"/>
                <w:szCs w:val="19"/>
                <w:color w:val="auto"/>
              </w:rPr>
            </w:pPr>
          </w:p>
        </w:tc>
      </w:tr>
      <w:tr>
        <w:trPr>
          <w:trHeight w:val="22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847,123</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847,123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780" w:type="dxa"/>
            <w:vAlign w:val="bottom"/>
          </w:tcPr>
          <w:p>
            <w:pPr>
              <w:ind w:left="12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118,446</w:t>
            </w:r>
          </w:p>
        </w:tc>
        <w:tc>
          <w:tcPr>
            <w:tcW w:w="5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857,073</w:t>
            </w:r>
          </w:p>
        </w:tc>
        <w:tc>
          <w:tcPr>
            <w:tcW w:w="5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975,519</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5780" w:type="dxa"/>
            <w:vAlign w:val="bottom"/>
          </w:tcPr>
          <w:p>
            <w:pPr>
              <w:ind w:left="200"/>
              <w:spacing w:after="0"/>
              <w:rPr>
                <w:sz w:val="20"/>
                <w:szCs w:val="20"/>
                <w:color w:val="auto"/>
              </w:rPr>
            </w:pPr>
            <w:r>
              <w:rPr>
                <w:rFonts w:ascii="Arial" w:cs="Arial" w:eastAsia="Arial" w:hAnsi="Arial"/>
                <w:sz w:val="16"/>
                <w:szCs w:val="16"/>
                <w:color w:val="auto"/>
              </w:rPr>
              <w:t>Contingent Milestone Payments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27,378</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27,378</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27,378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28"/>
        </w:trPr>
        <w:tc>
          <w:tcPr>
            <w:tcW w:w="5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4"/>
          </w:tcPr>
          <w:p>
            <w:pPr>
              <w:jc w:val="center"/>
              <w:ind w:right="161"/>
              <w:spacing w:after="0"/>
              <w:rPr>
                <w:sz w:val="20"/>
                <w:szCs w:val="20"/>
                <w:color w:val="auto"/>
              </w:rPr>
            </w:pPr>
            <w:r>
              <w:rPr>
                <w:rFonts w:ascii="Arial" w:cs="Arial" w:eastAsia="Arial" w:hAnsi="Arial"/>
                <w:sz w:val="13"/>
                <w:szCs w:val="13"/>
                <w:b w:val="1"/>
                <w:bCs w:val="1"/>
                <w:color w:val="auto"/>
                <w:w w:val="88"/>
              </w:rPr>
              <w:t>Fair Value Measurements as of</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5"/>
        </w:trPr>
        <w:tc>
          <w:tcPr>
            <w:tcW w:w="5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181"/>
              <w:spacing w:after="0"/>
              <w:rPr>
                <w:sz w:val="20"/>
                <w:szCs w:val="20"/>
                <w:color w:val="auto"/>
              </w:rPr>
            </w:pPr>
            <w:r>
              <w:rPr>
                <w:rFonts w:ascii="Arial" w:cs="Arial" w:eastAsia="Arial" w:hAnsi="Arial"/>
                <w:sz w:val="13"/>
                <w:szCs w:val="13"/>
                <w:b w:val="1"/>
                <w:bCs w:val="1"/>
                <w:color w:val="auto"/>
                <w:w w:val="87"/>
              </w:rPr>
              <w:t>December 31, 2021:</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5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Level 1</w:t>
            </w: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Level 2</w:t>
            </w: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w w:val="95"/>
              </w:rPr>
              <w:t>Level 3</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r>
      <w:tr>
        <w:trPr>
          <w:trHeight w:val="155"/>
        </w:trPr>
        <w:tc>
          <w:tcPr>
            <w:tcW w:w="5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45"/>
              <w:spacing w:after="0"/>
              <w:rPr>
                <w:sz w:val="20"/>
                <w:szCs w:val="20"/>
                <w:color w:val="auto"/>
              </w:rPr>
            </w:pPr>
            <w:r>
              <w:rPr>
                <w:rFonts w:ascii="Arial" w:cs="Arial" w:eastAsia="Arial" w:hAnsi="Arial"/>
                <w:sz w:val="13"/>
                <w:szCs w:val="13"/>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8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3"/>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Money market funds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251,891</w:t>
            </w:r>
          </w:p>
        </w:tc>
        <w:tc>
          <w:tcPr>
            <w:tcW w:w="5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251,891</w:t>
            </w:r>
          </w:p>
        </w:tc>
        <w:tc>
          <w:tcPr>
            <w:tcW w:w="100" w:type="dxa"/>
            <w:vAlign w:val="bottom"/>
            <w:shd w:val="clear" w:color="auto" w:fill="CFF0FC"/>
          </w:tcPr>
          <w:p>
            <w:pPr>
              <w:spacing w:after="0"/>
              <w:rPr>
                <w:sz w:val="20"/>
                <w:szCs w:val="20"/>
                <w:color w:val="auto"/>
              </w:rPr>
            </w:pPr>
          </w:p>
        </w:tc>
      </w:tr>
      <w:tr>
        <w:trPr>
          <w:trHeight w:val="223"/>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Total cash equivalents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251,891</w:t>
            </w:r>
          </w:p>
        </w:tc>
        <w:tc>
          <w:tcPr>
            <w:tcW w:w="26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251,891</w:t>
            </w:r>
          </w:p>
        </w:tc>
        <w:tc>
          <w:tcPr>
            <w:tcW w:w="100" w:type="dxa"/>
            <w:vAlign w:val="bottom"/>
            <w:tcBorders>
              <w:top w:val="single" w:sz="8" w:color="CFF0FC"/>
            </w:tcBorders>
          </w:tcPr>
          <w:p>
            <w:pPr>
              <w:spacing w:after="0"/>
              <w:rPr>
                <w:sz w:val="19"/>
                <w:szCs w:val="19"/>
                <w:color w:val="auto"/>
              </w:rPr>
            </w:pPr>
          </w:p>
        </w:tc>
      </w:tr>
      <w:tr>
        <w:trPr>
          <w:trHeight w:val="230"/>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80" w:type="dxa"/>
            <w:vAlign w:val="bottom"/>
          </w:tcPr>
          <w:p>
            <w:pPr>
              <w:ind w:left="200"/>
              <w:spacing w:after="0"/>
              <w:rPr>
                <w:sz w:val="20"/>
                <w:szCs w:val="20"/>
                <w:color w:val="auto"/>
              </w:rPr>
            </w:pPr>
            <w:r>
              <w:rPr>
                <w:rFonts w:ascii="Arial" w:cs="Arial" w:eastAsia="Arial" w:hAnsi="Arial"/>
                <w:sz w:val="16"/>
                <w:szCs w:val="16"/>
                <w:color w:val="auto"/>
              </w:rPr>
              <w:t>U.S. treasury bills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469,386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469,386</w:t>
            </w:r>
          </w:p>
        </w:tc>
        <w:tc>
          <w:tcPr>
            <w:tcW w:w="100" w:type="dxa"/>
            <w:vAlign w:val="bottom"/>
          </w:tcPr>
          <w:p>
            <w:pPr>
              <w:spacing w:after="0"/>
              <w:rPr>
                <w:sz w:val="19"/>
                <w:szCs w:val="19"/>
                <w:color w:val="auto"/>
              </w:rPr>
            </w:pPr>
          </w:p>
        </w:tc>
      </w:tr>
      <w:tr>
        <w:trPr>
          <w:trHeight w:val="233"/>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208,568</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208,568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6"/>
                <w:szCs w:val="16"/>
                <w:color w:val="auto"/>
              </w:rPr>
              <w:t>Total investments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677,954</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677,954</w:t>
            </w:r>
          </w:p>
        </w:tc>
        <w:tc>
          <w:tcPr>
            <w:tcW w:w="100" w:type="dxa"/>
            <w:vAlign w:val="bottom"/>
          </w:tcPr>
          <w:p>
            <w:pPr>
              <w:spacing w:after="0"/>
              <w:rPr>
                <w:sz w:val="19"/>
                <w:szCs w:val="19"/>
                <w:color w:val="auto"/>
              </w:rPr>
            </w:pPr>
          </w:p>
        </w:tc>
      </w:tr>
      <w:tr>
        <w:trPr>
          <w:trHeight w:val="263"/>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Total assets</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251,891</w:t>
            </w:r>
          </w:p>
        </w:tc>
        <w:tc>
          <w:tcPr>
            <w:tcW w:w="5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677,954</w:t>
            </w:r>
          </w:p>
        </w:tc>
        <w:tc>
          <w:tcPr>
            <w:tcW w:w="56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929,845</w:t>
            </w:r>
          </w:p>
        </w:tc>
        <w:tc>
          <w:tcPr>
            <w:tcW w:w="100" w:type="dxa"/>
            <w:vAlign w:val="bottom"/>
            <w:shd w:val="clear" w:color="auto" w:fill="CFF0FC"/>
          </w:tcPr>
          <w:p>
            <w:pPr>
              <w:spacing w:after="0"/>
              <w:rPr>
                <w:sz w:val="22"/>
                <w:szCs w:val="22"/>
                <w:color w:val="auto"/>
              </w:rPr>
            </w:pPr>
          </w:p>
        </w:tc>
      </w:tr>
      <w:tr>
        <w:trPr>
          <w:trHeight w:val="207"/>
        </w:trPr>
        <w:tc>
          <w:tcPr>
            <w:tcW w:w="578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3"/>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Contingent Milestone Payments</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45,258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780" w:type="dxa"/>
            <w:vAlign w:val="bottom"/>
          </w:tcPr>
          <w:p>
            <w:pPr>
              <w:ind w:left="120"/>
              <w:spacing w:after="0"/>
              <w:rPr>
                <w:sz w:val="20"/>
                <w:szCs w:val="20"/>
                <w:color w:val="auto"/>
              </w:rPr>
            </w:pPr>
            <w:r>
              <w:rPr>
                <w:rFonts w:ascii="Arial" w:cs="Arial" w:eastAsia="Arial" w:hAnsi="Arial"/>
                <w:sz w:val="16"/>
                <w:szCs w:val="16"/>
                <w:color w:val="auto"/>
              </w:rPr>
              <w:t>Total liabilities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45,258</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45,258</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-3702685</wp:posOffset>
            </wp:positionV>
            <wp:extent cx="7747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-3702685</wp:posOffset>
            </wp:positionV>
            <wp:extent cx="6858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-3702685</wp:posOffset>
            </wp:positionV>
            <wp:extent cx="6858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-3102610</wp:posOffset>
            </wp:positionV>
            <wp:extent cx="77470" cy="1797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-3102610</wp:posOffset>
            </wp:positionV>
            <wp:extent cx="68580" cy="179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-3102610</wp:posOffset>
            </wp:positionV>
            <wp:extent cx="68580" cy="1797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1797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-2477135</wp:posOffset>
            </wp:positionV>
            <wp:extent cx="774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-2459355</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-2477135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-2459355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-2477135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-2459355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-2477135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-1405255</wp:posOffset>
            </wp:positionV>
            <wp:extent cx="77470" cy="1631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-1405255</wp:posOffset>
            </wp:positionV>
            <wp:extent cx="68580" cy="1631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-1405255</wp:posOffset>
            </wp:positionV>
            <wp:extent cx="68580" cy="1631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163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-805180</wp:posOffset>
            </wp:positionV>
            <wp:extent cx="77470" cy="1631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-805180</wp:posOffset>
            </wp:positionV>
            <wp:extent cx="68580" cy="1631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-805180</wp:posOffset>
            </wp:positionV>
            <wp:extent cx="68580" cy="1631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163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-496570</wp:posOffset>
            </wp:positionV>
            <wp:extent cx="273431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734310" cy="17145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-179705</wp:posOffset>
            </wp:positionV>
            <wp:extent cx="77470" cy="1803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-179705</wp:posOffset>
            </wp:positionV>
            <wp:extent cx="68580" cy="1803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-179705</wp:posOffset>
            </wp:positionV>
            <wp:extent cx="68580" cy="1803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86"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In determining the fair value of its investments at each date presented above, the Company relied on quoted prices for similar securities in active markets or using other inputs that are observable or can be corroborated by observable market data.</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Contingent Consideration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April 2021, the Company acquired ZebiAI, as detailed further in Note 10, </w:t>
      </w:r>
      <w:r>
        <w:rPr>
          <w:rFonts w:ascii="Arial" w:cs="Arial" w:eastAsia="Arial" w:hAnsi="Arial"/>
          <w:sz w:val="16"/>
          <w:szCs w:val="16"/>
          <w:i w:val="1"/>
          <w:iCs w:val="1"/>
          <w:color w:val="auto"/>
        </w:rPr>
        <w:t>Acquisition of ZebiAI</w:t>
      </w:r>
      <w:r>
        <w:rPr>
          <w:rFonts w:ascii="Arial" w:cs="Arial" w:eastAsia="Arial" w:hAnsi="Arial"/>
          <w:sz w:val="16"/>
          <w:szCs w:val="16"/>
          <w:color w:val="auto"/>
        </w:rPr>
        <w:t>.</w:t>
      </w:r>
    </w:p>
    <w:p>
      <w:pPr>
        <w:spacing w:after="0" w:line="23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 xml:space="preserve">The Company’s Level 3 contingent consideration liability is related to $85.0 million of platform and program milestones (“Contingent Milestone Payments”) payable to ZebiAI’s former equity holders upon achievement. The contingent consideration liability for the Contingent Milestone Payments is measured at fair value at each reporting date pursuant to FASB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 The Company determines the fair value of the Contingent Milestone Payments based on the probability of achieving the milestones, the related timing, and, to a lesser extent, an appropriate discount rate. Significant judgment is used in determining the underlying assumptions. Due to the uncertainties associated with the development of platforms and drug candidates in the pharmaceutical industry and the effects of changes in assumptions,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34" w:name="page135"/>
    <w:bookmarkEnd w:id="134"/>
    <w:p>
      <w:pPr>
        <w:ind w:right="180"/>
        <w:spacing w:after="0" w:line="328" w:lineRule="auto"/>
        <w:rPr>
          <w:sz w:val="20"/>
          <w:szCs w:val="20"/>
          <w:color w:val="auto"/>
        </w:rPr>
      </w:pPr>
      <w:r>
        <w:rPr>
          <w:rFonts w:ascii="Arial" w:cs="Arial" w:eastAsia="Arial" w:hAnsi="Arial"/>
          <w:sz w:val="15"/>
          <w:szCs w:val="15"/>
          <w:color w:val="auto"/>
        </w:rPr>
        <w:t>including probability of success and related timing, the Company expects its estimates regarding the fair value of Contingent Milestone Payments to continue to change in the future, resulting in adjustments to the fair value of the Company’s Contingent Milestone Payments. The effect of any such adjustments could be material.</w:t>
      </w:r>
    </w:p>
    <w:p>
      <w:pPr>
        <w:spacing w:after="0" w:line="150" w:lineRule="exact"/>
        <w:rPr>
          <w:sz w:val="20"/>
          <w:szCs w:val="20"/>
          <w:color w:val="auto"/>
        </w:rPr>
      </w:pPr>
    </w:p>
    <w:p>
      <w:pPr>
        <w:jc w:val="both"/>
        <w:ind w:right="220"/>
        <w:spacing w:after="0" w:line="273" w:lineRule="auto"/>
        <w:rPr>
          <w:sz w:val="20"/>
          <w:szCs w:val="20"/>
          <w:color w:val="auto"/>
        </w:rPr>
      </w:pPr>
      <w:r>
        <w:rPr>
          <w:rFonts w:ascii="Arial" w:cs="Arial" w:eastAsia="Arial" w:hAnsi="Arial"/>
          <w:sz w:val="16"/>
          <w:szCs w:val="16"/>
          <w:color w:val="auto"/>
        </w:rPr>
        <w:t xml:space="preserve">The Company also has a contingent consideration liability related to the fair value of $100.0 million in earnout payments (“Contingent Earnout Payments”). Because the Contingent Earnout Payments were not accounted for as derivatives under FASB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they were only measured at fair value as of the acquisition date and are not re-assessed at fair value at each reporting period. The Contingent Earnout Payments will be adjusted when the contingency is resolved and the consideration is paid or becomes payable.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change in the contingent consideration liability:</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5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580"/>
              <w:spacing w:after="0"/>
              <w:rPr>
                <w:sz w:val="20"/>
                <w:szCs w:val="20"/>
                <w:color w:val="auto"/>
              </w:rPr>
            </w:pPr>
            <w:r>
              <w:rPr>
                <w:rFonts w:ascii="Arial" w:cs="Arial" w:eastAsia="Arial" w:hAnsi="Arial"/>
                <w:sz w:val="13"/>
                <w:szCs w:val="13"/>
                <w:b w:val="1"/>
                <w:bCs w:val="1"/>
                <w:color w:val="auto"/>
                <w:w w:val="86"/>
              </w:rPr>
              <w:t>Year Ended December 31,</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58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r>
      <w:tr>
        <w:trPr>
          <w:trHeight w:val="156"/>
        </w:trPr>
        <w:tc>
          <w:tcPr>
            <w:tcW w:w="5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62"/>
              <w:spacing w:after="0"/>
              <w:rPr>
                <w:sz w:val="20"/>
                <w:szCs w:val="20"/>
                <w:color w:val="auto"/>
              </w:rPr>
            </w:pPr>
            <w:r>
              <w:rPr>
                <w:rFonts w:ascii="Arial" w:cs="Arial" w:eastAsia="Arial" w:hAnsi="Arial"/>
                <w:sz w:val="13"/>
                <w:szCs w:val="13"/>
                <w:b w:val="1"/>
                <w:bCs w:val="1"/>
                <w:color w:val="auto"/>
                <w:w w:val="87"/>
              </w:rPr>
              <w:t>(in thousands)</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50,258</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9"/>
                <w:szCs w:val="19"/>
                <w:color w:val="auto"/>
              </w:rPr>
            </w:pPr>
          </w:p>
        </w:tc>
      </w:tr>
      <w:tr>
        <w:trPr>
          <w:trHeight w:val="220"/>
        </w:trPr>
        <w:tc>
          <w:tcPr>
            <w:tcW w:w="5880" w:type="dxa"/>
            <w:vAlign w:val="bottom"/>
          </w:tcPr>
          <w:p>
            <w:pPr>
              <w:spacing w:after="0"/>
              <w:rPr>
                <w:sz w:val="20"/>
                <w:szCs w:val="20"/>
                <w:color w:val="auto"/>
              </w:rPr>
            </w:pPr>
            <w:r>
              <w:rPr>
                <w:rFonts w:ascii="Arial" w:cs="Arial" w:eastAsia="Arial" w:hAnsi="Arial"/>
                <w:sz w:val="16"/>
                <w:szCs w:val="16"/>
                <w:color w:val="auto"/>
              </w:rPr>
              <w:t>Fair value of contingent consideration upon acquisition</w:t>
            </w: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47,422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9"/>
                <w:szCs w:val="19"/>
                <w:color w:val="auto"/>
              </w:rPr>
            </w:pPr>
          </w:p>
        </w:tc>
      </w:tr>
      <w:tr>
        <w:trPr>
          <w:trHeight w:val="239"/>
        </w:trPr>
        <w:tc>
          <w:tcPr>
            <w:tcW w:w="588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 of Contingent Milestone Payments</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(11,677 )</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2,836</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20"/>
                <w:szCs w:val="20"/>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6"/>
                <w:szCs w:val="16"/>
                <w:color w:val="auto"/>
              </w:rPr>
              <w:t>Common stock issued upon milestone achievement</w:t>
            </w:r>
          </w:p>
        </w:tc>
        <w:tc>
          <w:tcPr>
            <w:tcW w:w="2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(6,203 )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9"/>
                <w:szCs w:val="19"/>
                <w:color w:val="auto"/>
              </w:rPr>
            </w:pPr>
          </w:p>
        </w:tc>
      </w:tr>
      <w:tr>
        <w:trPr>
          <w:trHeight w:val="263"/>
        </w:trPr>
        <w:tc>
          <w:tcPr>
            <w:tcW w:w="58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32,378</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50,258</w:t>
            </w:r>
          </w:p>
        </w:tc>
        <w:tc>
          <w:tcPr>
            <w:tcW w:w="1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603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"Fair value of contingent consideration upon acquisition" in the table above represents the fair value of the Contingent Milestone Payments and Contingent Earnout Payments upon acquisition of ZebiAI in 2021.</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“Change in fair value of Contingent Milestone Payments” in the table above was attributable to changes in the assumptions noted above during the periods specified.</w:t>
      </w:r>
    </w:p>
    <w:p>
      <w:pPr>
        <w:spacing w:after="0" w:line="246"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“Common stock issued upon milestone achievement” in the table above was attributable to 301,939 shares of common stock issued to ZebiAI's former equity holders upon achievement of one of the platform milestones during the year ended December 31, 2022.</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outstanding Contingent Milestone Payments are payable in shares of common stock based on a fixed amount assigned to each milestone and the average closing price of the Company’s common stock for the 5-day period prior to the milestone achievement. Accordingly, the number of shares of common stock to be issued upon a milestone achievement vary dependent on the Company’s common stock price. If the outstanding milestones were achieved in full on December 31, 2022, the number of shares of common stock to be issued would be 4,954,739 based on an average closing price of the Company's common stock of $14.58 for the 5-day period prior to December 31, 2022.</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Investments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available-for-sale investments by type of security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3"/>
                <w:szCs w:val="13"/>
                <w:b w:val="1"/>
                <w:bCs w:val="1"/>
                <w:color w:val="auto"/>
              </w:rPr>
              <w:t>December 31, 2022</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203"/>
              <w:spacing w:after="0" w:line="125" w:lineRule="exact"/>
              <w:rPr>
                <w:sz w:val="20"/>
                <w:szCs w:val="20"/>
                <w:color w:val="auto"/>
              </w:rPr>
            </w:pPr>
            <w:r>
              <w:rPr>
                <w:rFonts w:ascii="Arial" w:cs="Arial" w:eastAsia="Arial" w:hAnsi="Arial"/>
                <w:sz w:val="13"/>
                <w:szCs w:val="13"/>
                <w:b w:val="1"/>
                <w:bCs w:val="1"/>
                <w:color w:val="auto"/>
              </w:rPr>
              <w:t>Amortized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206"/>
              <w:spacing w:after="0" w:line="125"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540"/>
              <w:spacing w:after="0" w:line="125" w:lineRule="exact"/>
              <w:rPr>
                <w:sz w:val="20"/>
                <w:szCs w:val="20"/>
                <w:color w:val="auto"/>
              </w:rPr>
            </w:pPr>
            <w:r>
              <w:rPr>
                <w:rFonts w:ascii="Arial" w:cs="Arial" w:eastAsia="Arial" w:hAnsi="Arial"/>
                <w:sz w:val="13"/>
                <w:szCs w:val="13"/>
                <w:b w:val="1"/>
                <w:bCs w:val="1"/>
                <w:color w:val="auto"/>
                <w:w w:val="88"/>
              </w:rPr>
              <w:t>Unrealized</w:t>
            </w:r>
          </w:p>
        </w:tc>
        <w:tc>
          <w:tcPr>
            <w:tcW w:w="260" w:type="dxa"/>
            <w:vAlign w:val="bottom"/>
          </w:tcPr>
          <w:p>
            <w:pPr>
              <w:spacing w:after="0"/>
              <w:rPr>
                <w:sz w:val="10"/>
                <w:szCs w:val="10"/>
                <w:color w:val="auto"/>
              </w:rPr>
            </w:pPr>
          </w:p>
        </w:tc>
        <w:tc>
          <w:tcPr>
            <w:tcW w:w="900" w:type="dxa"/>
            <w:vAlign w:val="bottom"/>
          </w:tcPr>
          <w:p>
            <w:pPr>
              <w:jc w:val="right"/>
              <w:ind w:right="403"/>
              <w:spacing w:after="0" w:line="12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65"/>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Cost</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46"/>
              <w:spacing w:after="0"/>
              <w:rPr>
                <w:sz w:val="20"/>
                <w:szCs w:val="20"/>
                <w:color w:val="auto"/>
              </w:rPr>
            </w:pPr>
            <w:r>
              <w:rPr>
                <w:rFonts w:ascii="Arial" w:cs="Arial" w:eastAsia="Arial" w:hAnsi="Arial"/>
                <w:sz w:val="13"/>
                <w:szCs w:val="13"/>
                <w:b w:val="1"/>
                <w:bCs w:val="1"/>
                <w:color w:val="auto"/>
              </w:rPr>
              <w:t>Gains</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3"/>
              <w:spacing w:after="0"/>
              <w:rPr>
                <w:sz w:val="20"/>
                <w:szCs w:val="20"/>
                <w:color w:val="auto"/>
              </w:rPr>
            </w:pPr>
            <w:r>
              <w:rPr>
                <w:rFonts w:ascii="Arial" w:cs="Arial" w:eastAsia="Arial" w:hAnsi="Arial"/>
                <w:sz w:val="13"/>
                <w:szCs w:val="13"/>
                <w:b w:val="1"/>
                <w:bCs w:val="1"/>
                <w:color w:val="auto"/>
              </w:rPr>
              <w:t>Losses</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4"/>
                <w:szCs w:val="14"/>
                <w:color w:val="auto"/>
              </w:rPr>
            </w:pPr>
          </w:p>
        </w:tc>
      </w:tr>
      <w:tr>
        <w:trPr>
          <w:trHeight w:val="157"/>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Arial" w:cs="Arial" w:eastAsia="Arial" w:hAnsi="Arial"/>
                <w:sz w:val="13"/>
                <w:szCs w:val="13"/>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80" w:type="dxa"/>
            <w:vAlign w:val="bottom"/>
          </w:tcPr>
          <w:p>
            <w:pPr>
              <w:ind w:left="200"/>
              <w:spacing w:after="0"/>
              <w:rPr>
                <w:sz w:val="20"/>
                <w:szCs w:val="20"/>
                <w:color w:val="auto"/>
              </w:rPr>
            </w:pPr>
            <w:r>
              <w:rPr>
                <w:rFonts w:ascii="Arial" w:cs="Arial" w:eastAsia="Arial" w:hAnsi="Arial"/>
                <w:sz w:val="16"/>
                <w:szCs w:val="16"/>
                <w:color w:val="auto"/>
              </w:rPr>
              <w:t>U.S. treasury bills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356,728</w:t>
            </w:r>
          </w:p>
        </w:tc>
        <w:tc>
          <w:tcPr>
            <w:tcW w:w="46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5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(5,523 )</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351,214</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236,483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(3,104 )</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233,428</w:t>
            </w:r>
          </w:p>
        </w:tc>
        <w:tc>
          <w:tcPr>
            <w:tcW w:w="100" w:type="dxa"/>
            <w:vAlign w:val="bottom"/>
            <w:shd w:val="clear" w:color="auto" w:fill="CFF0FC"/>
          </w:tcPr>
          <w:p>
            <w:pPr>
              <w:spacing w:after="0"/>
              <w:rPr>
                <w:sz w:val="19"/>
                <w:szCs w:val="19"/>
                <w:color w:val="auto"/>
              </w:rPr>
            </w:pPr>
          </w:p>
        </w:tc>
      </w:tr>
      <w:tr>
        <w:trPr>
          <w:trHeight w:val="23"/>
        </w:trPr>
        <w:tc>
          <w:tcPr>
            <w:tcW w:w="57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780" w:type="dxa"/>
            <w:vAlign w:val="bottom"/>
          </w:tcPr>
          <w:p>
            <w:pPr>
              <w:ind w:left="200"/>
              <w:spacing w:after="0"/>
              <w:rPr>
                <w:sz w:val="20"/>
                <w:szCs w:val="20"/>
                <w:color w:val="auto"/>
              </w:rPr>
            </w:pPr>
            <w:r>
              <w:rPr>
                <w:rFonts w:ascii="Arial" w:cs="Arial" w:eastAsia="Arial" w:hAnsi="Arial"/>
                <w:sz w:val="16"/>
                <w:szCs w:val="16"/>
                <w:color w:val="auto"/>
              </w:rPr>
              <w:t>Total investments with a maturity of one year or less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593,211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(8,627 )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584,642</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80" w:type="dxa"/>
            <w:vAlign w:val="bottom"/>
          </w:tcPr>
          <w:p>
            <w:pPr>
              <w:ind w:left="200"/>
              <w:spacing w:after="0"/>
              <w:rPr>
                <w:sz w:val="20"/>
                <w:szCs w:val="20"/>
                <w:color w:val="auto"/>
              </w:rPr>
            </w:pPr>
            <w:r>
              <w:rPr>
                <w:rFonts w:ascii="Arial" w:cs="Arial" w:eastAsia="Arial" w:hAnsi="Arial"/>
                <w:sz w:val="16"/>
                <w:szCs w:val="16"/>
                <w:color w:val="auto"/>
              </w:rPr>
              <w:t>U.S. treasury bills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116,290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(915 )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115,389</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148,042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(986 )</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147,092</w:t>
            </w:r>
          </w:p>
        </w:tc>
        <w:tc>
          <w:tcPr>
            <w:tcW w:w="100" w:type="dxa"/>
            <w:vAlign w:val="bottom"/>
            <w:shd w:val="clear" w:color="auto" w:fill="CFF0FC"/>
          </w:tcPr>
          <w:p>
            <w:pPr>
              <w:spacing w:after="0"/>
              <w:rPr>
                <w:sz w:val="19"/>
                <w:szCs w:val="19"/>
                <w:color w:val="auto"/>
              </w:rPr>
            </w:pPr>
          </w:p>
        </w:tc>
      </w:tr>
      <w:tr>
        <w:trPr>
          <w:trHeight w:val="23"/>
        </w:trPr>
        <w:tc>
          <w:tcPr>
            <w:tcW w:w="57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5780" w:type="dxa"/>
            <w:vAlign w:val="bottom"/>
          </w:tcPr>
          <w:p>
            <w:pPr>
              <w:ind w:left="200"/>
              <w:spacing w:after="0"/>
              <w:rPr>
                <w:sz w:val="20"/>
                <w:szCs w:val="20"/>
                <w:color w:val="auto"/>
              </w:rPr>
            </w:pPr>
            <w:r>
              <w:rPr>
                <w:rFonts w:ascii="Arial" w:cs="Arial" w:eastAsia="Arial" w:hAnsi="Arial"/>
                <w:sz w:val="16"/>
                <w:szCs w:val="16"/>
                <w:color w:val="auto"/>
              </w:rPr>
              <w:t>Total investments with a maturity of one to two years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264,332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(1,901 )</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262,481</w:t>
            </w:r>
          </w:p>
        </w:tc>
        <w:tc>
          <w:tcPr>
            <w:tcW w:w="100" w:type="dxa"/>
            <w:vAlign w:val="bottom"/>
          </w:tcPr>
          <w:p>
            <w:pPr>
              <w:spacing w:after="0"/>
              <w:rPr>
                <w:sz w:val="19"/>
                <w:szCs w:val="19"/>
                <w:color w:val="auto"/>
              </w:rPr>
            </w:pPr>
          </w:p>
        </w:tc>
      </w:tr>
      <w:tr>
        <w:trPr>
          <w:trHeight w:val="23"/>
        </w:trPr>
        <w:tc>
          <w:tcPr>
            <w:tcW w:w="5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investments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857,543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(10,528 )</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847,123</w:t>
            </w:r>
          </w:p>
        </w:tc>
        <w:tc>
          <w:tcPr>
            <w:tcW w:w="100" w:type="dxa"/>
            <w:vAlign w:val="bottom"/>
            <w:shd w:val="clear" w:color="auto" w:fill="CFF0FC"/>
          </w:tcPr>
          <w:p>
            <w:pPr>
              <w:spacing w:after="0"/>
              <w:rPr>
                <w:sz w:val="21"/>
                <w:szCs w:val="2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-934085</wp:posOffset>
            </wp:positionV>
            <wp:extent cx="76835" cy="1631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-934085</wp:posOffset>
            </wp:positionV>
            <wp:extent cx="68580" cy="1631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-934085</wp:posOffset>
            </wp:positionV>
            <wp:extent cx="68580" cy="1631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163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-334010</wp:posOffset>
            </wp:positionV>
            <wp:extent cx="76835" cy="1631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-334010</wp:posOffset>
            </wp:positionV>
            <wp:extent cx="68580" cy="1631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-334010</wp:posOffset>
            </wp:positionV>
            <wp:extent cx="68580" cy="1631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1631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768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76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ind w:left="560"/>
              <w:spacing w:after="0"/>
              <w:rPr>
                <w:sz w:val="20"/>
                <w:szCs w:val="20"/>
                <w:color w:val="auto"/>
              </w:rPr>
            </w:pPr>
            <w:r>
              <w:rPr>
                <w:rFonts w:ascii="Arial" w:cs="Arial" w:eastAsia="Arial" w:hAnsi="Arial"/>
                <w:sz w:val="13"/>
                <w:szCs w:val="13"/>
                <w:b w:val="1"/>
                <w:bCs w:val="1"/>
                <w:color w:val="auto"/>
              </w:rPr>
              <w:t>December 31, 2021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5"/>
        </w:trPr>
        <w:tc>
          <w:tcPr>
            <w:tcW w:w="5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right"/>
              <w:ind w:right="203"/>
              <w:spacing w:after="0" w:line="125" w:lineRule="exact"/>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ind w:left="100"/>
              <w:spacing w:after="0" w:line="125"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3"/>
          </w:tcPr>
          <w:p>
            <w:pPr>
              <w:jc w:val="center"/>
              <w:ind w:right="520"/>
              <w:spacing w:after="0" w:line="125" w:lineRule="exact"/>
              <w:rPr>
                <w:sz w:val="20"/>
                <w:szCs w:val="20"/>
                <w:color w:val="auto"/>
              </w:rPr>
            </w:pPr>
            <w:r>
              <w:rPr>
                <w:rFonts w:ascii="Arial" w:cs="Arial" w:eastAsia="Arial" w:hAnsi="Arial"/>
                <w:sz w:val="13"/>
                <w:szCs w:val="13"/>
                <w:b w:val="1"/>
                <w:bCs w:val="1"/>
                <w:color w:val="auto"/>
                <w:w w:val="88"/>
              </w:rPr>
              <w:t>Unrealized</w:t>
            </w:r>
          </w:p>
        </w:tc>
        <w:tc>
          <w:tcPr>
            <w:tcW w:w="260" w:type="dxa"/>
            <w:vAlign w:val="bottom"/>
          </w:tcPr>
          <w:p>
            <w:pPr>
              <w:spacing w:after="0"/>
              <w:rPr>
                <w:sz w:val="10"/>
                <w:szCs w:val="10"/>
                <w:color w:val="auto"/>
              </w:rPr>
            </w:pPr>
          </w:p>
        </w:tc>
        <w:tc>
          <w:tcPr>
            <w:tcW w:w="900" w:type="dxa"/>
            <w:vAlign w:val="bottom"/>
          </w:tcPr>
          <w:p>
            <w:pPr>
              <w:jc w:val="right"/>
              <w:ind w:right="403"/>
              <w:spacing w:after="0" w:line="12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65"/>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Gains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3"/>
              <w:spacing w:after="0"/>
              <w:rPr>
                <w:sz w:val="20"/>
                <w:szCs w:val="20"/>
                <w:color w:val="auto"/>
              </w:rPr>
            </w:pPr>
            <w:r>
              <w:rPr>
                <w:rFonts w:ascii="Arial" w:cs="Arial" w:eastAsia="Arial" w:hAnsi="Arial"/>
                <w:sz w:val="13"/>
                <w:szCs w:val="13"/>
                <w:b w:val="1"/>
                <w:bCs w:val="1"/>
                <w:color w:val="auto"/>
                <w:w w:val="75"/>
              </w:rPr>
              <w:t>Losses</w:t>
            </w:r>
          </w:p>
        </w:tc>
        <w:tc>
          <w:tcPr>
            <w:tcW w:w="260" w:type="dxa"/>
            <w:vAlign w:val="bottom"/>
            <w:gridSpan w:val="2"/>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4"/>
                <w:szCs w:val="14"/>
                <w:color w:val="auto"/>
              </w:rPr>
            </w:pPr>
          </w:p>
        </w:tc>
      </w:tr>
      <w:tr>
        <w:trPr>
          <w:trHeight w:val="157"/>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ind w:left="680"/>
              <w:spacing w:after="0"/>
              <w:rPr>
                <w:sz w:val="20"/>
                <w:szCs w:val="20"/>
                <w:color w:val="auto"/>
              </w:rPr>
            </w:pPr>
            <w:r>
              <w:rPr>
                <w:rFonts w:ascii="Arial" w:cs="Arial" w:eastAsia="Arial" w:hAnsi="Arial"/>
                <w:sz w:val="13"/>
                <w:szCs w:val="13"/>
                <w:b w:val="1"/>
                <w:bCs w:val="1"/>
                <w:color w:val="auto"/>
              </w:rPr>
              <w:t>(in</w:t>
            </w:r>
          </w:p>
        </w:tc>
        <w:tc>
          <w:tcPr>
            <w:tcW w:w="500" w:type="dxa"/>
            <w:vAlign w:val="bottom"/>
            <w:gridSpan w:val="3"/>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80" w:type="dxa"/>
            <w:vAlign w:val="bottom"/>
          </w:tcPr>
          <w:p>
            <w:pPr>
              <w:ind w:left="200"/>
              <w:spacing w:after="0"/>
              <w:rPr>
                <w:sz w:val="20"/>
                <w:szCs w:val="20"/>
                <w:color w:val="auto"/>
              </w:rPr>
            </w:pPr>
            <w:r>
              <w:rPr>
                <w:rFonts w:ascii="Arial" w:cs="Arial" w:eastAsia="Arial" w:hAnsi="Arial"/>
                <w:sz w:val="16"/>
                <w:szCs w:val="16"/>
                <w:color w:val="auto"/>
              </w:rPr>
              <w:t>U.S. treasury bills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189,406</w:t>
            </w:r>
          </w:p>
        </w:tc>
        <w:tc>
          <w:tcPr>
            <w:tcW w:w="46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50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(228 )</w:t>
            </w:r>
          </w:p>
        </w:tc>
        <w:tc>
          <w:tcPr>
            <w:tcW w:w="14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189,178</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108,895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ind w:left="7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(138 )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108,757</w:t>
            </w:r>
          </w:p>
        </w:tc>
        <w:tc>
          <w:tcPr>
            <w:tcW w:w="100" w:type="dxa"/>
            <w:vAlign w:val="bottom"/>
            <w:shd w:val="clear" w:color="auto" w:fill="CFF0FC"/>
          </w:tcPr>
          <w:p>
            <w:pPr>
              <w:spacing w:after="0"/>
              <w:rPr>
                <w:sz w:val="19"/>
                <w:szCs w:val="19"/>
                <w:color w:val="auto"/>
              </w:rPr>
            </w:pPr>
          </w:p>
        </w:tc>
      </w:tr>
      <w:tr>
        <w:trPr>
          <w:trHeight w:val="23"/>
        </w:trPr>
        <w:tc>
          <w:tcPr>
            <w:tcW w:w="57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780" w:type="dxa"/>
            <w:vAlign w:val="bottom"/>
          </w:tcPr>
          <w:p>
            <w:pPr>
              <w:ind w:left="200"/>
              <w:spacing w:after="0"/>
              <w:rPr>
                <w:sz w:val="20"/>
                <w:szCs w:val="20"/>
                <w:color w:val="auto"/>
              </w:rPr>
            </w:pPr>
            <w:r>
              <w:rPr>
                <w:rFonts w:ascii="Arial" w:cs="Arial" w:eastAsia="Arial" w:hAnsi="Arial"/>
                <w:sz w:val="16"/>
                <w:szCs w:val="16"/>
                <w:color w:val="auto"/>
              </w:rPr>
              <w:t>Total investments with a maturity of one year or less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298,301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(366 )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297,935</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80" w:type="dxa"/>
            <w:vAlign w:val="bottom"/>
          </w:tcPr>
          <w:p>
            <w:pPr>
              <w:ind w:left="200"/>
              <w:spacing w:after="0"/>
              <w:rPr>
                <w:sz w:val="20"/>
                <w:szCs w:val="20"/>
                <w:color w:val="auto"/>
              </w:rPr>
            </w:pPr>
            <w:r>
              <w:rPr>
                <w:rFonts w:ascii="Arial" w:cs="Arial" w:eastAsia="Arial" w:hAnsi="Arial"/>
                <w:sz w:val="16"/>
                <w:szCs w:val="16"/>
                <w:color w:val="auto"/>
              </w:rPr>
              <w:t>U.S. treasury bills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280,743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(535 )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280,208</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agency securities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99,998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ind w:left="7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(187 )</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99,811</w:t>
            </w:r>
          </w:p>
        </w:tc>
        <w:tc>
          <w:tcPr>
            <w:tcW w:w="100" w:type="dxa"/>
            <w:vAlign w:val="bottom"/>
            <w:shd w:val="clear" w:color="auto" w:fill="CFF0FC"/>
          </w:tcPr>
          <w:p>
            <w:pPr>
              <w:spacing w:after="0"/>
              <w:rPr>
                <w:sz w:val="19"/>
                <w:szCs w:val="19"/>
                <w:color w:val="auto"/>
              </w:rPr>
            </w:pPr>
          </w:p>
        </w:tc>
      </w:tr>
      <w:tr>
        <w:trPr>
          <w:trHeight w:val="23"/>
        </w:trPr>
        <w:tc>
          <w:tcPr>
            <w:tcW w:w="57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5780" w:type="dxa"/>
            <w:vAlign w:val="bottom"/>
          </w:tcPr>
          <w:p>
            <w:pPr>
              <w:ind w:left="200"/>
              <w:spacing w:after="0"/>
              <w:rPr>
                <w:sz w:val="20"/>
                <w:szCs w:val="20"/>
                <w:color w:val="auto"/>
              </w:rPr>
            </w:pPr>
            <w:r>
              <w:rPr>
                <w:rFonts w:ascii="Arial" w:cs="Arial" w:eastAsia="Arial" w:hAnsi="Arial"/>
                <w:sz w:val="16"/>
                <w:szCs w:val="16"/>
                <w:color w:val="auto"/>
              </w:rPr>
              <w:t>Total investments with a maturity of one to two years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380,741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(722 )</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380,019</w:t>
            </w:r>
          </w:p>
        </w:tc>
        <w:tc>
          <w:tcPr>
            <w:tcW w:w="100" w:type="dxa"/>
            <w:vAlign w:val="bottom"/>
          </w:tcPr>
          <w:p>
            <w:pPr>
              <w:spacing w:after="0"/>
              <w:rPr>
                <w:sz w:val="19"/>
                <w:szCs w:val="19"/>
                <w:color w:val="auto"/>
              </w:rPr>
            </w:pPr>
          </w:p>
        </w:tc>
      </w:tr>
      <w:tr>
        <w:trPr>
          <w:trHeight w:val="23"/>
        </w:trPr>
        <w:tc>
          <w:tcPr>
            <w:tcW w:w="5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5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 investments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679,042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ind w:left="7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(1,088 )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677,954</w:t>
            </w:r>
          </w:p>
        </w:tc>
        <w:tc>
          <w:tcPr>
            <w:tcW w:w="100" w:type="dxa"/>
            <w:vAlign w:val="bottom"/>
            <w:shd w:val="clear" w:color="auto" w:fill="CFF0FC"/>
          </w:tcPr>
          <w:p>
            <w:pPr>
              <w:spacing w:after="0"/>
              <w:rPr>
                <w:sz w:val="21"/>
                <w:szCs w:val="2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-934085</wp:posOffset>
            </wp:positionV>
            <wp:extent cx="76835" cy="1631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-934085</wp:posOffset>
            </wp:positionV>
            <wp:extent cx="68580" cy="1631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-934085</wp:posOffset>
            </wp:positionV>
            <wp:extent cx="68580" cy="16319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1631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-334010</wp:posOffset>
            </wp:positionV>
            <wp:extent cx="76835" cy="1631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-334010</wp:posOffset>
            </wp:positionV>
            <wp:extent cx="68580" cy="1631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-334010</wp:posOffset>
            </wp:positionV>
            <wp:extent cx="68580" cy="1631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1631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768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The following table summarizes the Company's available-for-sale debt securities in an unrealized loss position for which an allowance for credit losses has not been recorded at December 31, 2022, aggregated by major security type and length of time in a continuous unrealized loss position: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5"/>
          </w:tcPr>
          <w:p>
            <w:pPr>
              <w:jc w:val="right"/>
              <w:ind w:right="1000"/>
              <w:spacing w:after="0"/>
              <w:rPr>
                <w:sz w:val="20"/>
                <w:szCs w:val="20"/>
                <w:color w:val="auto"/>
              </w:rPr>
            </w:pPr>
            <w:r>
              <w:rPr>
                <w:rFonts w:ascii="Arial" w:cs="Arial" w:eastAsia="Arial" w:hAnsi="Arial"/>
                <w:sz w:val="13"/>
                <w:szCs w:val="13"/>
                <w:b w:val="1"/>
                <w:bCs w:val="1"/>
                <w:color w:val="auto"/>
              </w:rPr>
              <w:t>Less than 12 Months</w:t>
            </w:r>
          </w:p>
        </w:tc>
        <w:tc>
          <w:tcPr>
            <w:tcW w:w="180" w:type="dxa"/>
            <w:vAlign w:val="bottom"/>
          </w:tcPr>
          <w:p>
            <w:pPr>
              <w:spacing w:after="0"/>
              <w:rPr>
                <w:sz w:val="14"/>
                <w:szCs w:val="14"/>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3"/>
                <w:szCs w:val="13"/>
                <w:b w:val="1"/>
                <w:bCs w:val="1"/>
                <w:color w:val="auto"/>
              </w:rPr>
              <w:t>12 Months or Longer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3"/>
              </w:rPr>
              <w:t>Total</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3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right"/>
              <w:ind w:right="560"/>
              <w:spacing w:after="0" w:line="135" w:lineRule="exact"/>
              <w:rPr>
                <w:sz w:val="20"/>
                <w:szCs w:val="20"/>
                <w:color w:val="auto"/>
              </w:rPr>
            </w:pPr>
            <w:r>
              <w:rPr>
                <w:rFonts w:ascii="Arial" w:cs="Arial" w:eastAsia="Arial" w:hAnsi="Arial"/>
                <w:sz w:val="13"/>
                <w:szCs w:val="13"/>
                <w:b w:val="1"/>
                <w:bCs w:val="1"/>
                <w:color w:val="auto"/>
              </w:rPr>
              <w:t>Unrealized</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Unrealized</w:t>
            </w:r>
          </w:p>
        </w:tc>
      </w:tr>
      <w:tr>
        <w:trPr>
          <w:trHeight w:val="165"/>
        </w:trPr>
        <w:tc>
          <w:tcPr>
            <w:tcW w:w="3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3"/>
                <w:szCs w:val="13"/>
                <w:b w:val="1"/>
                <w:bCs w:val="1"/>
                <w:color w:val="auto"/>
              </w:rPr>
              <w:t>Fair Value</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Losses</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Fair Value</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Losses</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w w:val="99"/>
              </w:rPr>
              <w:t>Fair Value</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06"/>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Pr>
          <w:p>
            <w:pPr>
              <w:spacing w:after="0"/>
              <w:rPr>
                <w:sz w:val="14"/>
                <w:szCs w:val="14"/>
                <w:color w:val="auto"/>
              </w:rPr>
            </w:pPr>
          </w:p>
        </w:tc>
      </w:tr>
      <w:tr>
        <w:trPr>
          <w:trHeight w:val="181"/>
        </w:trPr>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rPr>
              <w:t>(in thousands)</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
        </w:trPr>
        <w:tc>
          <w:tcPr>
            <w:tcW w:w="3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2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1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040" w:type="dxa"/>
            <w:vAlign w:val="bottom"/>
            <w:gridSpan w:val="2"/>
          </w:tcPr>
          <w:p>
            <w:pPr>
              <w:spacing w:after="0"/>
              <w:rPr>
                <w:sz w:val="3"/>
                <w:szCs w:val="3"/>
                <w:color w:val="auto"/>
              </w:rPr>
            </w:pPr>
          </w:p>
        </w:tc>
      </w:tr>
      <w:tr>
        <w:trPr>
          <w:trHeight w:val="229"/>
        </w:trPr>
        <w:tc>
          <w:tcPr>
            <w:tcW w:w="3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bills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143,089</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(1,860 )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275,445</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(4,578 )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418,534</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(6,438 )</w:t>
            </w:r>
          </w:p>
        </w:tc>
      </w:tr>
      <w:tr>
        <w:trPr>
          <w:trHeight w:val="220"/>
        </w:trPr>
        <w:tc>
          <w:tcPr>
            <w:tcW w:w="3120" w:type="dxa"/>
            <w:vAlign w:val="bottom"/>
          </w:tcPr>
          <w:p>
            <w:pPr>
              <w:ind w:left="20"/>
              <w:spacing w:after="0"/>
              <w:rPr>
                <w:sz w:val="20"/>
                <w:szCs w:val="20"/>
                <w:color w:val="auto"/>
              </w:rPr>
            </w:pPr>
            <w:r>
              <w:rPr>
                <w:rFonts w:ascii="Arial" w:cs="Arial" w:eastAsia="Arial" w:hAnsi="Arial"/>
                <w:sz w:val="16"/>
                <w:szCs w:val="16"/>
                <w:color w:val="auto"/>
              </w:rPr>
              <w:t>U.S. agency securities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190,468</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(1,649 )</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97,305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(2,441 )</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287,773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(4,090 )</w:t>
            </w:r>
          </w:p>
        </w:tc>
      </w:tr>
      <w:tr>
        <w:trPr>
          <w:trHeight w:val="23"/>
        </w:trPr>
        <w:tc>
          <w:tcPr>
            <w:tcW w:w="3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31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333,557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(3,509 )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372,750</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(7,019 )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706,307</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(10,528 )</w:t>
            </w:r>
          </w:p>
        </w:tc>
      </w:tr>
      <w:tr>
        <w:trPr>
          <w:trHeight w:val="23"/>
        </w:trPr>
        <w:tc>
          <w:tcPr>
            <w:tcW w:w="31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-7620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available-for-sale debt securities in an unrealized loss position for which an allowance for credit losses has not been recorded at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aggregated by major security type and length of time in a continuous unrealized loss position: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5"/>
          </w:tcPr>
          <w:p>
            <w:pPr>
              <w:jc w:val="right"/>
              <w:ind w:right="1120"/>
              <w:spacing w:after="0"/>
              <w:rPr>
                <w:sz w:val="20"/>
                <w:szCs w:val="20"/>
                <w:color w:val="auto"/>
              </w:rPr>
            </w:pPr>
            <w:r>
              <w:rPr>
                <w:rFonts w:ascii="Arial" w:cs="Arial" w:eastAsia="Arial" w:hAnsi="Arial"/>
                <w:sz w:val="13"/>
                <w:szCs w:val="13"/>
                <w:b w:val="1"/>
                <w:bCs w:val="1"/>
                <w:color w:val="auto"/>
              </w:rPr>
              <w:t>Less than 12 Months</w:t>
            </w:r>
          </w:p>
        </w:tc>
        <w:tc>
          <w:tcPr>
            <w:tcW w:w="220" w:type="dxa"/>
            <w:vAlign w:val="bottom"/>
          </w:tcPr>
          <w:p>
            <w:pPr>
              <w:spacing w:after="0"/>
              <w:rPr>
                <w:sz w:val="14"/>
                <w:szCs w:val="14"/>
                <w:color w:val="auto"/>
              </w:rPr>
            </w:pPr>
          </w:p>
        </w:tc>
        <w:tc>
          <w:tcPr>
            <w:tcW w:w="2240" w:type="dxa"/>
            <w:vAlign w:val="bottom"/>
            <w:gridSpan w:val="3"/>
          </w:tcPr>
          <w:p>
            <w:pPr>
              <w:jc w:val="right"/>
              <w:ind w:right="457"/>
              <w:spacing w:after="0"/>
              <w:rPr>
                <w:sz w:val="20"/>
                <w:szCs w:val="20"/>
                <w:color w:val="auto"/>
              </w:rPr>
            </w:pPr>
            <w:r>
              <w:rPr>
                <w:rFonts w:ascii="Arial" w:cs="Arial" w:eastAsia="Arial" w:hAnsi="Arial"/>
                <w:sz w:val="13"/>
                <w:szCs w:val="13"/>
                <w:b w:val="1"/>
                <w:bCs w:val="1"/>
                <w:color w:val="auto"/>
              </w:rPr>
              <w:t>12 Months or Longer</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9"/>
              </w:rPr>
              <w:t>Total</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5"/>
        </w:trPr>
        <w:tc>
          <w:tcPr>
            <w:tcW w:w="2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right"/>
              <w:ind w:right="620"/>
              <w:spacing w:after="0" w:line="135"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Unrealized</w:t>
            </w:r>
          </w:p>
        </w:tc>
      </w:tr>
      <w:tr>
        <w:trPr>
          <w:trHeight w:val="165"/>
        </w:trPr>
        <w:tc>
          <w:tcPr>
            <w:tcW w:w="2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6"/>
              <w:spacing w:after="0"/>
              <w:rPr>
                <w:sz w:val="20"/>
                <w:szCs w:val="20"/>
                <w:color w:val="auto"/>
              </w:rPr>
            </w:pPr>
            <w:r>
              <w:rPr>
                <w:rFonts w:ascii="Arial" w:cs="Arial" w:eastAsia="Arial" w:hAnsi="Arial"/>
                <w:sz w:val="13"/>
                <w:szCs w:val="13"/>
                <w:b w:val="1"/>
                <w:bCs w:val="1"/>
                <w:color w:val="auto"/>
              </w:rPr>
              <w:t>Fair Value</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Losses</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Fair Value</w:t>
            </w: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Losses</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Fair Value</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w w:val="80"/>
              </w:rPr>
              <w:t>Losses</w:t>
            </w:r>
          </w:p>
        </w:tc>
        <w:tc>
          <w:tcPr>
            <w:tcW w:w="100" w:type="dxa"/>
            <w:vAlign w:val="bottom"/>
          </w:tcPr>
          <w:p>
            <w:pPr>
              <w:spacing w:after="0"/>
              <w:rPr>
                <w:sz w:val="14"/>
                <w:szCs w:val="14"/>
                <w:color w:val="auto"/>
              </w:rPr>
            </w:pPr>
          </w:p>
        </w:tc>
      </w:tr>
      <w:tr>
        <w:trPr>
          <w:trHeight w:val="181"/>
        </w:trPr>
        <w:tc>
          <w:tcPr>
            <w:tcW w:w="2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3"/>
          </w:tcPr>
          <w:p>
            <w:pPr>
              <w:jc w:val="right"/>
              <w:ind w:right="717"/>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3"/>
        </w:trPr>
        <w:tc>
          <w:tcPr>
            <w:tcW w:w="2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134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r>
      <w:tr>
        <w:trPr>
          <w:trHeight w:val="229"/>
        </w:trPr>
        <w:tc>
          <w:tcPr>
            <w:tcW w:w="2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treasury bills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469,386</w:t>
            </w:r>
          </w:p>
        </w:tc>
        <w:tc>
          <w:tcPr>
            <w:tcW w:w="5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(763 )</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1260" w:type="dxa"/>
            <w:vAlign w:val="bottom"/>
            <w:gridSpan w:val="2"/>
            <w:shd w:val="clear" w:color="auto" w:fill="CFF0FC"/>
          </w:tcPr>
          <w:p>
            <w:pPr>
              <w:jc w:val="right"/>
              <w:ind w:right="817"/>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6"/>
                <w:szCs w:val="16"/>
                <w:color w:val="auto"/>
                <w:w w:val="87"/>
              </w:rPr>
              <w:t>—</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469,386</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(763 )</w:t>
            </w:r>
          </w:p>
        </w:tc>
      </w:tr>
      <w:tr>
        <w:trPr>
          <w:trHeight w:val="220"/>
        </w:trPr>
        <w:tc>
          <w:tcPr>
            <w:tcW w:w="2440" w:type="dxa"/>
            <w:vAlign w:val="bottom"/>
          </w:tcPr>
          <w:p>
            <w:pPr>
              <w:ind w:left="20"/>
              <w:spacing w:after="0"/>
              <w:rPr>
                <w:sz w:val="20"/>
                <w:szCs w:val="20"/>
                <w:color w:val="auto"/>
              </w:rPr>
            </w:pPr>
            <w:r>
              <w:rPr>
                <w:rFonts w:ascii="Arial" w:cs="Arial" w:eastAsia="Arial" w:hAnsi="Arial"/>
                <w:sz w:val="16"/>
                <w:szCs w:val="16"/>
                <w:color w:val="auto"/>
              </w:rPr>
              <w:t>U.S. agency securities</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208,568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(325 )</w:t>
            </w:r>
          </w:p>
        </w:tc>
        <w:tc>
          <w:tcPr>
            <w:tcW w:w="220" w:type="dxa"/>
            <w:vAlign w:val="bottom"/>
          </w:tcPr>
          <w:p>
            <w:pPr>
              <w:spacing w:after="0"/>
              <w:rPr>
                <w:sz w:val="19"/>
                <w:szCs w:val="19"/>
                <w:color w:val="auto"/>
              </w:rPr>
            </w:pPr>
          </w:p>
        </w:tc>
        <w:tc>
          <w:tcPr>
            <w:tcW w:w="980" w:type="dxa"/>
            <w:vAlign w:val="bottom"/>
          </w:tcPr>
          <w:p>
            <w:pPr>
              <w:ind w:left="800"/>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ind w:left="80"/>
              <w:spacing w:after="0"/>
              <w:rPr>
                <w:sz w:val="20"/>
                <w:szCs w:val="20"/>
                <w:color w:val="auto"/>
              </w:rPr>
            </w:pPr>
            <w:r>
              <w:rPr>
                <w:rFonts w:ascii="Arial" w:cs="Arial" w:eastAsia="Arial" w:hAnsi="Arial"/>
                <w:sz w:val="16"/>
                <w:szCs w:val="16"/>
                <w:color w:val="auto"/>
                <w:w w:val="87"/>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208,568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(325 )</w:t>
            </w:r>
          </w:p>
        </w:tc>
      </w:tr>
      <w:tr>
        <w:trPr>
          <w:trHeight w:val="23"/>
        </w:trPr>
        <w:tc>
          <w:tcPr>
            <w:tcW w:w="2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24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677,954</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(1,088 )</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6"/>
                <w:szCs w:val="16"/>
                <w:color w:val="auto"/>
                <w:w w:val="99"/>
              </w:rPr>
              <w:t>—</w:t>
            </w:r>
          </w:p>
        </w:tc>
        <w:tc>
          <w:tcPr>
            <w:tcW w:w="1260" w:type="dxa"/>
            <w:vAlign w:val="bottom"/>
            <w:gridSpan w:val="2"/>
            <w:shd w:val="clear" w:color="auto" w:fill="CFF0FC"/>
          </w:tcPr>
          <w:p>
            <w:pPr>
              <w:jc w:val="right"/>
              <w:ind w:right="817"/>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ind w:left="80"/>
              <w:spacing w:after="0"/>
              <w:rPr>
                <w:sz w:val="20"/>
                <w:szCs w:val="20"/>
                <w:color w:val="auto"/>
              </w:rPr>
            </w:pPr>
            <w:r>
              <w:rPr>
                <w:rFonts w:ascii="Arial" w:cs="Arial" w:eastAsia="Arial" w:hAnsi="Arial"/>
                <w:sz w:val="16"/>
                <w:szCs w:val="16"/>
                <w:color w:val="auto"/>
                <w:w w:val="87"/>
              </w:rPr>
              <w:t>—</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677,954</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(1,088 )</w:t>
            </w:r>
          </w:p>
        </w:tc>
      </w:tr>
      <w:tr>
        <w:trPr>
          <w:trHeight w:val="23"/>
        </w:trPr>
        <w:tc>
          <w:tcPr>
            <w:tcW w:w="244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-8255</wp:posOffset>
            </wp:positionV>
            <wp:extent cx="77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-8255</wp:posOffset>
            </wp:positionV>
            <wp:extent cx="774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-8255</wp:posOffset>
            </wp:positionV>
            <wp:extent cx="768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right="80"/>
        <w:spacing w:after="0" w:line="335" w:lineRule="auto"/>
        <w:rPr>
          <w:sz w:val="20"/>
          <w:szCs w:val="20"/>
          <w:color w:val="auto"/>
        </w:rPr>
      </w:pPr>
      <w:r>
        <w:rPr>
          <w:rFonts w:ascii="Arial" w:cs="Arial" w:eastAsia="Arial" w:hAnsi="Arial"/>
          <w:sz w:val="14"/>
          <w:szCs w:val="14"/>
          <w:color w:val="auto"/>
        </w:rPr>
        <w:t>As summarized in the tables immediately above, the Company held 126 and 88 debt securities that were in an unrealized loss position as of December 31, 2022 and 2021, respectively. The unrealized losses at December 31, 2022 and 2021 were attributable to changes in interest rates and the unrealized losses do not represent credit losses. The Company does not intend to sell these securities and it is not more likely than not that it will be required to sell them before recovery of their amortized cost basis.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Property and Equipment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 the following:</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64"/>
        </w:trPr>
        <w:tc>
          <w:tcPr>
            <w:tcW w:w="5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3"/>
          </w:tcPr>
          <w:p>
            <w:pPr>
              <w:jc w:val="right"/>
              <w:ind w:right="199"/>
              <w:spacing w:after="0"/>
              <w:rPr>
                <w:sz w:val="20"/>
                <w:szCs w:val="20"/>
                <w:color w:val="auto"/>
              </w:rPr>
            </w:pPr>
            <w:r>
              <w:rPr>
                <w:rFonts w:ascii="Arial" w:cs="Arial" w:eastAsia="Arial" w:hAnsi="Arial"/>
                <w:sz w:val="13"/>
                <w:szCs w:val="13"/>
                <w:b w:val="1"/>
                <w:bCs w:val="1"/>
                <w:color w:val="auto"/>
              </w:rPr>
              <w:t>December 31,</w:t>
            </w: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0"/>
        </w:trPr>
        <w:tc>
          <w:tcPr>
            <w:tcW w:w="5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0"/>
        </w:trPr>
        <w:tc>
          <w:tcPr>
            <w:tcW w:w="5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84"/>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jc w:val="right"/>
              <w:ind w:right="661"/>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r>
      <w:tr>
        <w:trPr>
          <w:trHeight w:val="30"/>
        </w:trPr>
        <w:tc>
          <w:tcPr>
            <w:tcW w:w="5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0"/>
        </w:trPr>
        <w:tc>
          <w:tcPr>
            <w:tcW w:w="5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gridSpan w:val="3"/>
          </w:tcPr>
          <w:p>
            <w:pPr>
              <w:jc w:val="right"/>
              <w:ind w:right="179"/>
              <w:spacing w:after="0"/>
              <w:rPr>
                <w:sz w:val="20"/>
                <w:szCs w:val="20"/>
                <w:color w:val="auto"/>
              </w:rPr>
            </w:pPr>
            <w:r>
              <w:rPr>
                <w:rFonts w:ascii="Arial" w:cs="Arial" w:eastAsia="Arial" w:hAnsi="Arial"/>
                <w:sz w:val="13"/>
                <w:szCs w:val="13"/>
                <w:b w:val="1"/>
                <w:bCs w:val="1"/>
                <w:color w:val="auto"/>
              </w:rPr>
              <w:t>(in thousands)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3"/>
        </w:trPr>
        <w:tc>
          <w:tcPr>
            <w:tcW w:w="5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5140" w:type="dxa"/>
            <w:vAlign w:val="bottom"/>
          </w:tcPr>
          <w:p>
            <w:pPr>
              <w:ind w:left="180"/>
              <w:spacing w:after="0"/>
              <w:rPr>
                <w:sz w:val="20"/>
                <w:szCs w:val="20"/>
                <w:color w:val="auto"/>
              </w:rPr>
            </w:pPr>
            <w:r>
              <w:rPr>
                <w:rFonts w:ascii="Arial" w:cs="Arial" w:eastAsia="Arial" w:hAnsi="Arial"/>
                <w:sz w:val="16"/>
                <w:szCs w:val="16"/>
                <w:color w:val="auto"/>
              </w:rPr>
              <w:t>Laboratory equipment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21,472</w:t>
            </w:r>
          </w:p>
        </w:tc>
        <w:tc>
          <w:tcPr>
            <w:tcW w:w="28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15,797</w:t>
            </w:r>
          </w:p>
        </w:tc>
        <w:tc>
          <w:tcPr>
            <w:tcW w:w="80" w:type="dxa"/>
            <w:vAlign w:val="bottom"/>
          </w:tcPr>
          <w:p>
            <w:pPr>
              <w:spacing w:after="0"/>
              <w:rPr>
                <w:sz w:val="19"/>
                <w:szCs w:val="19"/>
                <w:color w:val="auto"/>
              </w:rPr>
            </w:pPr>
          </w:p>
        </w:tc>
      </w:tr>
      <w:tr>
        <w:trPr>
          <w:trHeight w:val="239"/>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Leasehold improvements</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3,826</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w:t>
            </w:r>
          </w:p>
        </w:tc>
        <w:tc>
          <w:tcPr>
            <w:tcW w:w="80" w:type="dxa"/>
            <w:vAlign w:val="bottom"/>
            <w:shd w:val="clear" w:color="auto" w:fill="CFF0FC"/>
          </w:tcPr>
          <w:p>
            <w:pPr>
              <w:spacing w:after="0"/>
              <w:rPr>
                <w:sz w:val="20"/>
                <w:szCs w:val="20"/>
                <w:color w:val="auto"/>
              </w:rPr>
            </w:pPr>
          </w:p>
        </w:tc>
      </w:tr>
      <w:tr>
        <w:trPr>
          <w:trHeight w:val="220"/>
        </w:trPr>
        <w:tc>
          <w:tcPr>
            <w:tcW w:w="5140" w:type="dxa"/>
            <w:vAlign w:val="bottom"/>
          </w:tcPr>
          <w:p>
            <w:pPr>
              <w:ind w:left="180"/>
              <w:spacing w:after="0"/>
              <w:rPr>
                <w:sz w:val="20"/>
                <w:szCs w:val="20"/>
                <w:color w:val="auto"/>
              </w:rPr>
            </w:pPr>
            <w:r>
              <w:rPr>
                <w:rFonts w:ascii="Arial" w:cs="Arial" w:eastAsia="Arial" w:hAnsi="Arial"/>
                <w:sz w:val="16"/>
                <w:szCs w:val="16"/>
                <w:color w:val="auto"/>
              </w:rPr>
              <w:t>Computer equipment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1,743</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1,093</w:t>
            </w:r>
          </w:p>
        </w:tc>
        <w:tc>
          <w:tcPr>
            <w:tcW w:w="80" w:type="dxa"/>
            <w:vAlign w:val="bottom"/>
          </w:tcPr>
          <w:p>
            <w:pPr>
              <w:spacing w:after="0"/>
              <w:rPr>
                <w:sz w:val="19"/>
                <w:szCs w:val="19"/>
                <w:color w:val="auto"/>
              </w:rPr>
            </w:pPr>
          </w:p>
        </w:tc>
      </w:tr>
      <w:tr>
        <w:trPr>
          <w:trHeight w:val="239"/>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Furniture and fixtures</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1,762</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w:t>
            </w:r>
          </w:p>
        </w:tc>
        <w:tc>
          <w:tcPr>
            <w:tcW w:w="80" w:type="dxa"/>
            <w:vAlign w:val="bottom"/>
            <w:shd w:val="clear" w:color="auto" w:fill="CFF0FC"/>
          </w:tcPr>
          <w:p>
            <w:pPr>
              <w:spacing w:after="0"/>
              <w:rPr>
                <w:sz w:val="20"/>
                <w:szCs w:val="20"/>
                <w:color w:val="auto"/>
              </w:rPr>
            </w:pPr>
          </w:p>
        </w:tc>
      </w:tr>
      <w:tr>
        <w:trPr>
          <w:trHeight w:val="223"/>
        </w:trPr>
        <w:tc>
          <w:tcPr>
            <w:tcW w:w="5140" w:type="dxa"/>
            <w:vAlign w:val="bottom"/>
          </w:tcPr>
          <w:p>
            <w:pPr>
              <w:ind w:left="180"/>
              <w:spacing w:after="0"/>
              <w:rPr>
                <w:sz w:val="20"/>
                <w:szCs w:val="20"/>
                <w:color w:val="auto"/>
              </w:rPr>
            </w:pPr>
            <w:r>
              <w:rPr>
                <w:rFonts w:ascii="Arial" w:cs="Arial" w:eastAsia="Arial" w:hAnsi="Arial"/>
                <w:sz w:val="16"/>
                <w:szCs w:val="16"/>
                <w:color w:val="auto"/>
              </w:rPr>
              <w:t>Construction in process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30,023</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20,910</w:t>
            </w:r>
          </w:p>
        </w:tc>
        <w:tc>
          <w:tcPr>
            <w:tcW w:w="80" w:type="dxa"/>
            <w:vAlign w:val="bottom"/>
            <w:shd w:val="clear" w:color="auto" w:fill="CFF0FC"/>
          </w:tcPr>
          <w:p>
            <w:pPr>
              <w:spacing w:after="0"/>
              <w:rPr>
                <w:sz w:val="19"/>
                <w:szCs w:val="19"/>
                <w:color w:val="auto"/>
              </w:rPr>
            </w:pPr>
          </w:p>
        </w:tc>
      </w:tr>
      <w:tr>
        <w:trPr>
          <w:trHeight w:val="223"/>
        </w:trPr>
        <w:tc>
          <w:tcPr>
            <w:tcW w:w="514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4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(18,389 )</w:t>
            </w:r>
          </w:p>
        </w:tc>
        <w:tc>
          <w:tcPr>
            <w:tcW w:w="4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(14,367 )</w:t>
            </w:r>
          </w:p>
        </w:tc>
      </w:tr>
      <w:tr>
        <w:trPr>
          <w:trHeight w:val="26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property and equipment, net</w:t>
            </w:r>
          </w:p>
        </w:tc>
        <w:tc>
          <w:tcPr>
            <w:tcW w:w="420" w:type="dxa"/>
            <w:vAlign w:val="bottom"/>
            <w:tcBorders>
              <w:top w:val="single" w:sz="8" w:color="auto"/>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11,634</w:t>
            </w:r>
          </w:p>
        </w:tc>
        <w:tc>
          <w:tcPr>
            <w:tcW w:w="2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6,543</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-24765</wp:posOffset>
            </wp:positionV>
            <wp:extent cx="596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596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6" w:name="page137"/>
    <w:bookmarkEnd w:id="136"/>
    <w:p>
      <w:pPr>
        <w:spacing w:after="0"/>
        <w:rPr>
          <w:sz w:val="20"/>
          <w:szCs w:val="20"/>
          <w:color w:val="auto"/>
        </w:rPr>
      </w:pPr>
      <w:r>
        <w:rPr>
          <w:rFonts w:ascii="Arial" w:cs="Arial" w:eastAsia="Arial" w:hAnsi="Arial"/>
          <w:sz w:val="15"/>
          <w:szCs w:val="15"/>
          <w:color w:val="auto"/>
        </w:rPr>
        <w:t>The Company recorded $4.1 million, $3.9 million, and $3.5 million of depreciation expense for the years ended December 31, 2022, 2021, and 2020,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Accrued Expenses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consisted of the following:</w:t>
      </w: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5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5500" w:type="dxa"/>
            <w:vAlign w:val="bottom"/>
          </w:tcPr>
          <w:p>
            <w:pPr>
              <w:spacing w:after="0"/>
              <w:rPr>
                <w:sz w:val="18"/>
                <w:szCs w:val="18"/>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8"/>
                <w:szCs w:val="18"/>
                <w:color w:val="auto"/>
              </w:rPr>
            </w:pPr>
          </w:p>
        </w:tc>
      </w:tr>
      <w:tr>
        <w:trPr>
          <w:trHeight w:val="223"/>
        </w:trPr>
        <w:tc>
          <w:tcPr>
            <w:tcW w:w="5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gridSpan w:val="3"/>
          </w:tcPr>
          <w:p>
            <w:pPr>
              <w:jc w:val="right"/>
              <w:ind w:right="119"/>
              <w:spacing w:after="0"/>
              <w:rPr>
                <w:sz w:val="20"/>
                <w:szCs w:val="20"/>
                <w:color w:val="auto"/>
              </w:rPr>
            </w:pPr>
            <w:r>
              <w:rPr>
                <w:rFonts w:ascii="Arial" w:cs="Arial" w:eastAsia="Arial" w:hAnsi="Arial"/>
                <w:sz w:val="13"/>
                <w:szCs w:val="13"/>
                <w:b w:val="1"/>
                <w:bCs w:val="1"/>
                <w:color w:val="auto"/>
              </w:rPr>
              <w:t>(in thousands)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1"/>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External research and development costs</w:t>
            </w:r>
          </w:p>
        </w:tc>
        <w:tc>
          <w:tcPr>
            <w:tcW w:w="1020" w:type="dxa"/>
            <w:vAlign w:val="bottom"/>
            <w:shd w:val="clear" w:color="auto" w:fill="CFF0FC"/>
          </w:tcPr>
          <w:p>
            <w:pPr>
              <w:jc w:val="right"/>
              <w:ind w:right="84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19,276</w:t>
            </w:r>
          </w:p>
        </w:tc>
        <w:tc>
          <w:tcPr>
            <w:tcW w:w="70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9,353</w:t>
            </w:r>
          </w:p>
        </w:tc>
        <w:tc>
          <w:tcPr>
            <w:tcW w:w="80" w:type="dxa"/>
            <w:vAlign w:val="bottom"/>
            <w:shd w:val="clear" w:color="auto" w:fill="CFF0FC"/>
          </w:tcPr>
          <w:p>
            <w:pPr>
              <w:spacing w:after="0"/>
              <w:rPr>
                <w:sz w:val="20"/>
                <w:szCs w:val="20"/>
                <w:color w:val="auto"/>
              </w:rPr>
            </w:pPr>
          </w:p>
        </w:tc>
      </w:tr>
      <w:tr>
        <w:trPr>
          <w:trHeight w:val="220"/>
        </w:trPr>
        <w:tc>
          <w:tcPr>
            <w:tcW w:w="5500" w:type="dxa"/>
            <w:vAlign w:val="bottom"/>
          </w:tcPr>
          <w:p>
            <w:pPr>
              <w:spacing w:after="0"/>
              <w:rPr>
                <w:sz w:val="20"/>
                <w:szCs w:val="20"/>
                <w:color w:val="auto"/>
              </w:rPr>
            </w:pPr>
            <w:r>
              <w:rPr>
                <w:rFonts w:ascii="Arial" w:cs="Arial" w:eastAsia="Arial" w:hAnsi="Arial"/>
                <w:sz w:val="16"/>
                <w:szCs w:val="16"/>
                <w:color w:val="auto"/>
              </w:rPr>
              <w:t>Consulting and professional services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831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1,109</w:t>
            </w:r>
          </w:p>
        </w:tc>
        <w:tc>
          <w:tcPr>
            <w:tcW w:w="80" w:type="dxa"/>
            <w:vAlign w:val="bottom"/>
          </w:tcPr>
          <w:p>
            <w:pPr>
              <w:spacing w:after="0"/>
              <w:rPr>
                <w:sz w:val="19"/>
                <w:szCs w:val="19"/>
                <w:color w:val="auto"/>
              </w:rPr>
            </w:pPr>
          </w:p>
        </w:tc>
      </w:tr>
      <w:tr>
        <w:trPr>
          <w:trHeight w:val="239"/>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Compensation costs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w:t>
            </w:r>
          </w:p>
        </w:tc>
        <w:tc>
          <w:tcPr>
            <w:tcW w:w="80" w:type="dxa"/>
            <w:vAlign w:val="bottom"/>
            <w:shd w:val="clear" w:color="auto" w:fill="CFF0FC"/>
          </w:tcPr>
          <w:p>
            <w:pPr>
              <w:spacing w:after="0"/>
              <w:rPr>
                <w:sz w:val="20"/>
                <w:szCs w:val="20"/>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6"/>
                <w:szCs w:val="16"/>
                <w:color w:val="auto"/>
              </w:rPr>
              <w:t>Other</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80" w:type="dxa"/>
            <w:vAlign w:val="bottom"/>
          </w:tcPr>
          <w:p>
            <w:pPr>
              <w:spacing w:after="0"/>
              <w:rPr>
                <w:sz w:val="19"/>
                <w:szCs w:val="19"/>
                <w:color w:val="auto"/>
              </w:rPr>
            </w:pPr>
          </w:p>
        </w:tc>
      </w:tr>
      <w:tr>
        <w:trPr>
          <w:trHeight w:val="26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accrued expenses</w:t>
            </w:r>
          </w:p>
        </w:tc>
        <w:tc>
          <w:tcPr>
            <w:tcW w:w="102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22,703</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13,557</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-24765</wp:posOffset>
            </wp:positionV>
            <wp:extent cx="603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Common Stock</w:t>
      </w:r>
    </w:p>
    <w:p>
      <w:pPr>
        <w:spacing w:after="0" w:line="239"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Each share of common stock entitles the stockholder to one vote on all matters submitted to a vote of the Company’s stockholders. Common stockholders are entitled to receive dividends, as may be declared by the Company’s board of directors. As of December 31, 2022, no dividends had been declared.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Common Stock</w:t>
      </w:r>
    </w:p>
    <w:p>
      <w:pPr>
        <w:spacing w:after="0" w:line="23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In prior years, the Company issued restricted shares of common stock to its founders and consultants. The Company also issued restricted shares of common stock upon the early exercise of stock options under the Company’s 2016 Stock Option and Grant Plan (the “2016 Stock Plan”). The restrictions on the common shares generally lapsed over vesting terms of four years. The Company included the proceeds from the issuance of the restricted shares of common stock as a restricted stock liability on the accompanying consolidated balance sheets. Amounts were reclassified to additional paid-in capital as the restrictions lapsed. The Company had the right to repurchase any unvested shares of restricted common stock at the original cost upon termination.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restrictions had lapsed on each share of restricted common stock issued in prior years.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At-the-Market Offering</w:t>
      </w:r>
    </w:p>
    <w:p>
      <w:pPr>
        <w:spacing w:after="0" w:line="239" w:lineRule="exact"/>
        <w:rPr>
          <w:sz w:val="20"/>
          <w:szCs w:val="20"/>
          <w:color w:val="auto"/>
        </w:rPr>
      </w:pPr>
    </w:p>
    <w:p>
      <w:pPr>
        <w:ind w:right="200"/>
        <w:spacing w:after="0" w:line="297" w:lineRule="auto"/>
        <w:rPr>
          <w:sz w:val="20"/>
          <w:szCs w:val="20"/>
          <w:color w:val="auto"/>
        </w:rPr>
      </w:pPr>
      <w:r>
        <w:rPr>
          <w:rFonts w:ascii="Arial" w:cs="Arial" w:eastAsia="Arial" w:hAnsi="Arial"/>
          <w:sz w:val="15"/>
          <w:szCs w:val="15"/>
          <w:color w:val="auto"/>
        </w:rPr>
        <w:t>In August 2021, the Company entered into a sales agreement, (the “Sales Agreement”), with Cowen and Company, LLC ("Cowen"), pursuant to which the Company may offer and sell shares of its common stock having aggregate gross proceeds of up to $300.0 million from time to time in “at-the-market” offerings through Cowen, as the Company’s sales agent. The Company agreed to pay Cowen a commission of up to 3.0% of the gross proceeds of any shares sold by Cowen under the Sales Agreement. There have been no shares of common stock sold under the Sales Agreement through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Follow-On Offerings</w:t>
      </w:r>
    </w:p>
    <w:p>
      <w:pPr>
        <w:spacing w:after="0" w:line="23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 October 2021, the Company completed a public offering of 15,188,679 shares of common stock, including the exercise in full of the underwriters’ option to purchase an additional 1,981,132 shares, at an offering price of $26.50 per share. The Company received proceeds of $382.2 million, which was net of $20.3 million in underwriting discounts and commissions, as well as other offering expenses.</w:t>
      </w:r>
    </w:p>
    <w:p>
      <w:pPr>
        <w:spacing w:after="0" w:line="184" w:lineRule="exact"/>
        <w:rPr>
          <w:sz w:val="20"/>
          <w:szCs w:val="20"/>
          <w:color w:val="auto"/>
        </w:rPr>
      </w:pPr>
    </w:p>
    <w:p>
      <w:pPr>
        <w:ind w:right="500"/>
        <w:spacing w:after="0" w:line="328" w:lineRule="auto"/>
        <w:rPr>
          <w:sz w:val="20"/>
          <w:szCs w:val="20"/>
          <w:color w:val="auto"/>
        </w:rPr>
      </w:pPr>
      <w:r>
        <w:rPr>
          <w:rFonts w:ascii="Arial" w:cs="Arial" w:eastAsia="Arial" w:hAnsi="Arial"/>
          <w:sz w:val="15"/>
          <w:szCs w:val="15"/>
          <w:color w:val="auto"/>
        </w:rPr>
        <w:t>In September 2022, the Company completed a public offering of 11,320,755 shares of common stock at an offering price of $26.50 per share. The Company received proceeds of $284.7 million, which was net of $15.3 million in underwriting discounts and commissions, as well as other offering expenses.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 Compensation</w:t>
      </w:r>
    </w:p>
    <w:p>
      <w:pPr>
        <w:spacing w:after="0" w:line="23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 2016, the Company adopted the 2016 Stock Plan. Subsequent to July 2020, no further awards have been granted under the 2016 Stock Plan and all equity-based awards have been and will continue to be granted under the 2020 Stock Option and Incentive Plan (the “2020 Stock Plan”). To the extent outstanding options granted under the 2016 Stock Plan are cancelled,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7" w:name="page138"/>
    <w:bookmarkEnd w:id="137"/>
    <w:p>
      <w:pPr>
        <w:ind w:right="320"/>
        <w:spacing w:after="0" w:line="293" w:lineRule="auto"/>
        <w:rPr>
          <w:sz w:val="20"/>
          <w:szCs w:val="20"/>
          <w:color w:val="auto"/>
        </w:rPr>
      </w:pPr>
      <w:r>
        <w:rPr>
          <w:rFonts w:ascii="Arial" w:cs="Arial" w:eastAsia="Arial" w:hAnsi="Arial"/>
          <w:sz w:val="16"/>
          <w:szCs w:val="16"/>
          <w:color w:val="auto"/>
        </w:rPr>
        <w:t>forfeited, or otherwise terminated without being exercised and would otherwise have been returned to the share reserve under the 2016 Stock Plan, the number of shares underlying such awards will be available for future grant under the 2020 Stock Plan.</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In 2020, the Company’s stockholders approved the 2020 Stock Plan. All of the Company’s employees, officers, directors, and consultants are eligible to be granted options, restricted stock units, and other stock-based awards under the terms of the 2020 Stock Plan, which originally provided for the issuance of up to 8,376,080 of stock-based awards. The 2020 Stock Plan is also subject to annual increases to be added on the first day of each fiscal year, commencing on January 1, 2021, equal to 5% of the number of outstanding shares on the immediately preceding December 31 or such lesser number of shares approved by the Company’s board of directors or compensation committee of the board of directors. On January 1, 2022, the number of shares available for issuance under the 2020 Stock Plan was increased by 5,410,515 shares of common stock. There were 10,783,577 stock-based awards available for grant at December 31, 2022 under the 2020 Stock Plan.</w:t>
      </w:r>
    </w:p>
    <w:p>
      <w:pPr>
        <w:spacing w:after="0" w:line="176"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In 2020, the Company adopted an Employee Stock Purchase Plan (“ESPP”) that permits eligible employees to enroll in six-month offering periods. Participants may purchase shares of the Company’s common stock, through payroll deductions, at a price equal to 85% of the fair market value of the common stock on the first or last day of the applicable six-month offering period, whichever is lower. Purchase dates under the ESPP occur on or about June 30 and December 31 each year, with the initial purchase date under the ESPP on December 31, 2021. The Company’s stockholders originally authorized 1,092,532 shares for issuance pursuant to the ESPP, which is subject to annual increases to be added on the first day of each fiscal year, commencing on January 1, 2021, equal to the lesser of 2,185,064 shares of the Company’s common stock, 1% of the number of outstanding shares on the immediately preceding December 31, or an amount determined by the Company’s board of directors. On January 1, 2022, the number of shares available for issuance under the ESPP was increased by 1,082,103 shares of common stock. There were 2,906,999 shares available for grant at December 31, 2022 under the ESPP.</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all stock-based payments, total stock-based compensation expense recognized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center"/>
              <w:ind w:right="128"/>
              <w:spacing w:after="0"/>
              <w:rPr>
                <w:sz w:val="20"/>
                <w:szCs w:val="20"/>
                <w:color w:val="auto"/>
              </w:rPr>
            </w:pPr>
            <w:r>
              <w:rPr>
                <w:rFonts w:ascii="Arial" w:cs="Arial" w:eastAsia="Arial" w:hAnsi="Arial"/>
                <w:sz w:val="13"/>
                <w:szCs w:val="13"/>
                <w:b w:val="1"/>
                <w:bCs w:val="1"/>
                <w:color w:val="auto"/>
                <w:w w:val="87"/>
              </w:rPr>
              <w:t>Year Ended December 31,</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180" w:type="dxa"/>
            <w:vAlign w:val="bottom"/>
          </w:tcPr>
          <w:p>
            <w:pPr>
              <w:spacing w:after="0"/>
              <w:rPr>
                <w:sz w:val="13"/>
                <w:szCs w:val="13"/>
                <w:color w:val="auto"/>
              </w:rPr>
            </w:pPr>
          </w:p>
        </w:tc>
        <w:tc>
          <w:tcPr>
            <w:tcW w:w="140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2022</w:t>
            </w:r>
          </w:p>
        </w:tc>
        <w:tc>
          <w:tcPr>
            <w:tcW w:w="6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center"/>
              <w:ind w:right="128"/>
              <w:spacing w:after="0"/>
              <w:rPr>
                <w:sz w:val="20"/>
                <w:szCs w:val="20"/>
                <w:color w:val="auto"/>
              </w:rPr>
            </w:pPr>
            <w:r>
              <w:rPr>
                <w:rFonts w:ascii="Arial" w:cs="Arial" w:eastAsia="Arial" w:hAnsi="Arial"/>
                <w:sz w:val="13"/>
                <w:szCs w:val="13"/>
                <w:b w:val="1"/>
                <w:bCs w:val="1"/>
                <w:color w:val="auto"/>
                <w:w w:val="82"/>
              </w:rPr>
              <w:t>2021</w:t>
            </w:r>
          </w:p>
        </w:tc>
        <w:tc>
          <w:tcPr>
            <w:tcW w:w="3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84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56"/>
        </w:trPr>
        <w:tc>
          <w:tcPr>
            <w:tcW w:w="4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Pr>
          <w:p>
            <w:pPr>
              <w:jc w:val="center"/>
              <w:ind w:right="128"/>
              <w:spacing w:after="0"/>
              <w:rPr>
                <w:sz w:val="20"/>
                <w:szCs w:val="20"/>
                <w:color w:val="auto"/>
              </w:rPr>
            </w:pPr>
            <w:r>
              <w:rPr>
                <w:rFonts w:ascii="Arial" w:cs="Arial" w:eastAsia="Arial" w:hAnsi="Arial"/>
                <w:sz w:val="13"/>
                <w:szCs w:val="13"/>
                <w:b w:val="1"/>
                <w:bCs w:val="1"/>
                <w:color w:val="auto"/>
                <w:w w:val="84"/>
              </w:rPr>
              <w:t>(in thousands)</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expenses</w:t>
            </w:r>
          </w:p>
        </w:tc>
        <w:tc>
          <w:tcPr>
            <w:tcW w:w="1400" w:type="dxa"/>
            <w:vAlign w:val="bottom"/>
            <w:shd w:val="clear" w:color="auto" w:fill="CFF0FC"/>
          </w:tcPr>
          <w:p>
            <w:pPr>
              <w:jc w:val="right"/>
              <w:ind w:right="122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30,671</w:t>
            </w:r>
          </w:p>
        </w:tc>
        <w:tc>
          <w:tcPr>
            <w:tcW w:w="5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24,922</w:t>
            </w:r>
          </w:p>
        </w:tc>
        <w:tc>
          <w:tcPr>
            <w:tcW w:w="86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14,691</w:t>
            </w:r>
          </w:p>
        </w:tc>
        <w:tc>
          <w:tcPr>
            <w:tcW w:w="100" w:type="dxa"/>
            <w:vAlign w:val="bottom"/>
            <w:shd w:val="clear" w:color="auto" w:fill="CFF0FC"/>
          </w:tcPr>
          <w:p>
            <w:pPr>
              <w:spacing w:after="0"/>
              <w:rPr>
                <w:sz w:val="19"/>
                <w:szCs w:val="19"/>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25,467</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23,532</w:t>
            </w:r>
          </w:p>
        </w:tc>
        <w:tc>
          <w:tcPr>
            <w:tcW w:w="3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17,269</w:t>
            </w:r>
          </w:p>
        </w:tc>
        <w:tc>
          <w:tcPr>
            <w:tcW w:w="100" w:type="dxa"/>
            <w:vAlign w:val="bottom"/>
          </w:tcPr>
          <w:p>
            <w:pPr>
              <w:spacing w:after="0"/>
              <w:rPr>
                <w:sz w:val="19"/>
                <w:szCs w:val="19"/>
                <w:color w:val="auto"/>
              </w:rPr>
            </w:pPr>
          </w:p>
        </w:tc>
      </w:tr>
      <w:tr>
        <w:trPr>
          <w:trHeight w:val="263"/>
        </w:trPr>
        <w:tc>
          <w:tcPr>
            <w:tcW w:w="418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ind w:right="1225"/>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56,138</w:t>
            </w:r>
          </w:p>
        </w:tc>
        <w:tc>
          <w:tcPr>
            <w:tcW w:w="3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48,454</w:t>
            </w:r>
          </w:p>
        </w:tc>
        <w:tc>
          <w:tcPr>
            <w:tcW w:w="3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31,960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-25400</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Time-Based Stock Options</w:t>
      </w:r>
    </w:p>
    <w:p>
      <w:pPr>
        <w:spacing w:after="0" w:line="239" w:lineRule="exact"/>
        <w:rPr>
          <w:sz w:val="20"/>
          <w:szCs w:val="20"/>
          <w:color w:val="auto"/>
        </w:rPr>
      </w:pPr>
    </w:p>
    <w:p>
      <w:pPr>
        <w:ind w:right="300"/>
        <w:spacing w:after="0" w:line="328" w:lineRule="auto"/>
        <w:rPr>
          <w:sz w:val="20"/>
          <w:szCs w:val="20"/>
          <w:color w:val="auto"/>
        </w:rPr>
      </w:pPr>
      <w:r>
        <w:rPr>
          <w:rFonts w:ascii="Arial" w:cs="Arial" w:eastAsia="Arial" w:hAnsi="Arial"/>
          <w:sz w:val="15"/>
          <w:szCs w:val="15"/>
          <w:color w:val="auto"/>
        </w:rPr>
        <w:t>The Company has historically granted stock options to employees, directors, and consultants with vesting conditions based on continued service over time. Accordingly, stock-based compensation expense for such awards is recognized using a straight-line attribution model over the vesting term of each option.</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activity for time-based stock options under the 2016 Stock Plan and the 2020 Stock Plan for the year ended December 31,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7"/>
              </w:rPr>
              <w:t>Weighted-Average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7"/>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2"/>
                <w:szCs w:val="12"/>
                <w:color w:val="auto"/>
              </w:rPr>
            </w:pPr>
          </w:p>
        </w:tc>
      </w:tr>
      <w:tr>
        <w:trPr>
          <w:trHeight w:val="135"/>
        </w:trPr>
        <w:tc>
          <w:tcPr>
            <w:tcW w:w="4860" w:type="dxa"/>
            <w:vAlign w:val="bottom"/>
          </w:tcPr>
          <w:p>
            <w:pPr>
              <w:spacing w:after="0"/>
              <w:rPr>
                <w:sz w:val="11"/>
                <w:szCs w:val="11"/>
                <w:color w:val="auto"/>
              </w:rPr>
            </w:pPr>
          </w:p>
        </w:tc>
        <w:tc>
          <w:tcPr>
            <w:tcW w:w="166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1"/>
                <w:szCs w:val="11"/>
                <w:color w:val="auto"/>
              </w:rPr>
            </w:pPr>
          </w:p>
        </w:tc>
        <w:tc>
          <w:tcPr>
            <w:tcW w:w="1220" w:type="dxa"/>
            <w:vAlign w:val="bottom"/>
          </w:tcPr>
          <w:p>
            <w:pPr>
              <w:jc w:val="right"/>
              <w:ind w:right="103"/>
              <w:spacing w:after="0" w:line="135" w:lineRule="exact"/>
              <w:rPr>
                <w:sz w:val="20"/>
                <w:szCs w:val="20"/>
                <w:color w:val="auto"/>
              </w:rPr>
            </w:pPr>
            <w:r>
              <w:rPr>
                <w:rFonts w:ascii="Arial" w:cs="Arial" w:eastAsia="Arial" w:hAnsi="Arial"/>
                <w:sz w:val="13"/>
                <w:szCs w:val="13"/>
                <w:b w:val="1"/>
                <w:bCs w:val="1"/>
                <w:color w:val="auto"/>
                <w:w w:val="89"/>
              </w:rPr>
              <w:t>Weighted-Average</w:t>
            </w:r>
          </w:p>
        </w:tc>
        <w:tc>
          <w:tcPr>
            <w:tcW w:w="2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Remaining Term</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ind w:right="127"/>
              <w:spacing w:after="0" w:line="135" w:lineRule="exact"/>
              <w:rPr>
                <w:sz w:val="20"/>
                <w:szCs w:val="20"/>
                <w:color w:val="auto"/>
              </w:rPr>
            </w:pPr>
            <w:r>
              <w:rPr>
                <w:rFonts w:ascii="Arial" w:cs="Arial" w:eastAsia="Arial" w:hAnsi="Arial"/>
                <w:sz w:val="13"/>
                <w:szCs w:val="13"/>
                <w:b w:val="1"/>
                <w:bCs w:val="1"/>
                <w:color w:val="auto"/>
                <w:w w:val="89"/>
              </w:rPr>
              <w:t>Intrinsic Value</w:t>
            </w:r>
          </w:p>
        </w:tc>
        <w:tc>
          <w:tcPr>
            <w:tcW w:w="100" w:type="dxa"/>
            <w:vAlign w:val="bottom"/>
          </w:tcPr>
          <w:p>
            <w:pPr>
              <w:spacing w:after="0"/>
              <w:rPr>
                <w:sz w:val="11"/>
                <w:szCs w:val="11"/>
                <w:color w:val="auto"/>
              </w:rPr>
            </w:pPr>
          </w:p>
        </w:tc>
      </w:tr>
      <w:tr>
        <w:trPr>
          <w:trHeight w:val="165"/>
        </w:trPr>
        <w:tc>
          <w:tcPr>
            <w:tcW w:w="4860" w:type="dxa"/>
            <w:vAlign w:val="bottom"/>
          </w:tcPr>
          <w:p>
            <w:pPr>
              <w:spacing w:after="0"/>
              <w:rPr>
                <w:sz w:val="14"/>
                <w:szCs w:val="14"/>
                <w:color w:val="auto"/>
              </w:rPr>
            </w:pPr>
          </w:p>
        </w:tc>
        <w:tc>
          <w:tcPr>
            <w:tcW w:w="138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Stock Options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Exercise Price</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 Years)</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84"/>
              </w:rPr>
              <w:t>(in thousands)</w:t>
            </w:r>
          </w:p>
        </w:tc>
        <w:tc>
          <w:tcPr>
            <w:tcW w:w="100" w:type="dxa"/>
            <w:vAlign w:val="bottom"/>
          </w:tcPr>
          <w:p>
            <w:pPr>
              <w:spacing w:after="0"/>
              <w:rPr>
                <w:sz w:val="14"/>
                <w:szCs w:val="14"/>
                <w:color w:val="auto"/>
              </w:rPr>
            </w:pPr>
          </w:p>
        </w:tc>
      </w:tr>
      <w:tr>
        <w:trPr>
          <w:trHeight w:val="224"/>
        </w:trPr>
        <w:tc>
          <w:tcPr>
            <w:tcW w:w="4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at December 31, 2021</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6,906,367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7.90</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111,021</w:t>
            </w:r>
          </w:p>
        </w:tc>
        <w:tc>
          <w:tcPr>
            <w:tcW w:w="100" w:type="dxa"/>
            <w:vAlign w:val="bottom"/>
            <w:shd w:val="clear" w:color="auto" w:fill="CFF0FC"/>
          </w:tcPr>
          <w:p>
            <w:pPr>
              <w:spacing w:after="0"/>
              <w:rPr>
                <w:sz w:val="19"/>
                <w:szCs w:val="19"/>
                <w:color w:val="auto"/>
              </w:rPr>
            </w:pPr>
          </w:p>
        </w:tc>
      </w:tr>
      <w:tr>
        <w:trPr>
          <w:trHeight w:val="220"/>
        </w:trPr>
        <w:tc>
          <w:tcPr>
            <w:tcW w:w="4860" w:type="dxa"/>
            <w:vAlign w:val="bottom"/>
          </w:tcPr>
          <w:p>
            <w:pPr>
              <w:ind w:left="20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spacing w:after="0"/>
              <w:rPr>
                <w:sz w:val="20"/>
                <w:szCs w:val="20"/>
                <w:color w:val="auto"/>
              </w:rPr>
            </w:pPr>
            <w:r>
              <w:rPr>
                <w:rFonts w:ascii="Arial" w:cs="Arial" w:eastAsia="Arial" w:hAnsi="Arial"/>
                <w:sz w:val="16"/>
                <w:szCs w:val="16"/>
                <w:color w:val="auto"/>
              </w:rPr>
              <w:t>3,658,461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20.58</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4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Exercised</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(737,144 )</w:t>
            </w:r>
          </w:p>
        </w:tc>
        <w:tc>
          <w:tcPr>
            <w:tcW w:w="1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4860" w:type="dxa"/>
            <w:vAlign w:val="bottom"/>
          </w:tcPr>
          <w:p>
            <w:pPr>
              <w:ind w:left="200"/>
              <w:spacing w:after="0"/>
              <w:rPr>
                <w:sz w:val="20"/>
                <w:szCs w:val="20"/>
                <w:color w:val="auto"/>
              </w:rPr>
            </w:pPr>
            <w:r>
              <w:rPr>
                <w:rFonts w:ascii="Arial" w:cs="Arial" w:eastAsia="Arial" w:hAnsi="Arial"/>
                <w:sz w:val="16"/>
                <w:szCs w:val="16"/>
                <w:color w:val="auto"/>
              </w:rPr>
              <w:t>Cancelled</w:t>
            </w:r>
          </w:p>
        </w:tc>
        <w:tc>
          <w:tcPr>
            <w:tcW w:w="1660" w:type="dxa"/>
            <w:vAlign w:val="bottom"/>
            <w:gridSpan w:val="2"/>
          </w:tcPr>
          <w:p>
            <w:pPr>
              <w:jc w:val="right"/>
              <w:ind w:right="200"/>
              <w:spacing w:after="0"/>
              <w:rPr>
                <w:sz w:val="20"/>
                <w:szCs w:val="20"/>
                <w:color w:val="auto"/>
              </w:rPr>
            </w:pPr>
            <w:r>
              <w:rPr>
                <w:rFonts w:ascii="Arial" w:cs="Arial" w:eastAsia="Arial" w:hAnsi="Arial"/>
                <w:sz w:val="16"/>
                <w:szCs w:val="16"/>
                <w:color w:val="auto"/>
              </w:rPr>
              <w:t>(551,132 )</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32.60</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Outstanding at December 31, 2022</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9,276,552</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18.33</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7.85</w:t>
            </w:r>
          </w:p>
        </w:tc>
        <w:tc>
          <w:tcPr>
            <w:tcW w:w="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34,647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6"/>
                <w:szCs w:val="16"/>
                <w:color w:val="auto"/>
              </w:rPr>
              <w:t>Vested at December 31, 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4,415,876</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13.49</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6.94</w:t>
            </w: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29,401</w:t>
            </w:r>
          </w:p>
        </w:tc>
        <w:tc>
          <w:tcPr>
            <w:tcW w:w="100" w:type="dxa"/>
            <w:vAlign w:val="bottom"/>
          </w:tcPr>
          <w:p>
            <w:pPr>
              <w:spacing w:after="0"/>
              <w:rPr>
                <w:sz w:val="19"/>
                <w:szCs w:val="19"/>
                <w:color w:val="auto"/>
              </w:rPr>
            </w:pPr>
          </w:p>
        </w:tc>
      </w:tr>
      <w:tr>
        <w:trPr>
          <w:trHeight w:val="266"/>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Unvested at December 31,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4,860,676</w:t>
            </w:r>
          </w:p>
        </w:tc>
        <w:tc>
          <w:tcPr>
            <w:tcW w:w="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22.73</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8.67</w:t>
            </w:r>
          </w:p>
        </w:tc>
        <w:tc>
          <w:tcPr>
            <w:tcW w:w="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5,246</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-334010</wp:posOffset>
            </wp:positionV>
            <wp:extent cx="76835" cy="1631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-25400</wp:posOffset>
            </wp:positionV>
            <wp:extent cx="768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768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8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total intrinsic value of time-based stock options exercised was $15.5 million, $32.4 million, and $2.4 million for the years ended December 31, 2022, 2021, and 2020,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8" w:name="page139"/>
    <w:bookmarkEnd w:id="138"/>
    <w:p>
      <w:pPr>
        <w:ind w:right="220"/>
        <w:spacing w:after="0" w:line="278" w:lineRule="auto"/>
        <w:rPr>
          <w:sz w:val="20"/>
          <w:szCs w:val="20"/>
          <w:color w:val="auto"/>
        </w:rPr>
      </w:pPr>
      <w:r>
        <w:rPr>
          <w:rFonts w:ascii="Arial" w:cs="Arial" w:eastAsia="Arial" w:hAnsi="Arial"/>
          <w:sz w:val="16"/>
          <w:szCs w:val="16"/>
          <w:color w:val="auto"/>
        </w:rPr>
        <w:t>The fair value of each time-based stock option granted is estimated on the date of grant using the Black-Scholes option pricing model, pursuant to which the weighted-average grant date fair values were $13.67, $22.95, and $14.77 during the years ended December 31, 2022, 2021, and 2020, respectively. The following table summarizes the assumptions used in calculating the fair value of the time-based stock options granted.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r>
      <w:tr>
        <w:trPr>
          <w:trHeight w:val="157"/>
        </w:trPr>
        <w:tc>
          <w:tcPr>
            <w:tcW w:w="4200" w:type="dxa"/>
            <w:vAlign w:val="bottom"/>
          </w:tcPr>
          <w:p>
            <w:pPr>
              <w:spacing w:after="0"/>
              <w:rPr>
                <w:sz w:val="13"/>
                <w:szCs w:val="13"/>
                <w:color w:val="auto"/>
              </w:rPr>
            </w:pPr>
          </w:p>
        </w:tc>
        <w:tc>
          <w:tcPr>
            <w:tcW w:w="2080" w:type="dxa"/>
            <w:vAlign w:val="bottom"/>
            <w:tcBorders>
              <w:bottom w:val="single" w:sz="8" w:color="auto"/>
            </w:tcBorders>
          </w:tcPr>
          <w:p>
            <w:pPr>
              <w:jc w:val="right"/>
              <w:ind w:right="843"/>
              <w:spacing w:after="0"/>
              <w:rPr>
                <w:sz w:val="20"/>
                <w:szCs w:val="20"/>
                <w:color w:val="auto"/>
              </w:rPr>
            </w:pPr>
            <w:r>
              <w:rPr>
                <w:rFonts w:ascii="Arial" w:cs="Arial" w:eastAsia="Arial" w:hAnsi="Arial"/>
                <w:sz w:val="13"/>
                <w:szCs w:val="13"/>
                <w:b w:val="1"/>
                <w:bCs w:val="1"/>
                <w:color w:val="auto"/>
              </w:rPr>
              <w:t>2022</w:t>
            </w:r>
          </w:p>
        </w:tc>
        <w:tc>
          <w:tcPr>
            <w:tcW w:w="320" w:type="dxa"/>
            <w:vAlign w:val="bottom"/>
          </w:tcPr>
          <w:p>
            <w:pPr>
              <w:spacing w:after="0"/>
              <w:rPr>
                <w:sz w:val="13"/>
                <w:szCs w:val="13"/>
                <w:color w:val="auto"/>
              </w:rPr>
            </w:pPr>
          </w:p>
        </w:tc>
        <w:tc>
          <w:tcPr>
            <w:tcW w:w="2200" w:type="dxa"/>
            <w:vAlign w:val="bottom"/>
            <w:tcBorders>
              <w:bottom w:val="single" w:sz="8" w:color="auto"/>
            </w:tcBorders>
          </w:tcPr>
          <w:p>
            <w:pPr>
              <w:jc w:val="right"/>
              <w:ind w:right="888"/>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3"/>
                <w:szCs w:val="13"/>
                <w:color w:val="auto"/>
              </w:rPr>
            </w:pPr>
          </w:p>
        </w:tc>
        <w:tc>
          <w:tcPr>
            <w:tcW w:w="2200" w:type="dxa"/>
            <w:vAlign w:val="bottom"/>
            <w:tcBorders>
              <w:bottom w:val="single" w:sz="8" w:color="auto"/>
            </w:tcBorders>
          </w:tcPr>
          <w:p>
            <w:pPr>
              <w:jc w:val="right"/>
              <w:ind w:right="905"/>
              <w:spacing w:after="0"/>
              <w:rPr>
                <w:sz w:val="20"/>
                <w:szCs w:val="20"/>
                <w:color w:val="auto"/>
              </w:rPr>
            </w:pPr>
            <w:r>
              <w:rPr>
                <w:rFonts w:ascii="Arial" w:cs="Arial" w:eastAsia="Arial" w:hAnsi="Arial"/>
                <w:sz w:val="13"/>
                <w:szCs w:val="13"/>
                <w:b w:val="1"/>
                <w:bCs w:val="1"/>
                <w:color w:val="auto"/>
              </w:rPr>
              <w:t>2020</w:t>
            </w: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term (in years)</w:t>
            </w: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6.25</w:t>
            </w:r>
          </w:p>
        </w:tc>
        <w:tc>
          <w:tcPr>
            <w:tcW w:w="2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6.25</w:t>
            </w:r>
          </w:p>
        </w:tc>
      </w:tr>
      <w:tr>
        <w:trPr>
          <w:trHeight w:val="220"/>
        </w:trPr>
        <w:tc>
          <w:tcPr>
            <w:tcW w:w="42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2080" w:type="dxa"/>
            <w:vAlign w:val="bottom"/>
          </w:tcPr>
          <w:p>
            <w:pPr>
              <w:jc w:val="right"/>
              <w:spacing w:after="0"/>
              <w:rPr>
                <w:sz w:val="20"/>
                <w:szCs w:val="20"/>
                <w:color w:val="auto"/>
              </w:rPr>
            </w:pPr>
            <w:r>
              <w:rPr>
                <w:rFonts w:ascii="Arial" w:cs="Arial" w:eastAsia="Arial" w:hAnsi="Arial"/>
                <w:sz w:val="16"/>
                <w:szCs w:val="16"/>
                <w:color w:val="auto"/>
              </w:rPr>
              <w:t>1.6% to 4.2%</w:t>
            </w:r>
          </w:p>
        </w:tc>
        <w:tc>
          <w:tcPr>
            <w:tcW w:w="32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0.6% to 1.6%</w:t>
            </w:r>
          </w:p>
        </w:tc>
        <w:tc>
          <w:tcPr>
            <w:tcW w:w="2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0.4% to 1.8%</w:t>
            </w:r>
          </w:p>
        </w:tc>
      </w:tr>
      <w:tr>
        <w:trPr>
          <w:trHeight w:val="239"/>
        </w:trPr>
        <w:tc>
          <w:tcPr>
            <w:tcW w:w="4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volatility</w:t>
            </w:r>
          </w:p>
        </w:tc>
        <w:tc>
          <w:tcPr>
            <w:tcW w:w="2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 to 76.2%</w:t>
            </w:r>
          </w:p>
        </w:tc>
        <w:tc>
          <w:tcPr>
            <w:tcW w:w="320" w:type="dxa"/>
            <w:vAlign w:val="bottom"/>
            <w:shd w:val="clear" w:color="auto" w:fill="CFF0FC"/>
          </w:tcPr>
          <w:p>
            <w:pPr>
              <w:spacing w:after="0"/>
              <w:rPr>
                <w:sz w:val="20"/>
                <w:szCs w:val="20"/>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 to 76.6%</w:t>
            </w:r>
          </w:p>
        </w:tc>
        <w:tc>
          <w:tcPr>
            <w:tcW w:w="240" w:type="dxa"/>
            <w:vAlign w:val="bottom"/>
            <w:shd w:val="clear" w:color="auto" w:fill="CFF0FC"/>
          </w:tcPr>
          <w:p>
            <w:pPr>
              <w:spacing w:after="0"/>
              <w:rPr>
                <w:sz w:val="20"/>
                <w:szCs w:val="20"/>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 to 77.6%</w:t>
            </w:r>
          </w:p>
        </w:tc>
      </w:tr>
      <w:tr>
        <w:trPr>
          <w:trHeight w:val="210"/>
        </w:trPr>
        <w:tc>
          <w:tcPr>
            <w:tcW w:w="420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080" w:type="dxa"/>
            <w:vAlign w:val="bottom"/>
          </w:tcPr>
          <w:p>
            <w:pPr>
              <w:jc w:val="right"/>
              <w:spacing w:after="0"/>
              <w:rPr>
                <w:sz w:val="20"/>
                <w:szCs w:val="20"/>
                <w:color w:val="auto"/>
              </w:rPr>
            </w:pPr>
            <w:r>
              <w:rPr>
                <w:rFonts w:ascii="Arial" w:cs="Arial" w:eastAsia="Arial" w:hAnsi="Arial"/>
                <w:sz w:val="16"/>
                <w:szCs w:val="16"/>
                <w:color w:val="auto"/>
              </w:rPr>
              <w:t>0.0%</w:t>
            </w:r>
          </w:p>
        </w:tc>
        <w:tc>
          <w:tcPr>
            <w:tcW w:w="252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2440" w:type="dxa"/>
            <w:vAlign w:val="bottom"/>
            <w:gridSpan w:val="2"/>
          </w:tcPr>
          <w:p>
            <w:pPr>
              <w:jc w:val="right"/>
              <w:spacing w:after="0"/>
              <w:rPr>
                <w:sz w:val="20"/>
                <w:szCs w:val="20"/>
                <w:color w:val="auto"/>
              </w:rPr>
            </w:pPr>
            <w:r>
              <w:rPr>
                <w:rFonts w:ascii="Arial" w:cs="Arial" w:eastAsia="Arial" w:hAnsi="Arial"/>
                <w:sz w:val="16"/>
                <w:szCs w:val="16"/>
                <w:color w:val="auto"/>
              </w:rPr>
              <w:t>0.0%</w:t>
            </w:r>
          </w:p>
        </w:tc>
      </w:tr>
    </w:tbl>
    <w:p>
      <w:pPr>
        <w:spacing w:after="0" w:line="226"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The Company uses the simplified method to calculate the expected term, as it does not have sufficient historical exercise data to provide a reasonable basis upon which to estimate the expected term for time-based stock options granted. The expected term is applied to the time-based stock option grant group as a whole, as the Company does not expect substantially different exercise or post-vesting termination behavior among the Company’s employees, directors, and consultants. The risk-free interest rate is based on a treasury instrument whose term is consistent with the expected term of the stock options. The Company’s stock price volatility assumption is based on historical volatility of a group of companies with similar characteristics to the Company and who have similar risk profiles and positions within the industry. The Company accounts for forfeitures as they occur.</w:t>
      </w:r>
    </w:p>
    <w:p>
      <w:pPr>
        <w:spacing w:after="0" w:line="1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of December 31, 2022, the total unrecognized stock-based compensation related to unvested time-based stock options was $66.7 million, which the Company expects to recognize over a weighted-average period of approximately 1.47 years.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Performance-Based Stock Options</w:t>
      </w:r>
    </w:p>
    <w:p>
      <w:pPr>
        <w:spacing w:after="0" w:line="23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 March 2020 and September 2021, the Company granted options to certain employees with performance-based vesting conditions. In both instances, the commencement of vesting is based on the achievement of various scientific and operational milestones during specified periods, subject to the discretion and approval of either the Company’s board of directors or President and Chief Executive Officer.</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For the performance-based stock options, the Company applies variable accounting until the performance criteria are determined to be achieved, at which time vesting commences over contractual service periods. Furthermore, because (a) the awards were authorized prior to the accounting grant date in the context of ASC 718, </w:t>
      </w:r>
      <w:r>
        <w:rPr>
          <w:rFonts w:ascii="Arial" w:cs="Arial" w:eastAsia="Arial" w:hAnsi="Arial"/>
          <w:sz w:val="16"/>
          <w:szCs w:val="16"/>
          <w:i w:val="1"/>
          <w:iCs w:val="1"/>
          <w:color w:val="auto"/>
        </w:rPr>
        <w:t>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(b) the recipients were providing service prior to the accounting grant date, and (c) there were performance conditions that, if not met by the accounting grant</w:t>
      </w:r>
      <w:r>
        <w:rPr>
          <w:rFonts w:ascii="Arial" w:cs="Arial" w:eastAsia="Arial" w:hAnsi="Arial"/>
          <w:sz w:val="16"/>
          <w:szCs w:val="16"/>
          <w:i w:val="1"/>
          <w:iCs w:val="1"/>
          <w:color w:val="auto"/>
        </w:rPr>
        <w:t xml:space="preserve"> </w:t>
      </w:r>
      <w:r>
        <w:rPr>
          <w:rFonts w:ascii="Arial" w:cs="Arial" w:eastAsia="Arial" w:hAnsi="Arial"/>
          <w:sz w:val="16"/>
          <w:szCs w:val="16"/>
          <w:color w:val="auto"/>
        </w:rPr>
        <w:t>date, would have resulted in the forfeiture of the award, the service inception dates preceded the accounting grant date. Ultimately, the stock-based compensation expense for the options is determined based on the fair value of the awards on the accounting grant date, which is then recognized using an accelerated attribution model over the vesting term commencing upon the actual or expected accounting grant date.</w:t>
      </w:r>
    </w:p>
    <w:p>
      <w:pPr>
        <w:spacing w:after="0" w:line="19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For the performance-based stock options granted in March 2020, all performance conditions have been resolved and the grant date was set at or prior to December 31, 2020. For the performance-based stock options granted in September 2021, all performance conditions have been resolved and the grant date was set at or prior to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for performance-based stock options for the year ended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7"/>
              </w:rPr>
              <w:t>Weighted-Average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27"/>
              <w:spacing w:after="0"/>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2"/>
                <w:szCs w:val="12"/>
                <w:color w:val="auto"/>
              </w:rPr>
            </w:pPr>
          </w:p>
        </w:tc>
      </w:tr>
      <w:tr>
        <w:trPr>
          <w:trHeight w:val="135"/>
        </w:trPr>
        <w:tc>
          <w:tcPr>
            <w:tcW w:w="4840" w:type="dxa"/>
            <w:vAlign w:val="bottom"/>
          </w:tcPr>
          <w:p>
            <w:pPr>
              <w:spacing w:after="0"/>
              <w:rPr>
                <w:sz w:val="11"/>
                <w:szCs w:val="11"/>
                <w:color w:val="auto"/>
              </w:rPr>
            </w:pPr>
          </w:p>
        </w:tc>
        <w:tc>
          <w:tcPr>
            <w:tcW w:w="1680" w:type="dxa"/>
            <w:vAlign w:val="bottom"/>
            <w:gridSpan w:val="2"/>
          </w:tcPr>
          <w:p>
            <w:pPr>
              <w:jc w:val="right"/>
              <w:ind w:right="700"/>
              <w:spacing w:after="0" w:line="135"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1"/>
                <w:szCs w:val="11"/>
                <w:color w:val="auto"/>
              </w:rPr>
            </w:pPr>
          </w:p>
        </w:tc>
        <w:tc>
          <w:tcPr>
            <w:tcW w:w="1240" w:type="dxa"/>
            <w:vAlign w:val="bottom"/>
          </w:tcPr>
          <w:p>
            <w:pPr>
              <w:jc w:val="right"/>
              <w:ind w:right="124"/>
              <w:spacing w:after="0" w:line="135" w:lineRule="exact"/>
              <w:rPr>
                <w:sz w:val="20"/>
                <w:szCs w:val="20"/>
                <w:color w:val="auto"/>
              </w:rPr>
            </w:pPr>
            <w:r>
              <w:rPr>
                <w:rFonts w:ascii="Arial" w:cs="Arial" w:eastAsia="Arial" w:hAnsi="Arial"/>
                <w:sz w:val="13"/>
                <w:szCs w:val="13"/>
                <w:b w:val="1"/>
                <w:bCs w:val="1"/>
                <w:color w:val="auto"/>
                <w:w w:val="89"/>
              </w:rPr>
              <w:t>Weighted-Average</w:t>
            </w:r>
          </w:p>
        </w:tc>
        <w:tc>
          <w:tcPr>
            <w:tcW w:w="2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Remaining Term</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ind w:right="127"/>
              <w:spacing w:after="0" w:line="135" w:lineRule="exact"/>
              <w:rPr>
                <w:sz w:val="20"/>
                <w:szCs w:val="20"/>
                <w:color w:val="auto"/>
              </w:rPr>
            </w:pPr>
            <w:r>
              <w:rPr>
                <w:rFonts w:ascii="Arial" w:cs="Arial" w:eastAsia="Arial" w:hAnsi="Arial"/>
                <w:sz w:val="13"/>
                <w:szCs w:val="13"/>
                <w:b w:val="1"/>
                <w:bCs w:val="1"/>
                <w:color w:val="auto"/>
                <w:w w:val="89"/>
              </w:rPr>
              <w:t>Intrinsic Value</w:t>
            </w:r>
          </w:p>
        </w:tc>
        <w:tc>
          <w:tcPr>
            <w:tcW w:w="100" w:type="dxa"/>
            <w:vAlign w:val="bottom"/>
          </w:tcPr>
          <w:p>
            <w:pPr>
              <w:spacing w:after="0"/>
              <w:rPr>
                <w:sz w:val="11"/>
                <w:szCs w:val="11"/>
                <w:color w:val="auto"/>
              </w:rPr>
            </w:pPr>
          </w:p>
        </w:tc>
      </w:tr>
      <w:tr>
        <w:trPr>
          <w:trHeight w:val="165"/>
        </w:trPr>
        <w:tc>
          <w:tcPr>
            <w:tcW w:w="4840" w:type="dxa"/>
            <w:vAlign w:val="bottom"/>
          </w:tcPr>
          <w:p>
            <w:pPr>
              <w:spacing w:after="0"/>
              <w:rPr>
                <w:sz w:val="14"/>
                <w:szCs w:val="14"/>
                <w:color w:val="auto"/>
              </w:rPr>
            </w:pPr>
          </w:p>
        </w:tc>
        <w:tc>
          <w:tcPr>
            <w:tcW w:w="1400" w:type="dxa"/>
            <w:vAlign w:val="bottom"/>
            <w:tcBorders>
              <w:bottom w:val="single" w:sz="8" w:color="auto"/>
            </w:tcBorders>
          </w:tcPr>
          <w:p>
            <w:pPr>
              <w:jc w:val="right"/>
              <w:ind w:right="244"/>
              <w:spacing w:after="0"/>
              <w:rPr>
                <w:sz w:val="20"/>
                <w:szCs w:val="20"/>
                <w:color w:val="auto"/>
              </w:rPr>
            </w:pPr>
            <w:r>
              <w:rPr>
                <w:rFonts w:ascii="Arial" w:cs="Arial" w:eastAsia="Arial" w:hAnsi="Arial"/>
                <w:sz w:val="13"/>
                <w:szCs w:val="13"/>
                <w:b w:val="1"/>
                <w:bCs w:val="1"/>
                <w:color w:val="auto"/>
              </w:rPr>
              <w:t>Stock Options</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Exercise Price</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 Years)</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84"/>
              </w:rPr>
              <w:t>(in thousands)</w:t>
            </w:r>
          </w:p>
        </w:tc>
        <w:tc>
          <w:tcPr>
            <w:tcW w:w="100" w:type="dxa"/>
            <w:vAlign w:val="bottom"/>
          </w:tcPr>
          <w:p>
            <w:pPr>
              <w:spacing w:after="0"/>
              <w:rPr>
                <w:sz w:val="14"/>
                <w:szCs w:val="14"/>
                <w:color w:val="auto"/>
              </w:rPr>
            </w:pPr>
          </w:p>
        </w:tc>
      </w:tr>
      <w:tr>
        <w:trPr>
          <w:trHeight w:val="224"/>
        </w:trPr>
        <w:tc>
          <w:tcPr>
            <w:tcW w:w="4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Outstanding at December 31, 2021</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1,813,260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8.11</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45,912</w:t>
            </w:r>
          </w:p>
        </w:tc>
        <w:tc>
          <w:tcPr>
            <w:tcW w:w="100" w:type="dxa"/>
            <w:vAlign w:val="bottom"/>
            <w:shd w:val="clear" w:color="auto" w:fill="CFF0FC"/>
          </w:tcPr>
          <w:p>
            <w:pPr>
              <w:spacing w:after="0"/>
              <w:rPr>
                <w:sz w:val="19"/>
                <w:szCs w:val="19"/>
                <w:color w:val="auto"/>
              </w:rPr>
            </w:pPr>
          </w:p>
        </w:tc>
      </w:tr>
      <w:tr>
        <w:trPr>
          <w:trHeight w:val="220"/>
        </w:trPr>
        <w:tc>
          <w:tcPr>
            <w:tcW w:w="4840" w:type="dxa"/>
            <w:vAlign w:val="bottom"/>
          </w:tcPr>
          <w:p>
            <w:pPr>
              <w:ind w:left="200"/>
              <w:spacing w:after="0"/>
              <w:rPr>
                <w:sz w:val="20"/>
                <w:szCs w:val="20"/>
                <w:color w:val="auto"/>
              </w:rPr>
            </w:pPr>
            <w:r>
              <w:rPr>
                <w:rFonts w:ascii="Arial" w:cs="Arial" w:eastAsia="Arial" w:hAnsi="Arial"/>
                <w:sz w:val="16"/>
                <w:szCs w:val="16"/>
                <w:color w:val="auto"/>
              </w:rPr>
              <w:t>Exercised</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(20,729 )</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5.22</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Cancelled</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(18,348 )</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48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Outstanding at December 31, 2022</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1,774,183</w:t>
            </w: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5.41</w:t>
            </w:r>
          </w:p>
        </w:tc>
        <w:tc>
          <w:tcPr>
            <w:tcW w:w="1580" w:type="dxa"/>
            <w:vAlign w:val="bottom"/>
            <w:tcBorders>
              <w:top w:val="single" w:sz="8" w:color="CFF0FC"/>
            </w:tcBorders>
            <w:gridSpan w:val="2"/>
          </w:tcPr>
          <w:p>
            <w:pPr>
              <w:jc w:val="right"/>
              <w:spacing w:after="0"/>
              <w:rPr>
                <w:sz w:val="20"/>
                <w:szCs w:val="20"/>
                <w:color w:val="auto"/>
              </w:rPr>
            </w:pPr>
            <w:r>
              <w:rPr>
                <w:rFonts w:ascii="Arial" w:cs="Arial" w:eastAsia="Arial" w:hAnsi="Arial"/>
                <w:sz w:val="16"/>
                <w:szCs w:val="16"/>
                <w:color w:val="auto"/>
              </w:rPr>
              <w:t>7.18</w:t>
            </w:r>
          </w:p>
        </w:tc>
        <w:tc>
          <w:tcPr>
            <w:tcW w:w="460" w:type="dxa"/>
            <w:vAlign w:val="bottom"/>
            <w:tcBorders>
              <w:top w:val="single" w:sz="8" w:color="CFF0FC"/>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17,128</w:t>
            </w:r>
          </w:p>
        </w:tc>
        <w:tc>
          <w:tcPr>
            <w:tcW w:w="100" w:type="dxa"/>
            <w:vAlign w:val="bottom"/>
            <w:tcBorders>
              <w:top w:val="single" w:sz="8" w:color="CFF0FC"/>
            </w:tcBorders>
          </w:tcPr>
          <w:p>
            <w:pPr>
              <w:spacing w:after="0"/>
              <w:rPr>
                <w:sz w:val="19"/>
                <w:szCs w:val="19"/>
                <w:color w:val="auto"/>
              </w:rPr>
            </w:pPr>
          </w:p>
        </w:tc>
      </w:tr>
      <w:tr>
        <w:trPr>
          <w:trHeight w:val="223"/>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Vested at December 31, 2022</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927,394</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7.17</w:t>
            </w:r>
          </w:p>
        </w:tc>
        <w:tc>
          <w:tcPr>
            <w:tcW w:w="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4840" w:type="dxa"/>
            <w:vAlign w:val="bottom"/>
          </w:tcPr>
          <w:p>
            <w:pPr>
              <w:ind w:left="20"/>
              <w:spacing w:after="0"/>
              <w:rPr>
                <w:sz w:val="20"/>
                <w:szCs w:val="20"/>
                <w:color w:val="auto"/>
              </w:rPr>
            </w:pPr>
            <w:r>
              <w:rPr>
                <w:rFonts w:ascii="Arial" w:cs="Arial" w:eastAsia="Arial" w:hAnsi="Arial"/>
                <w:sz w:val="16"/>
                <w:szCs w:val="16"/>
                <w:color w:val="auto"/>
              </w:rPr>
              <w:t>Unvested at December 31,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846,789</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5.62</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7.19</w:t>
            </w: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8,114</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-487680</wp:posOffset>
            </wp:positionV>
            <wp:extent cx="77470" cy="162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-179070</wp:posOffset>
            </wp:positionV>
            <wp:extent cx="77470" cy="1797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179705"/>
                    </a:xfrm>
                    <a:prstGeom prst="rect">
                      <a:avLst/>
                    </a:prstGeom>
                    <a:noFill/>
                  </pic:spPr>
                </pic:pic>
              </a:graphicData>
            </a:graphic>
          </wp:anchor>
        </w:drawing>
      </w:r>
    </w:p>
    <w:p>
      <w:pPr>
        <w:spacing w:after="0" w:line="18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The total intrinsic value of performance-based stock options exercised was $0.4 million, $1.1 million, and immaterial for the years ended December 31, 2022, 2021, and 2020, respectively.</w:t>
      </w:r>
    </w:p>
    <w:p>
      <w:pPr>
        <w:spacing w:after="0" w:line="172"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The fair value of each performance-based stock option granted is estimated on the accounting grant date, or at the end of each reporting period if variable accounting is applied, using the Black-Scholes option-pricing model, pursuant to which the grant date fair values were $20.28 and $37.48 during the years ended December 31, 2021 and 2020, respectively. There were no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39" w:name="page140"/>
    <w:bookmarkEnd w:id="139"/>
    <w:p>
      <w:pPr>
        <w:ind w:right="80" w:firstLine="40"/>
        <w:spacing w:after="0" w:line="278" w:lineRule="auto"/>
        <w:rPr>
          <w:sz w:val="20"/>
          <w:szCs w:val="20"/>
          <w:color w:val="auto"/>
        </w:rPr>
      </w:pPr>
      <w:r>
        <w:rPr>
          <w:rFonts w:ascii="Arial" w:cs="Arial" w:eastAsia="Arial" w:hAnsi="Arial"/>
          <w:sz w:val="16"/>
          <w:szCs w:val="16"/>
          <w:color w:val="auto"/>
        </w:rPr>
        <w:t>performance-based stock options granted during the year ended December 31, 2022. The assumptions and methodologies used in calculating the fair value of performance-based stock options was similar to the assumptions and methodologies used in calculating the fair value of time-based stock options granted during the years ended December 31, 2021 and 2020.</w:t>
      </w:r>
    </w:p>
    <w:p>
      <w:pPr>
        <w:spacing w:after="0" w:line="184"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As of December 31, 2022, the total unrecognized stock-based compensation related to unvested performance-based stock options was $8.5 million, which the Company expects to recognize over a weighted-average period of approximately 0.79 years.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23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Starting in 2021, the Company granted restricted stock units (“RSUs”) to employees, directors, and consultants under the 2020 Stock Plan. Each of the RSUs represents the right to receive one share of the Company’s common stock upon vesting. The majority of RSUs granted to date have vesting conditions based on continued service over time. Accordingly, stock-based compensation expense for the majority of such awards is recognized using a straight-line attribution model over the vesting term of each RSU. The fair value of each RSU is based on the closing price of the Company’s common stock on the date of grant.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for RSUs under the 2020 Stock Plan for the year ended December 31,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26"/>
              <w:spacing w:after="0"/>
              <w:rPr>
                <w:sz w:val="20"/>
                <w:szCs w:val="20"/>
                <w:color w:val="auto"/>
              </w:rPr>
            </w:pPr>
            <w:r>
              <w:rPr>
                <w:rFonts w:ascii="Arial" w:cs="Arial" w:eastAsia="Arial" w:hAnsi="Arial"/>
                <w:sz w:val="13"/>
                <w:szCs w:val="13"/>
                <w:b w:val="1"/>
                <w:bCs w:val="1"/>
                <w:color w:val="auto"/>
                <w:w w:val="87"/>
              </w:rPr>
              <w:t>Weighted-Average</w:t>
            </w:r>
          </w:p>
        </w:tc>
        <w:tc>
          <w:tcPr>
            <w:tcW w:w="100" w:type="dxa"/>
            <w:vAlign w:val="bottom"/>
          </w:tcPr>
          <w:p>
            <w:pPr>
              <w:spacing w:after="0"/>
              <w:rPr>
                <w:sz w:val="13"/>
                <w:szCs w:val="13"/>
                <w:color w:val="auto"/>
              </w:rPr>
            </w:pPr>
          </w:p>
        </w:tc>
      </w:tr>
      <w:tr>
        <w:trPr>
          <w:trHeight w:val="135"/>
        </w:trPr>
        <w:tc>
          <w:tcPr>
            <w:tcW w:w="7680" w:type="dxa"/>
            <w:vAlign w:val="bottom"/>
          </w:tcPr>
          <w:p>
            <w:pPr>
              <w:spacing w:after="0"/>
              <w:rPr>
                <w:sz w:val="11"/>
                <w:szCs w:val="11"/>
                <w:color w:val="auto"/>
              </w:rPr>
            </w:pPr>
          </w:p>
        </w:tc>
        <w:tc>
          <w:tcPr>
            <w:tcW w:w="1860" w:type="dxa"/>
            <w:vAlign w:val="bottom"/>
            <w:gridSpan w:val="2"/>
          </w:tcPr>
          <w:p>
            <w:pPr>
              <w:jc w:val="right"/>
              <w:ind w:right="600"/>
              <w:spacing w:after="0" w:line="135" w:lineRule="exact"/>
              <w:rPr>
                <w:sz w:val="20"/>
                <w:szCs w:val="20"/>
                <w:color w:val="auto"/>
              </w:rPr>
            </w:pPr>
            <w:r>
              <w:rPr>
                <w:rFonts w:ascii="Arial" w:cs="Arial" w:eastAsia="Arial" w:hAnsi="Arial"/>
                <w:sz w:val="13"/>
                <w:szCs w:val="13"/>
                <w:b w:val="1"/>
                <w:bCs w:val="1"/>
                <w:color w:val="auto"/>
              </w:rPr>
              <w:t>Number of Shares</w:t>
            </w:r>
          </w:p>
        </w:tc>
        <w:tc>
          <w:tcPr>
            <w:tcW w:w="200" w:type="dxa"/>
            <w:vAlign w:val="bottom"/>
          </w:tcPr>
          <w:p>
            <w:pPr>
              <w:spacing w:after="0"/>
              <w:rPr>
                <w:sz w:val="11"/>
                <w:szCs w:val="11"/>
                <w:color w:val="auto"/>
              </w:rPr>
            </w:pPr>
          </w:p>
        </w:tc>
        <w:tc>
          <w:tcPr>
            <w:tcW w:w="1400" w:type="dxa"/>
            <w:vAlign w:val="bottom"/>
          </w:tcPr>
          <w:p>
            <w:pPr>
              <w:jc w:val="center"/>
              <w:ind w:right="166"/>
              <w:spacing w:after="0" w:line="135" w:lineRule="exact"/>
              <w:rPr>
                <w:sz w:val="20"/>
                <w:szCs w:val="20"/>
                <w:color w:val="auto"/>
              </w:rPr>
            </w:pPr>
            <w:r>
              <w:rPr>
                <w:rFonts w:ascii="Arial" w:cs="Arial" w:eastAsia="Arial" w:hAnsi="Arial"/>
                <w:sz w:val="13"/>
                <w:szCs w:val="13"/>
                <w:b w:val="1"/>
                <w:bCs w:val="1"/>
                <w:color w:val="auto"/>
                <w:w w:val="90"/>
              </w:rPr>
              <w:t>Grant Date</w:t>
            </w:r>
          </w:p>
        </w:tc>
        <w:tc>
          <w:tcPr>
            <w:tcW w:w="100" w:type="dxa"/>
            <w:vAlign w:val="bottom"/>
          </w:tcPr>
          <w:p>
            <w:pPr>
              <w:spacing w:after="0"/>
              <w:rPr>
                <w:sz w:val="11"/>
                <w:szCs w:val="11"/>
                <w:color w:val="auto"/>
              </w:rPr>
            </w:pPr>
          </w:p>
        </w:tc>
      </w:tr>
      <w:tr>
        <w:trPr>
          <w:trHeight w:val="165"/>
        </w:trPr>
        <w:tc>
          <w:tcPr>
            <w:tcW w:w="7680" w:type="dxa"/>
            <w:vAlign w:val="bottom"/>
          </w:tcPr>
          <w:p>
            <w:pPr>
              <w:spacing w:after="0"/>
              <w:rPr>
                <w:sz w:val="14"/>
                <w:szCs w:val="14"/>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Underlying RSUs</w:t>
            </w:r>
          </w:p>
        </w:tc>
        <w:tc>
          <w:tcPr>
            <w:tcW w:w="200" w:type="dxa"/>
            <w:vAlign w:val="bottom"/>
          </w:tcPr>
          <w:p>
            <w:pPr>
              <w:spacing w:after="0"/>
              <w:rPr>
                <w:sz w:val="14"/>
                <w:szCs w:val="14"/>
                <w:color w:val="auto"/>
              </w:rPr>
            </w:pPr>
          </w:p>
        </w:tc>
        <w:tc>
          <w:tcPr>
            <w:tcW w:w="1400" w:type="dxa"/>
            <w:vAlign w:val="bottom"/>
          </w:tcPr>
          <w:p>
            <w:pPr>
              <w:jc w:val="center"/>
              <w:ind w:right="126"/>
              <w:spacing w:after="0"/>
              <w:rPr>
                <w:sz w:val="20"/>
                <w:szCs w:val="20"/>
                <w:color w:val="auto"/>
              </w:rPr>
            </w:pPr>
            <w:r>
              <w:rPr>
                <w:rFonts w:ascii="Arial" w:cs="Arial" w:eastAsia="Arial" w:hAnsi="Arial"/>
                <w:sz w:val="13"/>
                <w:szCs w:val="13"/>
                <w:b w:val="1"/>
                <w:bCs w:val="1"/>
                <w:color w:val="auto"/>
                <w:w w:val="90"/>
              </w:rPr>
              <w:t>Fair Value</w:t>
            </w:r>
          </w:p>
        </w:tc>
        <w:tc>
          <w:tcPr>
            <w:tcW w:w="100" w:type="dxa"/>
            <w:vAlign w:val="bottom"/>
          </w:tcPr>
          <w:p>
            <w:pPr>
              <w:spacing w:after="0"/>
              <w:rPr>
                <w:sz w:val="14"/>
                <w:szCs w:val="14"/>
                <w:color w:val="auto"/>
              </w:rPr>
            </w:pPr>
          </w:p>
        </w:tc>
      </w:tr>
      <w:tr>
        <w:trPr>
          <w:trHeight w:val="224"/>
        </w:trPr>
        <w:tc>
          <w:tcPr>
            <w:tcW w:w="7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Unvested at December 31,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691,205</w:t>
            </w:r>
          </w:p>
        </w:tc>
        <w:tc>
          <w:tcPr>
            <w:tcW w:w="2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34.51</w:t>
            </w:r>
          </w:p>
        </w:tc>
        <w:tc>
          <w:tcPr>
            <w:tcW w:w="100" w:type="dxa"/>
            <w:vAlign w:val="bottom"/>
            <w:shd w:val="clear" w:color="auto" w:fill="CFF0FC"/>
          </w:tcPr>
          <w:p>
            <w:pPr>
              <w:spacing w:after="0"/>
              <w:rPr>
                <w:sz w:val="19"/>
                <w:szCs w:val="19"/>
                <w:color w:val="auto"/>
              </w:rPr>
            </w:pPr>
          </w:p>
        </w:tc>
      </w:tr>
      <w:tr>
        <w:trPr>
          <w:trHeight w:val="220"/>
        </w:trPr>
        <w:tc>
          <w:tcPr>
            <w:tcW w:w="768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spacing w:after="0"/>
              <w:rPr>
                <w:sz w:val="20"/>
                <w:szCs w:val="20"/>
                <w:color w:val="auto"/>
              </w:rPr>
            </w:pPr>
            <w:r>
              <w:rPr>
                <w:rFonts w:ascii="Arial" w:cs="Arial" w:eastAsia="Arial" w:hAnsi="Arial"/>
                <w:sz w:val="16"/>
                <w:szCs w:val="16"/>
                <w:color w:val="auto"/>
              </w:rPr>
              <w:t>1,389,696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Pr>
          <w:p>
            <w:pPr>
              <w:spacing w:after="0"/>
              <w:rPr>
                <w:sz w:val="19"/>
                <w:szCs w:val="19"/>
                <w:color w:val="auto"/>
              </w:rPr>
            </w:pPr>
          </w:p>
        </w:tc>
      </w:tr>
      <w:tr>
        <w:trPr>
          <w:trHeight w:val="239"/>
        </w:trPr>
        <w:tc>
          <w:tcPr>
            <w:tcW w:w="76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Vested</w:t>
            </w: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(398,330 )</w:t>
            </w: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27.75</w:t>
            </w:r>
          </w:p>
        </w:tc>
        <w:tc>
          <w:tcPr>
            <w:tcW w:w="100" w:type="dxa"/>
            <w:vAlign w:val="bottom"/>
            <w:shd w:val="clear" w:color="auto" w:fill="CFF0FC"/>
          </w:tcPr>
          <w:p>
            <w:pPr>
              <w:spacing w:after="0"/>
              <w:rPr>
                <w:sz w:val="20"/>
                <w:szCs w:val="20"/>
                <w:color w:val="auto"/>
              </w:rPr>
            </w:pPr>
          </w:p>
        </w:tc>
      </w:tr>
      <w:tr>
        <w:trPr>
          <w:trHeight w:val="227"/>
        </w:trPr>
        <w:tc>
          <w:tcPr>
            <w:tcW w:w="7680" w:type="dxa"/>
            <w:vAlign w:val="bottom"/>
          </w:tcPr>
          <w:p>
            <w:pPr>
              <w:ind w:left="200"/>
              <w:spacing w:after="0"/>
              <w:rPr>
                <w:sz w:val="20"/>
                <w:szCs w:val="20"/>
                <w:color w:val="auto"/>
              </w:rPr>
            </w:pPr>
            <w:r>
              <w:rPr>
                <w:rFonts w:ascii="Arial" w:cs="Arial" w:eastAsia="Arial" w:hAnsi="Arial"/>
                <w:sz w:val="16"/>
                <w:szCs w:val="16"/>
                <w:color w:val="auto"/>
              </w:rPr>
              <w:t>Cancelled</w:t>
            </w: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(115,811 )</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Pr>
          <w:p>
            <w:pPr>
              <w:spacing w:after="0"/>
              <w:rPr>
                <w:sz w:val="19"/>
                <w:szCs w:val="19"/>
                <w:color w:val="auto"/>
              </w:rPr>
            </w:pPr>
          </w:p>
        </w:tc>
      </w:tr>
      <w:tr>
        <w:trPr>
          <w:trHeight w:val="26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Unvested at December 31,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1,566,760</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24.62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restricted shares that vested during the year ended December 31, 2022 was $8.6 million.</w:t>
      </w:r>
    </w:p>
    <w:p>
      <w:pPr>
        <w:spacing w:after="0" w:line="235"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As of December 31, 2022, the total unrecognized compensation related to unvested RSUs granted was $35.0 million, which the Company expects to recognize over a weighted-average period of approximately 1.55 years.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23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following table summarizes activity under the Company's ESPP from the initial offering period, or July 1, 2021 through December 31, 2021, through December 31, 2022, including (a) after-tax contributions from employees, (b) shares purchased, and (c) assumptions underlying the Black-Scholes option pricing model to estimate the fair value of the option component of the shares purchased under the ESPP in each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right"/>
              <w:ind w:right="603"/>
              <w:spacing w:after="0"/>
              <w:rPr>
                <w:sz w:val="20"/>
                <w:szCs w:val="20"/>
                <w:color w:val="auto"/>
              </w:rPr>
            </w:pPr>
            <w:r>
              <w:rPr>
                <w:rFonts w:ascii="Arial" w:cs="Arial" w:eastAsia="Arial" w:hAnsi="Arial"/>
                <w:sz w:val="13"/>
                <w:szCs w:val="13"/>
                <w:b w:val="1"/>
                <w:bCs w:val="1"/>
                <w:color w:val="auto"/>
              </w:rPr>
              <w:t>July 1, 2022 to</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tcPr>
          <w:p>
            <w:pPr>
              <w:jc w:val="right"/>
              <w:ind w:right="483"/>
              <w:spacing w:after="0"/>
              <w:rPr>
                <w:sz w:val="20"/>
                <w:szCs w:val="20"/>
                <w:color w:val="auto"/>
              </w:rPr>
            </w:pPr>
            <w:r>
              <w:rPr>
                <w:rFonts w:ascii="Arial" w:cs="Arial" w:eastAsia="Arial" w:hAnsi="Arial"/>
                <w:sz w:val="13"/>
                <w:szCs w:val="13"/>
                <w:b w:val="1"/>
                <w:bCs w:val="1"/>
                <w:color w:val="auto"/>
              </w:rPr>
              <w:t>January 1, 2022 to</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jc w:val="right"/>
              <w:ind w:right="603"/>
              <w:spacing w:after="0"/>
              <w:rPr>
                <w:sz w:val="20"/>
                <w:szCs w:val="20"/>
                <w:color w:val="auto"/>
              </w:rPr>
            </w:pPr>
            <w:r>
              <w:rPr>
                <w:rFonts w:ascii="Arial" w:cs="Arial" w:eastAsia="Arial" w:hAnsi="Arial"/>
                <w:sz w:val="13"/>
                <w:szCs w:val="13"/>
                <w:b w:val="1"/>
                <w:bCs w:val="1"/>
                <w:color w:val="auto"/>
              </w:rPr>
              <w:t>July 1, 2021 to</w:t>
            </w:r>
          </w:p>
        </w:tc>
        <w:tc>
          <w:tcPr>
            <w:tcW w:w="100" w:type="dxa"/>
            <w:vAlign w:val="bottom"/>
          </w:tcPr>
          <w:p>
            <w:pPr>
              <w:spacing w:after="0"/>
              <w:rPr>
                <w:sz w:val="14"/>
                <w:szCs w:val="14"/>
                <w:color w:val="auto"/>
              </w:rPr>
            </w:pPr>
          </w:p>
        </w:tc>
      </w:tr>
      <w:tr>
        <w:trPr>
          <w:trHeight w:val="165"/>
        </w:trPr>
        <w:tc>
          <w:tcPr>
            <w:tcW w:w="4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December 31, 2022</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623"/>
              <w:spacing w:after="0"/>
              <w:rPr>
                <w:sz w:val="20"/>
                <w:szCs w:val="20"/>
                <w:color w:val="auto"/>
              </w:rPr>
            </w:pPr>
            <w:r>
              <w:rPr>
                <w:rFonts w:ascii="Arial" w:cs="Arial" w:eastAsia="Arial" w:hAnsi="Arial"/>
                <w:sz w:val="13"/>
                <w:szCs w:val="13"/>
                <w:b w:val="1"/>
                <w:bCs w:val="1"/>
                <w:color w:val="auto"/>
              </w:rPr>
              <w:t>June 30, 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Pr>
          <w:p>
            <w:pPr>
              <w:spacing w:after="0"/>
              <w:rPr>
                <w:sz w:val="14"/>
                <w:szCs w:val="14"/>
                <w:color w:val="auto"/>
              </w:rPr>
            </w:pPr>
          </w:p>
        </w:tc>
      </w:tr>
      <w:tr>
        <w:trPr>
          <w:trHeight w:val="224"/>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date</w:t>
            </w:r>
          </w:p>
        </w:tc>
        <w:tc>
          <w:tcPr>
            <w:tcW w:w="32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December 31, 2022</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June 30, 2022</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December 31, 2021</w:t>
            </w:r>
          </w:p>
        </w:tc>
        <w:tc>
          <w:tcPr>
            <w:tcW w:w="100" w:type="dxa"/>
            <w:vAlign w:val="bottom"/>
            <w:shd w:val="clear" w:color="auto" w:fill="CFF0FC"/>
          </w:tcPr>
          <w:p>
            <w:pPr>
              <w:spacing w:after="0"/>
              <w:rPr>
                <w:sz w:val="19"/>
                <w:szCs w:val="19"/>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After-tax contributions (in thousands)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549</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1,137</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1,141</w:t>
            </w: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Shares of common stock purchased</w:t>
            </w:r>
          </w:p>
        </w:tc>
        <w:tc>
          <w:tcPr>
            <w:tcW w:w="32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43,160</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79,859</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43,685</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0.50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0.50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Risk-free interest rate</w:t>
            </w:r>
          </w:p>
        </w:tc>
        <w:tc>
          <w:tcPr>
            <w:tcW w:w="32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FF0FC"/>
          </w:tcPr>
          <w:p>
            <w:pPr>
              <w:spacing w:after="0"/>
              <w:rPr>
                <w:sz w:val="20"/>
                <w:szCs w:val="20"/>
                <w:color w:val="auto"/>
              </w:rPr>
            </w:pPr>
          </w:p>
        </w:tc>
      </w:tr>
      <w:tr>
        <w:trPr>
          <w:trHeight w:val="220"/>
        </w:trPr>
        <w:tc>
          <w:tcPr>
            <w:tcW w:w="410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89.6%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66.2%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9"/>
                <w:szCs w:val="19"/>
                <w:color w:val="auto"/>
              </w:rPr>
            </w:pPr>
          </w:p>
        </w:tc>
      </w:tr>
      <w:tr>
        <w:trPr>
          <w:trHeight w:val="239"/>
        </w:trPr>
        <w:tc>
          <w:tcPr>
            <w:tcW w:w="4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Expected dividend yield</w:t>
            </w:r>
          </w:p>
        </w:tc>
        <w:tc>
          <w:tcPr>
            <w:tcW w:w="32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100" w:type="dxa"/>
            <w:vAlign w:val="bottom"/>
            <w:shd w:val="clear" w:color="auto" w:fill="CFF0FC"/>
          </w:tcPr>
          <w:p>
            <w:pPr>
              <w:spacing w:after="0"/>
              <w:rPr>
                <w:sz w:val="20"/>
                <w:szCs w:val="20"/>
                <w:color w:val="auto"/>
              </w:rPr>
            </w:pPr>
          </w:p>
        </w:tc>
      </w:tr>
    </w:tbl>
    <w:p>
      <w:pPr>
        <w:spacing w:after="0" w:line="20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As of December 31, 2022, there was no unrecognized stock-based compensation expense related to ESPP, since the purchase for the offering period between July 1, 2022 and December 31, 2022 was transacted on December 31, 2022.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t>9. Net Loss per Share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computation of basic and diluted net loss per share of the Company: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w w:val="90"/>
              </w:rPr>
              <w:t>Year Ended December 31,</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7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56"/>
        </w:trPr>
        <w:tc>
          <w:tcPr>
            <w:tcW w:w="6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40" w:type="dxa"/>
            <w:vAlign w:val="bottom"/>
            <w:gridSpan w:val="7"/>
          </w:tcPr>
          <w:p>
            <w:pPr>
              <w:jc w:val="right"/>
              <w:spacing w:after="0"/>
              <w:rPr>
                <w:sz w:val="20"/>
                <w:szCs w:val="20"/>
                <w:color w:val="auto"/>
              </w:rPr>
            </w:pPr>
            <w:r>
              <w:rPr>
                <w:rFonts w:ascii="Arial" w:cs="Arial" w:eastAsia="Arial" w:hAnsi="Arial"/>
                <w:sz w:val="13"/>
                <w:szCs w:val="13"/>
                <w:b w:val="1"/>
                <w:bCs w:val="1"/>
                <w:color w:val="auto"/>
              </w:rPr>
              <w:t>(in thousands, except share and per share data)</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0"/>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(290,509 )</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(363,872 )</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(52,412 )</w:t>
            </w:r>
          </w:p>
        </w:tc>
      </w:tr>
      <w:tr>
        <w:trPr>
          <w:trHeight w:val="23"/>
        </w:trPr>
        <w:tc>
          <w:tcPr>
            <w:tcW w:w="676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6760" w:type="dxa"/>
            <w:vAlign w:val="bottom"/>
          </w:tcPr>
          <w:p>
            <w:pPr>
              <w:ind w:left="20"/>
              <w:spacing w:after="0"/>
              <w:rPr>
                <w:sz w:val="20"/>
                <w:szCs w:val="20"/>
                <w:color w:val="auto"/>
              </w:rPr>
            </w:pPr>
            <w:r>
              <w:rPr>
                <w:rFonts w:ascii="Arial" w:cs="Arial" w:eastAsia="Arial" w:hAnsi="Arial"/>
                <w:sz w:val="16"/>
                <w:szCs w:val="16"/>
                <w:color w:val="auto"/>
              </w:rPr>
              <w:t>Dividend upon extinguishment of Series C Preferred Stock</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(177,789 )</w:t>
            </w:r>
          </w:p>
        </w:tc>
      </w:tr>
      <w:tr>
        <w:trPr>
          <w:trHeight w:val="23"/>
        </w:trPr>
        <w:tc>
          <w:tcPr>
            <w:tcW w:w="67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(290,509 )</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(363,872 )</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(230,201 )</w:t>
            </w:r>
          </w:p>
        </w:tc>
      </w:tr>
      <w:tr>
        <w:trPr>
          <w:trHeight w:val="20"/>
        </w:trPr>
        <w:tc>
          <w:tcPr>
            <w:tcW w:w="67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 per share, basic and 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(2.59 )</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(3.82 )</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(5.40 )</w:t>
            </w:r>
          </w:p>
        </w:tc>
      </w:tr>
      <w:tr>
        <w:trPr>
          <w:trHeight w:val="20"/>
        </w:trPr>
        <w:tc>
          <w:tcPr>
            <w:tcW w:w="6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 average shares of common stock, basic and diluted</w:t>
            </w: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112,233,649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95,136,719</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42,619,582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-676910</wp:posOffset>
            </wp:positionV>
            <wp:extent cx="77470" cy="1631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-676910</wp:posOffset>
            </wp:positionV>
            <wp:extent cx="68580" cy="1631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1631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-368300</wp:posOffset>
            </wp:positionV>
            <wp:extent cx="2023110" cy="1974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023110" cy="19748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7747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774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20"/>
        <w:spacing w:after="0" w:line="311" w:lineRule="auto"/>
        <w:rPr>
          <w:sz w:val="20"/>
          <w:szCs w:val="20"/>
          <w:color w:val="auto"/>
        </w:rPr>
      </w:pPr>
      <w:r>
        <w:rPr>
          <w:rFonts w:ascii="Arial" w:cs="Arial" w:eastAsia="Arial" w:hAnsi="Arial"/>
          <w:sz w:val="14"/>
          <w:szCs w:val="14"/>
          <w:color w:val="auto"/>
        </w:rPr>
        <w:t>On July 8, 2020, the Company’s board of directors and its Series C preferred stockholders approved an amendment to the conversion preferences and rights of the Company's Series C preferred stock, which, among other changes, resulted in a reduction in the conversion price of the Series C preferred stock from $3.21 to $3.027603. The changes to the conversion feature were considered to be a significant change to the substantive contractual terms of the Company's Series C preferred stock and, therefore, the Company accounted for the change as an extinguishment and reissuance of the Company's Series C preferred stock. In accordance with SEC staff guidance codified in ASC 260-10-S99-2, when equity classified preferred shares are extinguished, the difference between (1) the fair value of the consideration transferred to the holders of the preferred shares and (2) the carrying amount of the preferred shares, net of issuance costs, is subtracted from (or added back to) net income to arrive at income available to common stockholders in the calculation of earnings per share. This difference between the fair value of consideration transferred and carrying amount of the preferred shares, also referred to as a deemed dividend, was, therefore, added back to net loss above to derive net loss attributable to common stockholders.</w:t>
      </w:r>
    </w:p>
    <w:p>
      <w:pPr>
        <w:spacing w:after="0" w:line="16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Company excluded the following potentially dilutive securities, presented based on amounts outstanding at each period end, from the computation of diluted net loss per share for the years ended December 31, 2022, 2021, and 2020, as the effect would be anti-dilutive and reduce the net loss per share calculated for each period. Therefore, the weighted-average number of shares of common stock outstanding used to calculate both basic and diluted net loss per share is the same.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95"/>
              </w:rPr>
              <w:t>Year Ended December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6700" w:type="dxa"/>
            <w:vAlign w:val="bottom"/>
          </w:tcPr>
          <w:p>
            <w:pPr>
              <w:spacing w:after="0"/>
              <w:rPr>
                <w:sz w:val="13"/>
                <w:szCs w:val="13"/>
                <w:color w:val="auto"/>
              </w:rPr>
            </w:pPr>
          </w:p>
        </w:tc>
        <w:tc>
          <w:tcPr>
            <w:tcW w:w="132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3"/>
                <w:szCs w:val="13"/>
                <w:color w:val="auto"/>
              </w:rPr>
            </w:pPr>
          </w:p>
        </w:tc>
        <w:tc>
          <w:tcPr>
            <w:tcW w:w="130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3"/>
                <w:szCs w:val="13"/>
                <w:color w:val="auto"/>
              </w:rPr>
            </w:pPr>
          </w:p>
        </w:tc>
        <w:tc>
          <w:tcPr>
            <w:tcW w:w="138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223"/>
        </w:trPr>
        <w:tc>
          <w:tcPr>
            <w:tcW w:w="6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 to purchase common stock</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11,050,735</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8,719,627</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7,697,058</w:t>
            </w:r>
          </w:p>
        </w:tc>
        <w:tc>
          <w:tcPr>
            <w:tcW w:w="100" w:type="dxa"/>
            <w:vAlign w:val="bottom"/>
            <w:shd w:val="clear" w:color="auto" w:fill="CFF0FC"/>
          </w:tcPr>
          <w:p>
            <w:pPr>
              <w:spacing w:after="0"/>
              <w:rPr>
                <w:sz w:val="19"/>
                <w:szCs w:val="19"/>
                <w:color w:val="auto"/>
              </w:rPr>
            </w:pPr>
          </w:p>
        </w:tc>
      </w:tr>
      <w:tr>
        <w:trPr>
          <w:trHeight w:val="220"/>
        </w:trPr>
        <w:tc>
          <w:tcPr>
            <w:tcW w:w="6700" w:type="dxa"/>
            <w:vAlign w:val="bottom"/>
          </w:tcPr>
          <w:p>
            <w:pPr>
              <w:ind w:left="20"/>
              <w:spacing w:after="0"/>
              <w:rPr>
                <w:sz w:val="20"/>
                <w:szCs w:val="20"/>
                <w:color w:val="auto"/>
              </w:rPr>
            </w:pPr>
            <w:r>
              <w:rPr>
                <w:rFonts w:ascii="Arial" w:cs="Arial" w:eastAsia="Arial" w:hAnsi="Arial"/>
                <w:sz w:val="16"/>
                <w:szCs w:val="16"/>
                <w:color w:val="auto"/>
              </w:rPr>
              <w:t>Unvested restricted stock</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84,489</w:t>
            </w:r>
          </w:p>
        </w:tc>
        <w:tc>
          <w:tcPr>
            <w:tcW w:w="100" w:type="dxa"/>
            <w:vAlign w:val="bottom"/>
          </w:tcPr>
          <w:p>
            <w:pPr>
              <w:spacing w:after="0"/>
              <w:rPr>
                <w:sz w:val="19"/>
                <w:szCs w:val="19"/>
                <w:color w:val="auto"/>
              </w:rPr>
            </w:pPr>
          </w:p>
        </w:tc>
      </w:tr>
      <w:tr>
        <w:trPr>
          <w:trHeight w:val="233"/>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Unvested restricted stock units</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1,566,760</w:t>
            </w:r>
          </w:p>
        </w:tc>
        <w:tc>
          <w:tcPr>
            <w:tcW w:w="2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691,205</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7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12,617,495</w:t>
            </w:r>
          </w:p>
        </w:tc>
        <w:tc>
          <w:tcPr>
            <w:tcW w:w="24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9,410,832</w:t>
            </w: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7,781,547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-162560</wp:posOffset>
            </wp:positionV>
            <wp:extent cx="77470" cy="1631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-162560</wp:posOffset>
            </wp:positionV>
            <wp:extent cx="68580" cy="1631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1631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Acquisition of ZebiAI</w:t>
      </w:r>
    </w:p>
    <w:p>
      <w:pPr>
        <w:spacing w:after="0" w:line="239"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On April 22, 2021 (the “Acquisition Date”), the Company acquired ZebiAI, a privately held company focused on using machine learning combined with DNA encoded library data sets for drug discovery. Pursuant to the Agreement and Plan of Merger (the “Merger Agreement”), upfront consideration included (a) payment of approximately $20.0 million in cash and (b) issuance of 1,914,219 shares of the Company’s common stock at an aggregate fair value of $61.8 million, both transferred to ZebiAI’s former stockholders, option holders, and warrant holders (the "ZebiAI Holders"), upon closing. In addition, (i) the ZebiAI Holders are eligible to receive up to $85.0 million in other payments upon the achievement of certain platform or program milestones, payable in shares of the Company's common stock (the "Contingent Milestone Payments"), a portion of which was paid to the ZebiAI Holders in 2022, and (ii) the Company will pay 10% of payments it receives within three years of the closing date of the Merger Agreement from partnering, collaboration, or other agreements related to ZebiAI’s platform, up to an aggregate maximum amount of $100.0 million, payable in cash (the "Contingent Earnout Payments"), to the ZebiAI Holders.</w:t>
      </w:r>
    </w:p>
    <w:p>
      <w:pPr>
        <w:spacing w:after="0" w:line="192" w:lineRule="exact"/>
        <w:rPr>
          <w:sz w:val="20"/>
          <w:szCs w:val="20"/>
          <w:color w:val="auto"/>
        </w:rPr>
      </w:pPr>
    </w:p>
    <w:p>
      <w:pPr>
        <w:ind w:right="260"/>
        <w:spacing w:after="0" w:line="293" w:lineRule="auto"/>
        <w:rPr>
          <w:sz w:val="20"/>
          <w:szCs w:val="20"/>
          <w:color w:val="auto"/>
        </w:rPr>
      </w:pPr>
      <w:r>
        <w:rPr>
          <w:rFonts w:ascii="Arial" w:cs="Arial" w:eastAsia="Arial" w:hAnsi="Arial"/>
          <w:sz w:val="15"/>
          <w:szCs w:val="15"/>
          <w:color w:val="auto"/>
        </w:rPr>
        <w:t xml:space="preserve">In accounting for the transaction, the Company assessed if ZebiAI represented an asset or business under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(“ASC 805”), as amended by ASU 2017-01. Pursuant to the guidance noted, the Company concluded ZebiAI did not constitute a business, since substantially all of the fair value of the gross assets acquired was concentrated in a single asset, which was the intellectual property for the AI platform and the related data sets in development by ZebiAI. The intellectual property acquired from ZebiAI was at an early stage of development and continues to require a significant investment of time and capital for development. There is no assurance the Company will be successful in completing the additional research and development activities.</w:t>
      </w:r>
    </w:p>
    <w:p>
      <w:pPr>
        <w:spacing w:after="0" w:line="17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The Company also concluded the acquisition represented an initial consolidation of a variable interest entity that does not constitute a business in accordance with ASC 810, </w:t>
      </w:r>
      <w:r>
        <w:rPr>
          <w:rFonts w:ascii="Arial" w:cs="Arial" w:eastAsia="Arial" w:hAnsi="Arial"/>
          <w:sz w:val="16"/>
          <w:szCs w:val="16"/>
          <w:i w:val="1"/>
          <w:iCs w:val="1"/>
          <w:color w:val="auto"/>
        </w:rPr>
        <w:t xml:space="preserve">Consolidation </w:t>
      </w:r>
      <w:r>
        <w:rPr>
          <w:rFonts w:ascii="Arial" w:cs="Arial" w:eastAsia="Arial" w:hAnsi="Arial"/>
          <w:sz w:val="16"/>
          <w:szCs w:val="16"/>
          <w:color w:val="auto"/>
        </w:rPr>
        <w:t>(“ASC 810”). In connection therewith,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1" w:name="page142"/>
    <w:bookmarkEnd w:id="141"/>
    <w:p>
      <w:pPr>
        <w:ind w:right="60"/>
        <w:spacing w:after="0" w:line="287" w:lineRule="auto"/>
        <w:rPr>
          <w:sz w:val="20"/>
          <w:szCs w:val="20"/>
          <w:color w:val="auto"/>
        </w:rPr>
      </w:pPr>
      <w:r>
        <w:rPr>
          <w:rFonts w:ascii="Arial" w:cs="Arial" w:eastAsia="Arial" w:hAnsi="Arial"/>
          <w:sz w:val="15"/>
          <w:szCs w:val="15"/>
          <w:color w:val="auto"/>
        </w:rPr>
        <w:t>determined ZebiAI was considered to be a variable interest entity, as it did not have sufficient equity to finance its activities without additional subordinated financial support. Prior to the Acquisition Date, the primary source of funding for ZebiAl had been preferred stock financings and convertible notes. The Company acquired all of the outstanding shares of ZebiAI and, therefore, is the sole equity holder. The Company will absorb the losses of ZebiAI, has the rights to the benefits derived from the ZebiAI platform, and the power to direct all activities. Therefore, the Company is the primary beneficiary. The net assets acquired and liabilities assumed in connection with the ZebiAI acquisition were recorded at their estimated fair values as of the Acquisition Date. Total consideration transferred of $135.5 million included the cash and shares of the Company's common stock issued to ZebiAI Holders, the fair value of the Contingent Milestone Payments, and the fair value of the Contingent Earnout Payments, as well as an insignificant amount attributed to the replacement of stock options to ZebiAI Holders. The Contingent Milestone Payments were determined to be liabilities pursuant to ASC 480 and, therefore, included in consideration transferred. The Contingent Earnout Payments were required to be included in total consideration transferred as a result of the guidance under ASC 810. The difference between total consideration transferred and the fair value of net assets acquired and liabilities assumed of $11.9 million was recorded as loss on initial consolidation of a variable interest entity pursuant to ASC 810.</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net assets acquired based on their estimated fair values as of the Acquisition Date: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Amount (in thousands)</w:t>
            </w:r>
          </w:p>
        </w:tc>
      </w:tr>
      <w:tr>
        <w:trPr>
          <w:trHeight w:val="224"/>
        </w:trPr>
        <w:tc>
          <w:tcPr>
            <w:tcW w:w="8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Acquired IPR&amp;D asset</w:t>
            </w:r>
          </w:p>
        </w:tc>
        <w:tc>
          <w:tcPr>
            <w:tcW w:w="380" w:type="dxa"/>
            <w:vAlign w:val="bottom"/>
            <w:tcBorders>
              <w:top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123,000</w:t>
            </w:r>
          </w:p>
        </w:tc>
        <w:tc>
          <w:tcPr>
            <w:tcW w:w="100" w:type="dxa"/>
            <w:vAlign w:val="bottom"/>
            <w:shd w:val="clear" w:color="auto" w:fill="CFF0FC"/>
          </w:tcPr>
          <w:p>
            <w:pPr>
              <w:spacing w:after="0"/>
              <w:rPr>
                <w:sz w:val="19"/>
                <w:szCs w:val="19"/>
                <w:color w:val="auto"/>
              </w:rPr>
            </w:pPr>
          </w:p>
        </w:tc>
      </w:tr>
      <w:tr>
        <w:trPr>
          <w:trHeight w:val="220"/>
        </w:trPr>
        <w:tc>
          <w:tcPr>
            <w:tcW w:w="8540" w:type="dxa"/>
            <w:vAlign w:val="bottom"/>
          </w:tcPr>
          <w:p>
            <w:pPr>
              <w:ind w:left="20"/>
              <w:spacing w:after="0"/>
              <w:rPr>
                <w:sz w:val="20"/>
                <w:szCs w:val="20"/>
                <w:color w:val="auto"/>
              </w:rPr>
            </w:pPr>
            <w:r>
              <w:rPr>
                <w:rFonts w:ascii="Arial" w:cs="Arial" w:eastAsia="Arial" w:hAnsi="Arial"/>
                <w:sz w:val="16"/>
                <w:szCs w:val="16"/>
                <w:color w:val="auto"/>
              </w:rPr>
              <w:t>Loss on initial consolidation of VIE</w:t>
            </w:r>
          </w:p>
        </w:tc>
        <w:tc>
          <w:tcPr>
            <w:tcW w:w="3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11,855</w:t>
            </w:r>
          </w:p>
        </w:tc>
        <w:tc>
          <w:tcPr>
            <w:tcW w:w="100" w:type="dxa"/>
            <w:vAlign w:val="bottom"/>
          </w:tcPr>
          <w:p>
            <w:pPr>
              <w:spacing w:after="0"/>
              <w:rPr>
                <w:sz w:val="19"/>
                <w:szCs w:val="19"/>
                <w:color w:val="auto"/>
              </w:rPr>
            </w:pPr>
          </w:p>
        </w:tc>
      </w:tr>
      <w:tr>
        <w:trPr>
          <w:trHeight w:val="239"/>
        </w:trPr>
        <w:tc>
          <w:tcPr>
            <w:tcW w:w="8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 obtained in asset acquisition</w:t>
            </w:r>
          </w:p>
        </w:tc>
        <w:tc>
          <w:tcPr>
            <w:tcW w:w="380" w:type="dxa"/>
            <w:vAlign w:val="bottom"/>
            <w:shd w:val="clear" w:color="auto" w:fill="CFF0FC"/>
          </w:tcPr>
          <w:p>
            <w:pPr>
              <w:spacing w:after="0"/>
              <w:rPr>
                <w:sz w:val="20"/>
                <w:szCs w:val="20"/>
                <w:color w:val="auto"/>
              </w:rPr>
            </w:pPr>
          </w:p>
        </w:tc>
        <w:tc>
          <w:tcPr>
            <w:tcW w:w="2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FF0FC"/>
          </w:tcPr>
          <w:p>
            <w:pPr>
              <w:spacing w:after="0"/>
              <w:rPr>
                <w:sz w:val="20"/>
                <w:szCs w:val="20"/>
                <w:color w:val="auto"/>
              </w:rPr>
            </w:pPr>
          </w:p>
        </w:tc>
      </w:tr>
      <w:tr>
        <w:trPr>
          <w:trHeight w:val="220"/>
        </w:trPr>
        <w:tc>
          <w:tcPr>
            <w:tcW w:w="8540" w:type="dxa"/>
            <w:vAlign w:val="bottom"/>
          </w:tcPr>
          <w:p>
            <w:pPr>
              <w:ind w:left="20"/>
              <w:spacing w:after="0"/>
              <w:rPr>
                <w:sz w:val="20"/>
                <w:szCs w:val="20"/>
                <w:color w:val="auto"/>
              </w:rPr>
            </w:pPr>
            <w:r>
              <w:rPr>
                <w:rFonts w:ascii="Arial" w:cs="Arial" w:eastAsia="Arial" w:hAnsi="Arial"/>
                <w:sz w:val="16"/>
                <w:szCs w:val="16"/>
                <w:color w:val="auto"/>
              </w:rPr>
              <w:t>Liabilities assumed in asset acquisition</w:t>
            </w:r>
          </w:p>
        </w:tc>
        <w:tc>
          <w:tcPr>
            <w:tcW w:w="380" w:type="dxa"/>
            <w:vAlign w:val="bottom"/>
          </w:tcPr>
          <w:p>
            <w:pPr>
              <w:spacing w:after="0"/>
              <w:rPr>
                <w:sz w:val="19"/>
                <w:szCs w:val="19"/>
                <w:color w:val="auto"/>
              </w:rPr>
            </w:pPr>
          </w:p>
        </w:tc>
        <w:tc>
          <w:tcPr>
            <w:tcW w:w="2320" w:type="dxa"/>
            <w:vAlign w:val="bottom"/>
            <w:gridSpan w:val="2"/>
          </w:tcPr>
          <w:p>
            <w:pPr>
              <w:jc w:val="right"/>
              <w:ind w:right="40"/>
              <w:spacing w:after="0"/>
              <w:rPr>
                <w:sz w:val="20"/>
                <w:szCs w:val="20"/>
                <w:color w:val="auto"/>
              </w:rPr>
            </w:pPr>
            <w:r>
              <w:rPr>
                <w:rFonts w:ascii="Arial" w:cs="Arial" w:eastAsia="Arial" w:hAnsi="Arial"/>
                <w:sz w:val="16"/>
                <w:szCs w:val="16"/>
                <w:color w:val="auto"/>
              </w:rPr>
              <w:t>(2,330 )</w:t>
            </w:r>
          </w:p>
        </w:tc>
      </w:tr>
      <w:tr>
        <w:trPr>
          <w:trHeight w:val="233"/>
        </w:trPr>
        <w:tc>
          <w:tcPr>
            <w:tcW w:w="8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Intangible asset</w:t>
            </w:r>
          </w:p>
        </w:tc>
        <w:tc>
          <w:tcPr>
            <w:tcW w:w="380" w:type="dxa"/>
            <w:vAlign w:val="bottom"/>
            <w:tcBorders>
              <w:bottom w:val="single" w:sz="8" w:color="auto"/>
            </w:tcBorders>
            <w:shd w:val="clear" w:color="auto" w:fill="CFF0FC"/>
          </w:tcPr>
          <w:p>
            <w:pPr>
              <w:spacing w:after="0"/>
              <w:rPr>
                <w:sz w:val="20"/>
                <w:szCs w:val="20"/>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8540" w:type="dxa"/>
            <w:vAlign w:val="bottom"/>
          </w:tcPr>
          <w:p>
            <w:pPr>
              <w:ind w:left="20"/>
              <w:spacing w:after="0"/>
              <w:rPr>
                <w:sz w:val="20"/>
                <w:szCs w:val="20"/>
                <w:color w:val="auto"/>
              </w:rPr>
            </w:pPr>
            <w:r>
              <w:rPr>
                <w:rFonts w:ascii="Arial" w:cs="Arial" w:eastAsia="Arial" w:hAnsi="Arial"/>
                <w:sz w:val="16"/>
                <w:szCs w:val="16"/>
                <w:color w:val="auto"/>
              </w:rPr>
              <w:t>Net acquired assets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135,487</w:t>
            </w:r>
          </w:p>
        </w:tc>
        <w:tc>
          <w:tcPr>
            <w:tcW w:w="100" w:type="dxa"/>
            <w:vAlign w:val="bottom"/>
          </w:tcPr>
          <w:p>
            <w:pPr>
              <w:spacing w:after="0"/>
              <w:rPr>
                <w:sz w:val="19"/>
                <w:szCs w:val="19"/>
                <w:color w:val="auto"/>
              </w:rPr>
            </w:pPr>
          </w:p>
        </w:tc>
      </w:tr>
      <w:tr>
        <w:trPr>
          <w:trHeight w:val="20"/>
        </w:trPr>
        <w:tc>
          <w:tcPr>
            <w:tcW w:w="8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6" w:lineRule="exact"/>
        <w:rPr>
          <w:sz w:val="20"/>
          <w:szCs w:val="20"/>
          <w:color w:val="auto"/>
        </w:rPr>
      </w:pPr>
    </w:p>
    <w:p>
      <w:pPr>
        <w:ind w:right="60"/>
        <w:spacing w:after="0" w:line="286" w:lineRule="auto"/>
        <w:rPr>
          <w:sz w:val="20"/>
          <w:szCs w:val="20"/>
          <w:color w:val="auto"/>
        </w:rPr>
      </w:pPr>
      <w:r>
        <w:rPr>
          <w:rFonts w:ascii="Arial" w:cs="Arial" w:eastAsia="Arial" w:hAnsi="Arial"/>
          <w:sz w:val="15"/>
          <w:szCs w:val="15"/>
          <w:color w:val="auto"/>
        </w:rPr>
        <w:t xml:space="preserve">In estimating the fair value of the acquired tangible assets and liabilities assumed, the Company used the carrying value of the net working capital balances as the most reliable indicator of fair value based on the associated short-term nature of the balances. The remaining fair value was attributable to the acquired IPR&amp;D and an intangible asset. The fair value attributable to the IPR&amp;D asset was determined using an Avoided Cost Method, which includes all costs to develop the IPR&amp;D asset, including appropriate mark-ups on the cost estimate and an expected return related to developing the IPR&amp;D asset over a period of time. The fair value of the IPR&amp;D asset was expensed in the Company’s consolidated statements of operations and comprehensive loss for the year ended December 31, 2021, as the acquired IPR&amp;D had no alternative future use, which was determined by the Company in accordance with U.S. GAAP, including ASC 730, </w:t>
      </w:r>
      <w:r>
        <w:rPr>
          <w:rFonts w:ascii="Arial" w:cs="Arial" w:eastAsia="Arial" w:hAnsi="Arial"/>
          <w:sz w:val="15"/>
          <w:szCs w:val="15"/>
          <w:i w:val="1"/>
          <w:iCs w:val="1"/>
          <w:color w:val="auto"/>
        </w:rPr>
        <w:t>Research and Development</w:t>
      </w:r>
      <w:r>
        <w:rPr>
          <w:rFonts w:ascii="Arial" w:cs="Arial" w:eastAsia="Arial" w:hAnsi="Arial"/>
          <w:sz w:val="15"/>
          <w:szCs w:val="15"/>
          <w:color w:val="auto"/>
        </w:rPr>
        <w:t xml:space="preserve"> ("ASC 730"). The intangible asset represents the assembled workforce, for which the Company concluded there were no indicators of impairment through December 31, 2022. The Company recognized stock-based compensation expense of $4.6 million associated with accelerated vesting for certain stock options in connection with the acquisition within the consolidated statements of operations and comprehensive loss for the year ended December 31, 2021, with no incremental charges in connection therewith for the year ended December 31, 2022. Finally, the Company recognized other acquisition costs of $0.9 million within general and administrative expenses in the consolidated statements of operations and comprehensive loss for the year ended December 31, 2021.</w:t>
      </w:r>
    </w:p>
    <w:p>
      <w:pPr>
        <w:spacing w:after="0" w:line="183"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 xml:space="preserve">For the Contingent Milestone Payments and Contingent Earnout Payments, the Company recorded contingent consideration liabilities of $42.4 million and $5.0 million, respectively, representing the fair value of the payment provisions noted as of the Acquisition Date. The Company is required to re-assess the fair value of the Contingent Milestone Payments at each reporting period pursuant to ASC 480, as summarized within Note 3, </w:t>
      </w:r>
      <w:r>
        <w:rPr>
          <w:rFonts w:ascii="Arial" w:cs="Arial" w:eastAsia="Arial" w:hAnsi="Arial"/>
          <w:sz w:val="16"/>
          <w:szCs w:val="16"/>
          <w:i w:val="1"/>
          <w:iCs w:val="1"/>
          <w:color w:val="auto"/>
        </w:rPr>
        <w:t>Fair Value Measurements</w:t>
      </w:r>
      <w:r>
        <w:rPr>
          <w:rFonts w:ascii="Arial" w:cs="Arial" w:eastAsia="Arial" w:hAnsi="Arial"/>
          <w:sz w:val="16"/>
          <w:szCs w:val="16"/>
          <w:color w:val="auto"/>
        </w:rPr>
        <w:t>. However, the Contingent Earnout Payments were not accounted for as derivatives under ASC 815 and, therefore, are not re-assessed at fair value at each reporting period. The Contingent Earnout Payments will be adjusted when the contingency is resolved and the consideration is paid or becomes payable.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Collaboration and License Agreement with Genentech, Inc.</w:t>
      </w:r>
    </w:p>
    <w:p>
      <w:pPr>
        <w:spacing w:after="0" w:line="239"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In December 2020, the Company and Genentech, Inc. ("Genentech") entered into the Collaboration and License Agreement ("Genentech Agreement"), which granted Genentech a license to develop and commercialize GDC-1971 (formerly known as RLY-1971). In 2022, the Company completed enrollment of a Phase 1a dose escalation study of GDC-1971 as a monotherapy in patients with advanced or metastatic solid tumors ("Phase 1a Trial for GDC-1971"). The Company is also responsible for the one-time transfer of the active pharmaceutical ingredient (“API”) and other materials related to GDC-1971 to Genentech. Genentech will be responsible for conducting any additional clinical development of GDC-1971, including in any combination trials with Genentech’s compound, GDC-6036, that directly binds to and inhibits KRAS G12C, or other compounds. Genentech initiated the cohort of GDC-1971 in combination with GDC-6036 in a Phase 1b trial in July 2021, and a Phase 1b trial of GDC-1971 in combination with atezolizumab, its PD-L1 antibody, in August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2" w:name="page143"/>
    <w:bookmarkEnd w:id="142"/>
    <w:p>
      <w:pPr>
        <w:ind w:right="40"/>
        <w:spacing w:after="0" w:line="288" w:lineRule="auto"/>
        <w:rPr>
          <w:sz w:val="20"/>
          <w:szCs w:val="20"/>
          <w:color w:val="auto"/>
        </w:rPr>
      </w:pPr>
      <w:r>
        <w:rPr>
          <w:rFonts w:ascii="Arial" w:cs="Arial" w:eastAsia="Arial" w:hAnsi="Arial"/>
          <w:sz w:val="15"/>
          <w:szCs w:val="15"/>
          <w:color w:val="auto"/>
        </w:rPr>
        <w:t>Under the Genentech Agreement, the Company was entitled to a non-refundable upfront payment of $75.0 million, which was due upon completion of certain technology transfer activities and was reflected as accounts receivable on the consolidated balance sheet at December 31, 2020. The Company collected this amount in January 2021. In April 2021, the Company completed the transfer of the Investigational New Drug (“IND”) application for GDC-1971 to Genentech, upon which the Company received payment for the associated non-refundable milestone payment of $5.0 million in May 2021. The Company received further milestone payments of $15.0 million and $10.0 million in December 2021 and October 2022, respectively, which are refundable if the Company opts into the collaboration with Genentech, as discussed below. The Company is eligible to receive up to $5.0 million in other near-term milestone payments. The Company is also eligible to receive up to an aggregate of an additional $685.0 million upon the achievement of specified development, commercialization, and sales-based milestones for GDC-1971 worldwide, as well as tiered royalties ranging from low-to-mid teens on annual worldwide net sales of GDC-1971, on a country-by-country basis, subject to reduction in certain circumstances.</w:t>
      </w:r>
    </w:p>
    <w:p>
      <w:pPr>
        <w:spacing w:after="0" w:line="180"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The Company has the option, exercisable one time at the Company’s sole discretion, to (a) fund half of the development costs of GDC-1971 in the U.S., (b) share half of the net profits or net losses of commercializing GDC-1971 in the U.S. (the “Profit/Cost Share”), and (c) be eligible to receive up to an aggregate of an additional $410.0 million upon the achievement of specified commercialization and sales-based milestones for GDC-1971 outside of the U.S and tiered royalties ranging from low-to-mid teens on annual net sales of GDC-1971 outside of the U.S., on a country-by-country basis, subject to reduction in certain circumstances. The Company may elect to opt-out of further participation in the Profit/Cost Share at any time prior to the third anniversary of the first commercial sale of GDC-1971 in the U.S, in which case the financial terms would revert to the terms applicable as if Company had not opted into the Profit/Cost Share as of the effective opt-out date.</w:t>
      </w:r>
    </w:p>
    <w:p>
      <w:pPr>
        <w:spacing w:after="0" w:line="176"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Genentech may terminate the Genentech Agreement for convenience and the Company may terminate the Genentech Agreement under certain limited circumstances. Unless otherwise terminated, the Genentech Agreement will remain in effect until the expiration of all Genentech’s royalty payment obligations to the Company.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Analysis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Identification of the Contract</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The Company concluded Genentech is a customer in this arrangement and, as such, the arrangement falls within the scope of the revenue recognition guidance in ASC 606.</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Identification of Performance Obligations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At the commencement of the Genentech Agreement, the Company identified the following performance obligations:</w:t>
      </w:r>
    </w:p>
    <w:p>
      <w:pPr>
        <w:spacing w:after="0" w:line="235" w:lineRule="exact"/>
        <w:rPr>
          <w:sz w:val="20"/>
          <w:szCs w:val="20"/>
          <w:color w:val="auto"/>
        </w:rPr>
      </w:pPr>
    </w:p>
    <w:p>
      <w:pPr>
        <w:ind w:left="880" w:hanging="378"/>
        <w:spacing w:after="0"/>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License to develop and commercialize GDC-1971 and the related know-how;</w:t>
      </w:r>
    </w:p>
    <w:p>
      <w:pPr>
        <w:spacing w:after="0" w:line="234" w:lineRule="exact"/>
        <w:rPr>
          <w:rFonts w:ascii="Arial" w:cs="Arial" w:eastAsia="Arial" w:hAnsi="Arial"/>
          <w:sz w:val="16"/>
          <w:szCs w:val="16"/>
          <w:color w:val="auto"/>
        </w:rPr>
      </w:pPr>
    </w:p>
    <w:p>
      <w:pPr>
        <w:ind w:left="880" w:hanging="378"/>
        <w:spacing w:after="0"/>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Research and development services to complete the Phase 1a Trial for GDC-1971; and</w:t>
      </w:r>
    </w:p>
    <w:p>
      <w:pPr>
        <w:spacing w:after="0" w:line="234" w:lineRule="exact"/>
        <w:rPr>
          <w:rFonts w:ascii="Arial" w:cs="Arial" w:eastAsia="Arial" w:hAnsi="Arial"/>
          <w:sz w:val="16"/>
          <w:szCs w:val="16"/>
          <w:color w:val="auto"/>
        </w:rPr>
      </w:pPr>
    </w:p>
    <w:p>
      <w:pPr>
        <w:ind w:left="880" w:hanging="378"/>
        <w:spacing w:after="0"/>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Transfer of API and other materials related to GDC-1971.</w:t>
      </w:r>
    </w:p>
    <w:p>
      <w:pPr>
        <w:spacing w:after="0" w:line="235"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The Company concluded the performance obligations outlined above are both capable of being distinct and distinct within the context of the contract, given such rights and activities are independent of each other. The license can be used by Genentech without the research and development services or API outlined above. Similarly, such services and inventory provide distinct benefit to Genentech within the context of the contract, separate from the license.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Determination of Transaction Price</w:t>
      </w:r>
    </w:p>
    <w:p>
      <w:pPr>
        <w:spacing w:after="0" w:line="23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As of December 31, 2022, the Company concluded the transaction price for the Genentech Agreement was $86.8 million, which includes both fixed and variable consideration. The total transaction price of $86.8 million is comprised of (i) the $75.0 million fixed, non-refundable upfront payment, (ii) a $5.0 million non-refundable milestone payment due upon the transfer of the IND application to Genentech, (iii) a $5.0 million non-refundable milestone payment due upon delivery of certain data relating to the completion of the Phase 1a Trial for GDC-1971, and (iv) $1.8 million of estimated variable consideration related to reimbursements due from Genentech for research and development services. No (a) other development milestone payments, including the $15.0 million and $10.0 million milestone payments received in December 2021 and October 2022, respectively, and (b) regulatory milestone payments are included in the transaction price, as such payments are variable consideration fully constrained as of December 31,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3" w:name="page144"/>
    <w:bookmarkEnd w:id="143"/>
    <w:p>
      <w:pPr>
        <w:ind w:firstLine="8"/>
        <w:spacing w:after="0" w:line="278" w:lineRule="auto"/>
        <w:tabs>
          <w:tab w:leader="none" w:pos="81"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part of management’s evaluation of the constraint, the Company considered numerous factors, including consideration of the fact that achievement of the milestones is outside of the Company’s control, contingent upon Genentech’s efforts, the receipt of regulatory approval, and subject to scientific risks of success, as well as the Company’s option to participate in the Profit/Cost Share.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Allocation of Transaction Price to Performance Obligations</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The Company allocated the transaction price of $86.8 million based on the stand-alone selling prices (“SSP”) of each of the performance obligations as follows:</w:t>
      </w:r>
    </w:p>
    <w:p>
      <w:pPr>
        <w:spacing w:after="0" w:line="246" w:lineRule="exact"/>
        <w:rPr>
          <w:sz w:val="20"/>
          <w:szCs w:val="20"/>
          <w:color w:val="auto"/>
        </w:rPr>
      </w:pPr>
    </w:p>
    <w:p>
      <w:pPr>
        <w:ind w:left="880" w:hanging="378"/>
        <w:spacing w:after="0"/>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$83.6 million for the transfer of the license;</w:t>
      </w:r>
    </w:p>
    <w:p>
      <w:pPr>
        <w:spacing w:after="0" w:line="234" w:lineRule="exact"/>
        <w:rPr>
          <w:rFonts w:ascii="Arial" w:cs="Arial" w:eastAsia="Arial" w:hAnsi="Arial"/>
          <w:sz w:val="16"/>
          <w:szCs w:val="16"/>
          <w:color w:val="auto"/>
        </w:rPr>
      </w:pPr>
    </w:p>
    <w:p>
      <w:pPr>
        <w:ind w:left="880" w:hanging="378"/>
        <w:spacing w:after="0"/>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$2.9 million for research and development services; and</w:t>
      </w:r>
    </w:p>
    <w:p>
      <w:pPr>
        <w:spacing w:after="0" w:line="234" w:lineRule="exact"/>
        <w:rPr>
          <w:rFonts w:ascii="Arial" w:cs="Arial" w:eastAsia="Arial" w:hAnsi="Arial"/>
          <w:sz w:val="16"/>
          <w:szCs w:val="16"/>
          <w:color w:val="auto"/>
        </w:rPr>
      </w:pPr>
    </w:p>
    <w:p>
      <w:pPr>
        <w:ind w:left="880" w:hanging="378"/>
        <w:spacing w:after="0"/>
        <w:tabs>
          <w:tab w:leader="none" w:pos="8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$0.3 million for the transfer of API.</w:t>
      </w:r>
    </w:p>
    <w:p>
      <w:pPr>
        <w:spacing w:after="0" w:line="235"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The SSP for the license was determined using an approach that considered discounted, probability-weighted cash flows related to the license transferred. The Company also reviewed comparable market transactions in determining the SSP of the license. The SSP for the research and development services and the transfer of API were based on estimates of the associated effort and cost of these services and cost to manufacture API, adjusted for a reasonable profit margin that would be expected to be realized under similar contracts.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Recognition of Revenue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recognizing revenue for each of the three performance obligations as follows.</w:t>
      </w:r>
    </w:p>
    <w:p>
      <w:pPr>
        <w:spacing w:after="0" w:line="235" w:lineRule="exact"/>
        <w:rPr>
          <w:sz w:val="20"/>
          <w:szCs w:val="20"/>
          <w:color w:val="auto"/>
        </w:rPr>
      </w:pPr>
    </w:p>
    <w:p>
      <w:pPr>
        <w:ind w:left="880" w:right="140" w:hanging="378"/>
        <w:spacing w:after="0" w:line="369" w:lineRule="auto"/>
        <w:tabs>
          <w:tab w:leader="none" w:pos="8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Company recognized revenue related to the license at a point in time upon transfer of the license to Genentech. The Company recognized the full amount allocated to the license and related know-how in 2020, because the Company had transferred the license upon execution of the Genentech Agreement.</w:t>
      </w:r>
    </w:p>
    <w:p>
      <w:pPr>
        <w:spacing w:after="0" w:line="125" w:lineRule="exact"/>
        <w:rPr>
          <w:rFonts w:ascii="Arial" w:cs="Arial" w:eastAsia="Arial" w:hAnsi="Arial"/>
          <w:sz w:val="14"/>
          <w:szCs w:val="14"/>
          <w:color w:val="auto"/>
        </w:rPr>
      </w:pPr>
    </w:p>
    <w:p>
      <w:pPr>
        <w:ind w:left="880" w:right="120" w:hanging="378"/>
        <w:spacing w:after="0" w:line="318" w:lineRule="auto"/>
        <w:tabs>
          <w:tab w:leader="none" w:pos="8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Company is satisfying the research and development performance obligation for GDC-1971 as the research and development services are performed. The research and development services performance obligation consists of the Company completing the Phase 1a clinical trial initiated in 2020. The Company recognizes revenue related to the research and development services over time using a cost-based input method by calculating actual costs incurred to date at each period end relative to total estimated costs expected to be incurred to fulfill the performance obligation. Revenue recognized related to this performance obligation during the years ended December 31, 2022, 2021, and 2020 was $0.7 million, $1.7 million, and $0, respectively.</w:t>
      </w:r>
    </w:p>
    <w:p>
      <w:pPr>
        <w:spacing w:after="0" w:line="161" w:lineRule="exact"/>
        <w:rPr>
          <w:rFonts w:ascii="Arial" w:cs="Arial" w:eastAsia="Arial" w:hAnsi="Arial"/>
          <w:sz w:val="14"/>
          <w:szCs w:val="14"/>
          <w:color w:val="auto"/>
        </w:rPr>
      </w:pPr>
    </w:p>
    <w:p>
      <w:pPr>
        <w:ind w:left="880" w:right="20" w:hanging="378"/>
        <w:spacing w:after="0" w:line="293" w:lineRule="auto"/>
        <w:tabs>
          <w:tab w:leader="none" w:pos="8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recognized the full amount of revenue related to the transfer of API in 2021 upon transfer to Genentech in the amount of $0.3 million. There was no revenue recognized related to this performance obligation during the years ended December 31, 2022 and 2020.</w:t>
      </w:r>
    </w:p>
    <w:p>
      <w:pPr>
        <w:spacing w:after="0" w:line="17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During the years ended December 31, 2022, 2021, and 2020, the Company recognized an aggregate of $1.0 million, $2.6 million, and $82.7 million, respectively, of revenue from the Genentech Agreement.</w:t>
      </w:r>
    </w:p>
    <w:p>
      <w:pPr>
        <w:spacing w:after="0" w:line="172" w:lineRule="exact"/>
        <w:rPr>
          <w:sz w:val="20"/>
          <w:szCs w:val="20"/>
          <w:color w:val="auto"/>
        </w:rPr>
      </w:pPr>
    </w:p>
    <w:p>
      <w:pPr>
        <w:jc w:val="both"/>
        <w:ind w:right="180"/>
        <w:spacing w:after="0" w:line="278" w:lineRule="auto"/>
        <w:rPr>
          <w:sz w:val="20"/>
          <w:szCs w:val="20"/>
          <w:color w:val="auto"/>
        </w:rPr>
      </w:pPr>
      <w:r>
        <w:rPr>
          <w:rFonts w:ascii="Arial" w:cs="Arial" w:eastAsia="Arial" w:hAnsi="Arial"/>
          <w:sz w:val="16"/>
          <w:szCs w:val="16"/>
          <w:color w:val="auto"/>
        </w:rPr>
        <w:t>As of December 31, 2022 and 2021, the Company recorded a contract asset of $4.9 million and $4.5 million, respectively, both of which are classified as current assets on the consolidated balance sheets. The contract asset relates to the amount of revenue recognized for which the right to payment is contingent upon conditions other than the passage of time, such as the completion of future milestone activities.</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Company recorded an other current liability of $25.0 million and an other liability of $15.0 million as of of December 31, 2022 and 2021, respectively, representing the amount of certain development milestones achieved as of such dates under the Genentech Agreement. The amounts have been excluded from the transaction price at both December 31, 2022 and 2021 and, therefore, excluded from amounts recognized as revenue to date, since they are subject to repayment to Genentech if the Company exercises its option to participate in the Profit/Cost Share under the Genentech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b w:val="1"/>
          <w:bCs w:val="1"/>
          <w:color w:val="auto"/>
        </w:rPr>
        <w:t>12.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License</w:t>
      </w:r>
    </w:p>
    <w:p>
      <w:pPr>
        <w:spacing w:after="0" w:line="235"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The Company has a Collaboration and License Agreement with D. E. Shaw Research, LLC (“D. E. Shaw Research”), which held 9,999,999 shares of Series A preferred stock and 1,557,875 shares of Series C preferred stock at December 31, 2019. In conjunction with the Company's initial public offering in 2020, such shares were converted into 3,281,253 shares of common stock of the Company, which are outstanding at December 31, 2022. The contract provides that the parties will jointly conduct research efforts with the goal of identifying and developing product candidates. The original term of the contract was three years and required the Company to pay an annual fee of $1.0 million. On June 15, 2020, the Company and D. E. Shaw Research agreed to amend the Collaboration and License Agreement (the “DESRES Agreement”). The DESRES Agreement extended the term of the agreement to August 16, 2025 and increased the annual fee from $1.0 million to $9.9 million. The DESRES Agreement also automatically renews for successive one-year periods, unless either party provides at least one year notice of non-renewal. The annual fee during each of the one-year renewal terms is subject to mutual agreement of the Company and D. E. Shaw Research.</w:t>
      </w:r>
    </w:p>
    <w:p>
      <w:pPr>
        <w:spacing w:after="0" w:line="18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Company is obligated to pay potential development milestone payments under the terms of the DESRES Agreement up to $7.3 million per target, plus sales milestones and royalties, upon the achievement of certain specified contingent events. Such payments for achievement of development and regulatory milestones total up to $7.3 million in the aggregate for each of the first three products the Company develops and up to $6.3 million, in the aggregate, for each product the Company develops after the first three. The Company assessed the milestone and royalty events under the DESRES Agreement as of December 31, 2022 and 2021, concluding no such payments were due.</w:t>
      </w:r>
    </w:p>
    <w:p>
      <w:pPr>
        <w:spacing w:after="0" w:line="190"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For the years ended December 31, 2022, 2021, and 2020, the Company recorded research and development expenses of $9.4 million, $9.5 million, and $6.4 million, respectively, under the DESRES Agreement on its consolidated statements of operations and comprehensive loss.</w:t>
      </w:r>
    </w:p>
    <w:p>
      <w:pPr>
        <w:spacing w:after="0" w:line="172"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As of December 31, 2022 and 2021, the Company had prepaid balances of $4.9 million and $4.4 million, respectively, under the DESRES Agreement on its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2022 and 2021, the Company had no accrued expense and accounts payable balances under the DESRES Agreement on its consolidated balance sheets.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Research Arrangements</w:t>
      </w:r>
    </w:p>
    <w:p>
      <w:pPr>
        <w:spacing w:after="0" w:line="235"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The Company has certain other research and license arrangements with third parties, which provide the Company with research services with the goal of identifying and developing product candidates. The Company is obligated to pay certain development milestone payments pursuant to such arrangements upon the achievement of certain specified contingent events. The Company assessed such milestones at December 31, 2022 and 2021, concluding $0 was due as of December 31, 2022 and $0.5 million was due as of December 31, 2021. The Company incurred approximately $2.9 million, $5.4 million, and $2.7 million of research and development expenses under such agreements for the years ended December 31, 2022, 2021, and 2020,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Leases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399 Binney Street</w:t>
      </w:r>
    </w:p>
    <w:p>
      <w:pPr>
        <w:spacing w:after="0" w:line="239" w:lineRule="exact"/>
        <w:rPr>
          <w:sz w:val="20"/>
          <w:szCs w:val="20"/>
          <w:color w:val="auto"/>
        </w:rPr>
      </w:pPr>
    </w:p>
    <w:p>
      <w:pPr>
        <w:spacing w:after="0" w:line="324" w:lineRule="auto"/>
        <w:rPr>
          <w:sz w:val="20"/>
          <w:szCs w:val="20"/>
          <w:color w:val="auto"/>
        </w:rPr>
      </w:pPr>
      <w:r>
        <w:rPr>
          <w:rFonts w:ascii="Arial" w:cs="Arial" w:eastAsia="Arial" w:hAnsi="Arial"/>
          <w:sz w:val="14"/>
          <w:szCs w:val="14"/>
          <w:color w:val="auto"/>
        </w:rPr>
        <w:t>In December 2017, the Company entered into an operating lease agreement for 44,336 square feet of office and laboratory space at 399 Binney Street, Cambridge, Massachusetts, which was increased to 44,807 square feet in January 2018. The Company gained control of the leased space in January 2019 and, accordingly, recorded an operating lease right-of-use asset and liability at such time. The operating lease expires in April 2029, subject to certain renewal options, which have not been included in the Company’s operating lease right-of-use asset and liability, as the Company is not reasonably certain to exercise such options as of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2020, the Company entered into an amendment to its operating lease agreement to expand the leased area by 1,824</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45" w:name="page146"/>
    <w:bookmarkEnd w:id="145"/>
    <w:p>
      <w:pPr>
        <w:ind w:right="200" w:firstLine="40"/>
        <w:spacing w:after="0" w:line="273" w:lineRule="auto"/>
        <w:rPr>
          <w:sz w:val="20"/>
          <w:szCs w:val="20"/>
          <w:color w:val="auto"/>
        </w:rPr>
      </w:pPr>
      <w:r>
        <w:rPr>
          <w:rFonts w:ascii="Arial" w:cs="Arial" w:eastAsia="Arial" w:hAnsi="Arial"/>
          <w:sz w:val="16"/>
          <w:szCs w:val="16"/>
          <w:color w:val="auto"/>
        </w:rPr>
        <w:t>square feet of office space at 399 Binney Street, Cambridge, Massachusetts. The amendment to the operating lease agreement met the criteria to be accounted for as a separate operating lease. The Company gained control of the leased space in October 2020 and, accordingly, recorded an operating lease right-of-use asset and liability at such time. The operating lease right-of-use asset and lease liability recorded in connection with the amendment were not material. The amended operating lease expires in April 2029, subject to certain renewal options.</w:t>
      </w:r>
    </w:p>
    <w:p>
      <w:pPr>
        <w:spacing w:after="0" w:line="189"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 xml:space="preserve">As discussed in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the Company provided a letter of credit in the amount of $0.9 million with a financial institution, which expires commensurate with the lease in April 2029.</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presentation of amounts recorded on the Company’s consolidated balance sheets for the operating lease at 399 Binney Street as of</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180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December 31, 2022</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Pr>
          <w:p>
            <w:pPr>
              <w:spacing w:after="0"/>
              <w:rPr>
                <w:sz w:val="14"/>
                <w:szCs w:val="14"/>
                <w:color w:val="auto"/>
              </w:rPr>
            </w:pPr>
          </w:p>
        </w:tc>
      </w:tr>
      <w:tr>
        <w:trPr>
          <w:trHeight w:val="157"/>
        </w:trPr>
        <w:tc>
          <w:tcPr>
            <w:tcW w:w="6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(in thousands)</w:t>
            </w: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8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320" w:type="dxa"/>
            <w:vAlign w:val="bottom"/>
          </w:tcPr>
          <w:p>
            <w:pPr>
              <w:ind w:left="200"/>
              <w:spacing w:after="0"/>
              <w:rPr>
                <w:sz w:val="20"/>
                <w:szCs w:val="20"/>
                <w:color w:val="auto"/>
              </w:rPr>
            </w:pPr>
            <w:r>
              <w:rPr>
                <w:rFonts w:ascii="Arial" w:cs="Arial" w:eastAsia="Arial" w:hAnsi="Arial"/>
                <w:sz w:val="16"/>
                <w:szCs w:val="16"/>
                <w:color w:val="auto"/>
              </w:rPr>
              <w:t>Operating lease assets</w:t>
            </w:r>
          </w:p>
        </w:tc>
        <w:tc>
          <w:tcPr>
            <w:tcW w:w="1800" w:type="dxa"/>
            <w:vAlign w:val="bottom"/>
          </w:tcPr>
          <w:p>
            <w:pPr>
              <w:jc w:val="right"/>
              <w:ind w:right="16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18,828</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20,780</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8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63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800" w:type="dxa"/>
            <w:vAlign w:val="bottom"/>
          </w:tcPr>
          <w:p>
            <w:pPr>
              <w:jc w:val="right"/>
              <w:ind w:right="16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2,170</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19"/>
                <w:szCs w:val="19"/>
                <w:color w:val="auto"/>
              </w:rPr>
            </w:pPr>
          </w:p>
        </w:tc>
      </w:tr>
      <w:tr>
        <w:trPr>
          <w:trHeight w:val="233"/>
        </w:trPr>
        <w:tc>
          <w:tcPr>
            <w:tcW w:w="6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Operating lease liabilities, net of current portion</w:t>
            </w:r>
          </w:p>
        </w:tc>
        <w:tc>
          <w:tcPr>
            <w:tcW w:w="18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18,886</w:t>
            </w: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320" w:type="dxa"/>
            <w:vAlign w:val="bottom"/>
          </w:tcPr>
          <w:p>
            <w:pPr>
              <w:ind w:left="200"/>
              <w:spacing w:after="0"/>
              <w:rPr>
                <w:sz w:val="20"/>
                <w:szCs w:val="20"/>
                <w:color w:val="auto"/>
              </w:rPr>
            </w:pPr>
            <w:r>
              <w:rPr>
                <w:rFonts w:ascii="Arial" w:cs="Arial" w:eastAsia="Arial" w:hAnsi="Arial"/>
                <w:sz w:val="16"/>
                <w:szCs w:val="16"/>
                <w:color w:val="auto"/>
              </w:rPr>
              <w:t>Total operating lease liabilities</w:t>
            </w:r>
          </w:p>
        </w:tc>
        <w:tc>
          <w:tcPr>
            <w:tcW w:w="1800" w:type="dxa"/>
            <w:vAlign w:val="bottom"/>
          </w:tcPr>
          <w:p>
            <w:pPr>
              <w:jc w:val="right"/>
              <w:ind w:right="16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21,056</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22,900</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-179070</wp:posOffset>
            </wp:positionV>
            <wp:extent cx="68580" cy="1797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6"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 following table summarizes the effect of lease costs for the Company's operating lease at 399 Binney Street on the Company’s condensed consolidated statements of operations and comprehensive loss for the years ended December 31, 2022, 2021, and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88"/>
              <w:spacing w:after="0"/>
              <w:rPr>
                <w:sz w:val="20"/>
                <w:szCs w:val="20"/>
                <w:color w:val="auto"/>
              </w:rPr>
            </w:pPr>
            <w:r>
              <w:rPr>
                <w:rFonts w:ascii="Arial" w:cs="Arial" w:eastAsia="Arial" w:hAnsi="Arial"/>
                <w:sz w:val="13"/>
                <w:szCs w:val="13"/>
                <w:b w:val="1"/>
                <w:bCs w:val="1"/>
                <w:color w:val="auto"/>
                <w:w w:val="87"/>
              </w:rPr>
              <w:t>Year Ended December 31,</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780" w:type="dxa"/>
            <w:vAlign w:val="bottom"/>
          </w:tcPr>
          <w:p>
            <w:pPr>
              <w:spacing w:after="0"/>
              <w:rPr>
                <w:sz w:val="13"/>
                <w:szCs w:val="13"/>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89"/>
              </w:rPr>
              <w:t>2021</w:t>
            </w:r>
          </w:p>
        </w:tc>
        <w:tc>
          <w:tcPr>
            <w:tcW w:w="3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6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jc w:val="center"/>
              <w:ind w:right="108"/>
              <w:spacing w:after="0"/>
              <w:rPr>
                <w:sz w:val="20"/>
                <w:szCs w:val="20"/>
                <w:color w:val="auto"/>
              </w:rPr>
            </w:pPr>
            <w:r>
              <w:rPr>
                <w:rFonts w:ascii="Arial" w:cs="Arial" w:eastAsia="Arial" w:hAnsi="Arial"/>
                <w:sz w:val="13"/>
                <w:szCs w:val="13"/>
                <w:b w:val="1"/>
                <w:bCs w:val="1"/>
                <w:color w:val="auto"/>
                <w:w w:val="87"/>
              </w:rPr>
              <w:t>(in thousands)</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expenses</w:t>
            </w:r>
          </w:p>
        </w:tc>
        <w:tc>
          <w:tcPr>
            <w:tcW w:w="1280" w:type="dxa"/>
            <w:vAlign w:val="bottom"/>
            <w:shd w:val="clear" w:color="auto" w:fill="CFF0FC"/>
          </w:tcPr>
          <w:p>
            <w:pPr>
              <w:jc w:val="right"/>
              <w:ind w:right="112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3,350</w:t>
            </w:r>
          </w:p>
        </w:tc>
        <w:tc>
          <w:tcPr>
            <w:tcW w:w="52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3,262</w:t>
            </w:r>
          </w:p>
        </w:tc>
        <w:tc>
          <w:tcPr>
            <w:tcW w:w="780" w:type="dxa"/>
            <w:vAlign w:val="bottom"/>
            <w:gridSpan w:val="2"/>
            <w:shd w:val="clear" w:color="auto" w:fill="CFF0FC"/>
          </w:tcPr>
          <w:p>
            <w:pPr>
              <w:jc w:val="right"/>
              <w:ind w:right="304"/>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3,273</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1,002</w:t>
            </w: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9"/>
                <w:szCs w:val="19"/>
                <w:color w:val="auto"/>
              </w:rPr>
            </w:pPr>
          </w:p>
        </w:tc>
      </w:tr>
      <w:tr>
        <w:trPr>
          <w:trHeight w:val="263"/>
        </w:trPr>
        <w:tc>
          <w:tcPr>
            <w:tcW w:w="478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112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4,243</w:t>
            </w:r>
          </w:p>
        </w:tc>
        <w:tc>
          <w:tcPr>
            <w:tcW w:w="3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4,264</w:t>
            </w:r>
          </w:p>
        </w:tc>
        <w:tc>
          <w:tcPr>
            <w:tcW w:w="3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-24765</wp:posOffset>
            </wp:positionV>
            <wp:extent cx="774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77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560"/>
        <w:spacing w:after="0" w:line="293" w:lineRule="auto"/>
        <w:rPr>
          <w:sz w:val="20"/>
          <w:szCs w:val="20"/>
          <w:color w:val="auto"/>
        </w:rPr>
      </w:pPr>
      <w:r>
        <w:rPr>
          <w:rFonts w:ascii="Arial" w:cs="Arial" w:eastAsia="Arial" w:hAnsi="Arial"/>
          <w:sz w:val="16"/>
          <w:szCs w:val="16"/>
          <w:color w:val="auto"/>
        </w:rPr>
        <w:t>The Company made cash payments of $4.1 million, $4.0 million, and $3.8 million under the operating lease agreement for 399 Binney Street during the years ended December 31, 2022, 2021, and 2020, respectively.</w:t>
      </w:r>
    </w:p>
    <w:p>
      <w:pPr>
        <w:spacing w:after="0" w:line="172"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minimum lease payments for the Company’s operating lease at 399 Binney Street as of December 31, 2022 for the next five years and thereafter are expected to be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w w:val="94"/>
              </w:rPr>
              <w:t>Amount (in thousands)</w:t>
            </w:r>
          </w:p>
        </w:tc>
        <w:tc>
          <w:tcPr>
            <w:tcW w:w="100" w:type="dxa"/>
            <w:vAlign w:val="bottom"/>
          </w:tcPr>
          <w:p>
            <w:pPr>
              <w:spacing w:after="0"/>
              <w:rPr>
                <w:sz w:val="14"/>
                <w:szCs w:val="14"/>
                <w:color w:val="auto"/>
              </w:rPr>
            </w:pPr>
          </w:p>
        </w:tc>
      </w:tr>
      <w:tr>
        <w:trPr>
          <w:trHeight w:val="224"/>
        </w:trPr>
        <w:tc>
          <w:tcPr>
            <w:tcW w:w="9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4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w:t>
            </w:r>
          </w:p>
        </w:tc>
        <w:tc>
          <w:tcPr>
            <w:tcW w:w="100" w:type="dxa"/>
            <w:vAlign w:val="bottom"/>
            <w:shd w:val="clear" w:color="auto" w:fill="CFF0FC"/>
          </w:tcPr>
          <w:p>
            <w:pPr>
              <w:spacing w:after="0"/>
              <w:rPr>
                <w:sz w:val="19"/>
                <w:szCs w:val="19"/>
                <w:color w:val="auto"/>
              </w:rPr>
            </w:pPr>
          </w:p>
        </w:tc>
      </w:tr>
      <w:tr>
        <w:trPr>
          <w:trHeight w:val="220"/>
        </w:trPr>
        <w:tc>
          <w:tcPr>
            <w:tcW w:w="900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4,377</w:t>
            </w:r>
          </w:p>
        </w:tc>
        <w:tc>
          <w:tcPr>
            <w:tcW w:w="100" w:type="dxa"/>
            <w:vAlign w:val="bottom"/>
          </w:tcPr>
          <w:p>
            <w:pPr>
              <w:spacing w:after="0"/>
              <w:rPr>
                <w:sz w:val="19"/>
                <w:szCs w:val="19"/>
                <w:color w:val="auto"/>
              </w:rPr>
            </w:pPr>
          </w:p>
        </w:tc>
      </w:tr>
      <w:tr>
        <w:trPr>
          <w:trHeight w:val="239"/>
        </w:trPr>
        <w:tc>
          <w:tcPr>
            <w:tcW w:w="9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w:t>
            </w:r>
          </w:p>
        </w:tc>
        <w:tc>
          <w:tcPr>
            <w:tcW w:w="100" w:type="dxa"/>
            <w:vAlign w:val="bottom"/>
            <w:shd w:val="clear" w:color="auto" w:fill="CFF0FC"/>
          </w:tcPr>
          <w:p>
            <w:pPr>
              <w:spacing w:after="0"/>
              <w:rPr>
                <w:sz w:val="20"/>
                <w:szCs w:val="20"/>
                <w:color w:val="auto"/>
              </w:rPr>
            </w:pPr>
          </w:p>
        </w:tc>
      </w:tr>
      <w:tr>
        <w:trPr>
          <w:trHeight w:val="220"/>
        </w:trPr>
        <w:tc>
          <w:tcPr>
            <w:tcW w:w="900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4,634</w:t>
            </w:r>
          </w:p>
        </w:tc>
        <w:tc>
          <w:tcPr>
            <w:tcW w:w="100" w:type="dxa"/>
            <w:vAlign w:val="bottom"/>
          </w:tcPr>
          <w:p>
            <w:pPr>
              <w:spacing w:after="0"/>
              <w:rPr>
                <w:sz w:val="19"/>
                <w:szCs w:val="19"/>
                <w:color w:val="auto"/>
              </w:rPr>
            </w:pPr>
          </w:p>
        </w:tc>
      </w:tr>
      <w:tr>
        <w:trPr>
          <w:trHeight w:val="239"/>
        </w:trPr>
        <w:tc>
          <w:tcPr>
            <w:tcW w:w="9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4,768</w:t>
            </w:r>
          </w:p>
        </w:tc>
        <w:tc>
          <w:tcPr>
            <w:tcW w:w="100" w:type="dxa"/>
            <w:vAlign w:val="bottom"/>
            <w:shd w:val="clear" w:color="auto" w:fill="CFF0FC"/>
          </w:tcPr>
          <w:p>
            <w:pPr>
              <w:spacing w:after="0"/>
              <w:rPr>
                <w:sz w:val="20"/>
                <w:szCs w:val="20"/>
                <w:color w:val="auto"/>
              </w:rPr>
            </w:pPr>
          </w:p>
        </w:tc>
      </w:tr>
      <w:tr>
        <w:trPr>
          <w:trHeight w:val="223"/>
        </w:trPr>
        <w:tc>
          <w:tcPr>
            <w:tcW w:w="90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6,557</w:t>
            </w:r>
          </w:p>
        </w:tc>
        <w:tc>
          <w:tcPr>
            <w:tcW w:w="100" w:type="dxa"/>
            <w:vAlign w:val="bottom"/>
          </w:tcPr>
          <w:p>
            <w:pPr>
              <w:spacing w:after="0"/>
              <w:rPr>
                <w:sz w:val="19"/>
                <w:szCs w:val="19"/>
                <w:color w:val="auto"/>
              </w:rPr>
            </w:pPr>
          </w:p>
        </w:tc>
      </w:tr>
      <w:tr>
        <w:trPr>
          <w:trHeight w:val="230"/>
        </w:trPr>
        <w:tc>
          <w:tcPr>
            <w:tcW w:w="9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29,093</w:t>
            </w:r>
          </w:p>
        </w:tc>
        <w:tc>
          <w:tcPr>
            <w:tcW w:w="100" w:type="dxa"/>
            <w:vAlign w:val="bottom"/>
            <w:shd w:val="clear" w:color="auto" w:fill="CFF0FC"/>
          </w:tcPr>
          <w:p>
            <w:pPr>
              <w:spacing w:after="0"/>
              <w:rPr>
                <w:sz w:val="19"/>
                <w:szCs w:val="19"/>
                <w:color w:val="auto"/>
              </w:rPr>
            </w:pPr>
          </w:p>
        </w:tc>
      </w:tr>
      <w:tr>
        <w:trPr>
          <w:trHeight w:val="223"/>
        </w:trPr>
        <w:tc>
          <w:tcPr>
            <w:tcW w:w="9000" w:type="dxa"/>
            <w:vAlign w:val="bottom"/>
          </w:tcPr>
          <w:p>
            <w:pPr>
              <w:ind w:left="20"/>
              <w:spacing w:after="0"/>
              <w:rPr>
                <w:sz w:val="20"/>
                <w:szCs w:val="20"/>
                <w:color w:val="auto"/>
              </w:rPr>
            </w:pPr>
            <w:r>
              <w:rPr>
                <w:rFonts w:ascii="Arial" w:cs="Arial" w:eastAsia="Arial" w:hAnsi="Arial"/>
                <w:sz w:val="16"/>
                <w:szCs w:val="16"/>
                <w:color w:val="auto"/>
              </w:rPr>
              <w:t>Less: interest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6"/>
                <w:szCs w:val="16"/>
                <w:color w:val="auto"/>
              </w:rPr>
              <w:t>(8,037 )</w:t>
            </w:r>
          </w:p>
        </w:tc>
      </w:tr>
      <w:tr>
        <w:trPr>
          <w:trHeight w:val="263"/>
        </w:trPr>
        <w:tc>
          <w:tcPr>
            <w:tcW w:w="9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21,056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The weighted-average remaining lease term and weighted-average discount rate of the Company's operating lease at 399 Binney Street were 6.33 years and 10.4%, respectively, at December 31, 2022.</w:t>
      </w:r>
    </w:p>
    <w:p>
      <w:pPr>
        <w:spacing w:after="0" w:line="172" w:lineRule="exact"/>
        <w:rPr>
          <w:sz w:val="20"/>
          <w:szCs w:val="20"/>
          <w:color w:val="auto"/>
        </w:rPr>
      </w:pPr>
    </w:p>
    <w:p>
      <w:pPr>
        <w:ind w:right="660"/>
        <w:spacing w:after="0" w:line="293" w:lineRule="auto"/>
        <w:rPr>
          <w:sz w:val="20"/>
          <w:szCs w:val="20"/>
          <w:color w:val="auto"/>
        </w:rPr>
      </w:pPr>
      <w:r>
        <w:rPr>
          <w:rFonts w:ascii="Arial" w:cs="Arial" w:eastAsia="Arial" w:hAnsi="Arial"/>
          <w:sz w:val="16"/>
          <w:szCs w:val="16"/>
          <w:color w:val="auto"/>
        </w:rPr>
        <w:t>The weighted-average remaining lease term and weighted-average discount rate of the Company's operating lease at 399 Binney Street were 7.33 years and 10.4%, respectively, at December 31, 2021.</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60 Hampshire Street</w:t>
      </w:r>
    </w:p>
    <w:p>
      <w:pPr>
        <w:spacing w:after="0" w:line="239"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In May 2021, the Company entered into an operating lease agreement for 41,474 square feet of office and laboratory space at 60 Hampshire Street, Cambridge, Massachusetts. The Company gained control of the leased space in July 2022 and, accordingly, recorded an operating lease right-of-use asset and liability at such time. The operating lease expires in June 2032 and there are no renewal options.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6" w:name="page147"/>
    <w:bookmarkEnd w:id="146"/>
    <w:p>
      <w:pPr>
        <w:ind w:right="320"/>
        <w:spacing w:after="0" w:line="293" w:lineRule="auto"/>
        <w:rPr>
          <w:sz w:val="20"/>
          <w:szCs w:val="20"/>
          <w:color w:val="auto"/>
        </w:rPr>
      </w:pPr>
      <w:r>
        <w:rPr>
          <w:rFonts w:ascii="Arial" w:cs="Arial" w:eastAsia="Arial" w:hAnsi="Arial"/>
          <w:sz w:val="16"/>
          <w:szCs w:val="16"/>
          <w:color w:val="auto"/>
        </w:rPr>
        <w:t xml:space="preserve">As discussed in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the Company provided a letter of credit in the amount of $1.7 million with a financial institution, which expires commensurate with the lease in June 2032.</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presentation of amounts recorded on the Company’s consolidated balance sheets for the operating lease at 60 Hampshire Street as of</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180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December 31, 2022</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December 31, 2021</w:t>
            </w:r>
          </w:p>
        </w:tc>
        <w:tc>
          <w:tcPr>
            <w:tcW w:w="100" w:type="dxa"/>
            <w:vAlign w:val="bottom"/>
          </w:tcPr>
          <w:p>
            <w:pPr>
              <w:spacing w:after="0"/>
              <w:rPr>
                <w:sz w:val="14"/>
                <w:szCs w:val="14"/>
                <w:color w:val="auto"/>
              </w:rPr>
            </w:pPr>
          </w:p>
        </w:tc>
      </w:tr>
      <w:tr>
        <w:trPr>
          <w:trHeight w:val="157"/>
        </w:trPr>
        <w:tc>
          <w:tcPr>
            <w:tcW w:w="63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(in thousands)</w:t>
            </w: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18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320" w:type="dxa"/>
            <w:vAlign w:val="bottom"/>
          </w:tcPr>
          <w:p>
            <w:pPr>
              <w:ind w:left="200"/>
              <w:spacing w:after="0"/>
              <w:rPr>
                <w:sz w:val="20"/>
                <w:szCs w:val="20"/>
                <w:color w:val="auto"/>
              </w:rPr>
            </w:pPr>
            <w:r>
              <w:rPr>
                <w:rFonts w:ascii="Arial" w:cs="Arial" w:eastAsia="Arial" w:hAnsi="Arial"/>
                <w:sz w:val="16"/>
                <w:szCs w:val="16"/>
                <w:color w:val="auto"/>
              </w:rPr>
              <w:t>Operating lease assets</w:t>
            </w:r>
          </w:p>
        </w:tc>
        <w:tc>
          <w:tcPr>
            <w:tcW w:w="1800" w:type="dxa"/>
            <w:vAlign w:val="bottom"/>
          </w:tcPr>
          <w:p>
            <w:pPr>
              <w:jc w:val="right"/>
              <w:ind w:right="16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44,926</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60" w:type="dxa"/>
            <w:vAlign w:val="bottom"/>
          </w:tcPr>
          <w:p>
            <w:pPr>
              <w:ind w:left="16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18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6320" w:type="dxa"/>
            <w:vAlign w:val="bottom"/>
          </w:tcPr>
          <w:p>
            <w:pPr>
              <w:ind w:left="200"/>
              <w:spacing w:after="0"/>
              <w:rPr>
                <w:sz w:val="20"/>
                <w:szCs w:val="20"/>
                <w:color w:val="auto"/>
              </w:rPr>
            </w:pPr>
            <w:r>
              <w:rPr>
                <w:rFonts w:ascii="Arial" w:cs="Arial" w:eastAsia="Arial" w:hAnsi="Arial"/>
                <w:sz w:val="16"/>
                <w:szCs w:val="16"/>
                <w:color w:val="auto"/>
              </w:rPr>
              <w:t>Current operating lease liabilities</w:t>
            </w:r>
          </w:p>
        </w:tc>
        <w:tc>
          <w:tcPr>
            <w:tcW w:w="1800" w:type="dxa"/>
            <w:vAlign w:val="bottom"/>
          </w:tcPr>
          <w:p>
            <w:pPr>
              <w:jc w:val="right"/>
              <w:ind w:right="16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2,106</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60" w:type="dxa"/>
            <w:vAlign w:val="bottom"/>
          </w:tcPr>
          <w:p>
            <w:pPr>
              <w:ind w:left="16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r>
      <w:tr>
        <w:trPr>
          <w:trHeight w:val="233"/>
        </w:trPr>
        <w:tc>
          <w:tcPr>
            <w:tcW w:w="6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Operating lease liabilities, net of current portion</w:t>
            </w:r>
          </w:p>
        </w:tc>
        <w:tc>
          <w:tcPr>
            <w:tcW w:w="18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34,580</w:t>
            </w:r>
          </w:p>
        </w:tc>
        <w:tc>
          <w:tcPr>
            <w:tcW w:w="12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1860" w:type="dxa"/>
            <w:vAlign w:val="bottom"/>
            <w:tcBorders>
              <w:bottom w:val="single" w:sz="8" w:color="auto"/>
            </w:tcBorders>
            <w:shd w:val="clear" w:color="auto" w:fill="CFF0FC"/>
          </w:tcPr>
          <w:p>
            <w:pPr>
              <w:ind w:left="168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320" w:type="dxa"/>
            <w:vAlign w:val="bottom"/>
          </w:tcPr>
          <w:p>
            <w:pPr>
              <w:ind w:left="200"/>
              <w:spacing w:after="0"/>
              <w:rPr>
                <w:sz w:val="20"/>
                <w:szCs w:val="20"/>
                <w:color w:val="auto"/>
              </w:rPr>
            </w:pPr>
            <w:r>
              <w:rPr>
                <w:rFonts w:ascii="Arial" w:cs="Arial" w:eastAsia="Arial" w:hAnsi="Arial"/>
                <w:sz w:val="16"/>
                <w:szCs w:val="16"/>
                <w:color w:val="auto"/>
              </w:rPr>
              <w:t>Total operating lease liabilities</w:t>
            </w:r>
          </w:p>
        </w:tc>
        <w:tc>
          <w:tcPr>
            <w:tcW w:w="1800" w:type="dxa"/>
            <w:vAlign w:val="bottom"/>
          </w:tcPr>
          <w:p>
            <w:pPr>
              <w:jc w:val="right"/>
              <w:ind w:right="16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36,686</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60" w:type="dxa"/>
            <w:vAlign w:val="bottom"/>
          </w:tcPr>
          <w:p>
            <w:pPr>
              <w:ind w:left="16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-179070</wp:posOffset>
            </wp:positionV>
            <wp:extent cx="68580" cy="1797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6" w:lineRule="exact"/>
        <w:rPr>
          <w:sz w:val="20"/>
          <w:szCs w:val="20"/>
          <w:color w:val="auto"/>
        </w:rPr>
      </w:pPr>
    </w:p>
    <w:p>
      <w:pPr>
        <w:jc w:val="both"/>
        <w:ind w:right="120"/>
        <w:spacing w:after="0" w:line="293" w:lineRule="auto"/>
        <w:rPr>
          <w:sz w:val="20"/>
          <w:szCs w:val="20"/>
          <w:color w:val="auto"/>
        </w:rPr>
      </w:pPr>
      <w:r>
        <w:rPr>
          <w:rFonts w:ascii="Arial" w:cs="Arial" w:eastAsia="Arial" w:hAnsi="Arial"/>
          <w:sz w:val="16"/>
          <w:szCs w:val="16"/>
          <w:color w:val="auto"/>
        </w:rPr>
        <w:t>The following table summarizes the effect of lease costs for the Company's operating lease at 60 Hampshire Street on the Company’s condensed consolidated statements of operations and comprehensive loss for the years ended December 31, 2022, 2021, and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88"/>
              <w:spacing w:after="0"/>
              <w:rPr>
                <w:sz w:val="20"/>
                <w:szCs w:val="20"/>
                <w:color w:val="auto"/>
              </w:rPr>
            </w:pPr>
            <w:r>
              <w:rPr>
                <w:rFonts w:ascii="Arial" w:cs="Arial" w:eastAsia="Arial" w:hAnsi="Arial"/>
                <w:sz w:val="13"/>
                <w:szCs w:val="13"/>
                <w:b w:val="1"/>
                <w:bCs w:val="1"/>
                <w:color w:val="auto"/>
                <w:w w:val="87"/>
              </w:rPr>
              <w:t>Year Ended December 31,</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780" w:type="dxa"/>
            <w:vAlign w:val="bottom"/>
          </w:tcPr>
          <w:p>
            <w:pPr>
              <w:spacing w:after="0"/>
              <w:rPr>
                <w:sz w:val="13"/>
                <w:szCs w:val="13"/>
                <w:color w:val="auto"/>
              </w:rPr>
            </w:pPr>
          </w:p>
        </w:tc>
        <w:tc>
          <w:tcPr>
            <w:tcW w:w="128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2022</w:t>
            </w:r>
          </w:p>
        </w:tc>
        <w:tc>
          <w:tcPr>
            <w:tcW w:w="6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89"/>
              </w:rPr>
              <w:t>2021</w:t>
            </w:r>
          </w:p>
        </w:tc>
        <w:tc>
          <w:tcPr>
            <w:tcW w:w="3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6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r>
      <w:tr>
        <w:trPr>
          <w:trHeight w:val="156"/>
        </w:trPr>
        <w:tc>
          <w:tcPr>
            <w:tcW w:w="4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jc w:val="center"/>
              <w:ind w:right="108"/>
              <w:spacing w:after="0"/>
              <w:rPr>
                <w:sz w:val="20"/>
                <w:szCs w:val="20"/>
                <w:color w:val="auto"/>
              </w:rPr>
            </w:pPr>
            <w:r>
              <w:rPr>
                <w:rFonts w:ascii="Arial" w:cs="Arial" w:eastAsia="Arial" w:hAnsi="Arial"/>
                <w:sz w:val="13"/>
                <w:szCs w:val="13"/>
                <w:b w:val="1"/>
                <w:bCs w:val="1"/>
                <w:color w:val="auto"/>
                <w:w w:val="87"/>
              </w:rPr>
              <w:t>(in thousands)</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Research and development expenses</w:t>
            </w:r>
          </w:p>
        </w:tc>
        <w:tc>
          <w:tcPr>
            <w:tcW w:w="1280" w:type="dxa"/>
            <w:vAlign w:val="bottom"/>
            <w:shd w:val="clear" w:color="auto" w:fill="CFF0FC"/>
          </w:tcPr>
          <w:p>
            <w:pPr>
              <w:jc w:val="right"/>
              <w:ind w:right="112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2,675</w:t>
            </w:r>
          </w:p>
        </w:tc>
        <w:tc>
          <w:tcPr>
            <w:tcW w:w="52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ind w:left="1540"/>
              <w:spacing w:after="0"/>
              <w:rPr>
                <w:sz w:val="20"/>
                <w:szCs w:val="20"/>
                <w:color w:val="auto"/>
              </w:rPr>
            </w:pPr>
            <w:r>
              <w:rPr>
                <w:rFonts w:ascii="Arial" w:cs="Arial" w:eastAsia="Arial" w:hAnsi="Arial"/>
                <w:sz w:val="16"/>
                <w:szCs w:val="16"/>
                <w:color w:val="auto"/>
                <w:w w:val="99"/>
              </w:rPr>
              <w:t>—</w:t>
            </w:r>
          </w:p>
        </w:tc>
        <w:tc>
          <w:tcPr>
            <w:tcW w:w="780" w:type="dxa"/>
            <w:vAlign w:val="bottom"/>
            <w:gridSpan w:val="2"/>
            <w:shd w:val="clear" w:color="auto" w:fill="CFF0FC"/>
          </w:tcPr>
          <w:p>
            <w:pPr>
              <w:jc w:val="right"/>
              <w:ind w:right="304"/>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ind w:left="1280"/>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28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r>
      <w:tr>
        <w:trPr>
          <w:trHeight w:val="263"/>
        </w:trPr>
        <w:tc>
          <w:tcPr>
            <w:tcW w:w="478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112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3,239</w:t>
            </w:r>
          </w:p>
        </w:tc>
        <w:tc>
          <w:tcPr>
            <w:tcW w:w="3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ind w:left="1540"/>
              <w:spacing w:after="0"/>
              <w:rPr>
                <w:sz w:val="20"/>
                <w:szCs w:val="20"/>
                <w:color w:val="auto"/>
              </w:rPr>
            </w:pPr>
            <w:r>
              <w:rPr>
                <w:rFonts w:ascii="Arial" w:cs="Arial" w:eastAsia="Arial" w:hAnsi="Arial"/>
                <w:sz w:val="16"/>
                <w:szCs w:val="16"/>
                <w:color w:val="auto"/>
                <w:w w:val="99"/>
              </w:rPr>
              <w:t>—</w:t>
            </w:r>
          </w:p>
        </w:tc>
        <w:tc>
          <w:tcPr>
            <w:tcW w:w="32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ind w:left="128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-25400</wp:posOffset>
            </wp:positionV>
            <wp:extent cx="774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-7620</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 made cash payments of $11.5 million, $0, and $0 under the operating lease agreement for 60 Hampshire Street during the years ended December 31, 2022, 2021, and 2020, respectively.</w:t>
      </w:r>
    </w:p>
    <w:p>
      <w:pPr>
        <w:spacing w:after="0" w:line="17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minimum lease payments for the Company’s operating lease at 60 Hampshire Street as of December 31, 2022 for the next five years and thereafter are expected to be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Year Ending December 31,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w w:val="94"/>
              </w:rPr>
              <w:t>Amount (in thousands)</w:t>
            </w:r>
          </w:p>
        </w:tc>
        <w:tc>
          <w:tcPr>
            <w:tcW w:w="100" w:type="dxa"/>
            <w:vAlign w:val="bottom"/>
          </w:tcPr>
          <w:p>
            <w:pPr>
              <w:spacing w:after="0"/>
              <w:rPr>
                <w:sz w:val="14"/>
                <w:szCs w:val="14"/>
                <w:color w:val="auto"/>
              </w:rPr>
            </w:pPr>
          </w:p>
        </w:tc>
      </w:tr>
      <w:tr>
        <w:trPr>
          <w:trHeight w:val="224"/>
        </w:trPr>
        <w:tc>
          <w:tcPr>
            <w:tcW w:w="9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4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4,966</w:t>
            </w:r>
          </w:p>
        </w:tc>
        <w:tc>
          <w:tcPr>
            <w:tcW w:w="100" w:type="dxa"/>
            <w:vAlign w:val="bottom"/>
            <w:shd w:val="clear" w:color="auto" w:fill="CFF0FC"/>
          </w:tcPr>
          <w:p>
            <w:pPr>
              <w:spacing w:after="0"/>
              <w:rPr>
                <w:sz w:val="19"/>
                <w:szCs w:val="19"/>
                <w:color w:val="auto"/>
              </w:rPr>
            </w:pPr>
          </w:p>
        </w:tc>
      </w:tr>
      <w:tr>
        <w:trPr>
          <w:trHeight w:val="220"/>
        </w:trPr>
        <w:tc>
          <w:tcPr>
            <w:tcW w:w="9000" w:type="dxa"/>
            <w:vAlign w:val="bottom"/>
          </w:tcPr>
          <w:p>
            <w:pPr>
              <w:ind w:left="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19"/>
                <w:szCs w:val="19"/>
                <w:color w:val="auto"/>
              </w:rPr>
            </w:pPr>
          </w:p>
        </w:tc>
      </w:tr>
      <w:tr>
        <w:trPr>
          <w:trHeight w:val="239"/>
        </w:trPr>
        <w:tc>
          <w:tcPr>
            <w:tcW w:w="9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5,257</w:t>
            </w:r>
          </w:p>
        </w:tc>
        <w:tc>
          <w:tcPr>
            <w:tcW w:w="100" w:type="dxa"/>
            <w:vAlign w:val="bottom"/>
            <w:shd w:val="clear" w:color="auto" w:fill="CFF0FC"/>
          </w:tcPr>
          <w:p>
            <w:pPr>
              <w:spacing w:after="0"/>
              <w:rPr>
                <w:sz w:val="20"/>
                <w:szCs w:val="20"/>
                <w:color w:val="auto"/>
              </w:rPr>
            </w:pPr>
          </w:p>
        </w:tc>
      </w:tr>
      <w:tr>
        <w:trPr>
          <w:trHeight w:val="220"/>
        </w:trPr>
        <w:tc>
          <w:tcPr>
            <w:tcW w:w="9000" w:type="dxa"/>
            <w:vAlign w:val="bottom"/>
          </w:tcPr>
          <w:p>
            <w:pPr>
              <w:ind w:left="20"/>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5,409</w:t>
            </w:r>
          </w:p>
        </w:tc>
        <w:tc>
          <w:tcPr>
            <w:tcW w:w="100" w:type="dxa"/>
            <w:vAlign w:val="bottom"/>
          </w:tcPr>
          <w:p>
            <w:pPr>
              <w:spacing w:after="0"/>
              <w:rPr>
                <w:sz w:val="19"/>
                <w:szCs w:val="19"/>
                <w:color w:val="auto"/>
              </w:rPr>
            </w:pPr>
          </w:p>
        </w:tc>
      </w:tr>
      <w:tr>
        <w:trPr>
          <w:trHeight w:val="239"/>
        </w:trPr>
        <w:tc>
          <w:tcPr>
            <w:tcW w:w="9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5,565</w:t>
            </w:r>
          </w:p>
        </w:tc>
        <w:tc>
          <w:tcPr>
            <w:tcW w:w="100" w:type="dxa"/>
            <w:vAlign w:val="bottom"/>
            <w:shd w:val="clear" w:color="auto" w:fill="CFF0FC"/>
          </w:tcPr>
          <w:p>
            <w:pPr>
              <w:spacing w:after="0"/>
              <w:rPr>
                <w:sz w:val="20"/>
                <w:szCs w:val="20"/>
                <w:color w:val="auto"/>
              </w:rPr>
            </w:pPr>
          </w:p>
        </w:tc>
      </w:tr>
      <w:tr>
        <w:trPr>
          <w:trHeight w:val="223"/>
        </w:trPr>
        <w:tc>
          <w:tcPr>
            <w:tcW w:w="90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27,084</w:t>
            </w:r>
          </w:p>
        </w:tc>
        <w:tc>
          <w:tcPr>
            <w:tcW w:w="100" w:type="dxa"/>
            <w:vAlign w:val="bottom"/>
          </w:tcPr>
          <w:p>
            <w:pPr>
              <w:spacing w:after="0"/>
              <w:rPr>
                <w:sz w:val="19"/>
                <w:szCs w:val="19"/>
                <w:color w:val="auto"/>
              </w:rPr>
            </w:pPr>
          </w:p>
        </w:tc>
      </w:tr>
      <w:tr>
        <w:trPr>
          <w:trHeight w:val="230"/>
        </w:trPr>
        <w:tc>
          <w:tcPr>
            <w:tcW w:w="9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53,390</w:t>
            </w:r>
          </w:p>
        </w:tc>
        <w:tc>
          <w:tcPr>
            <w:tcW w:w="100" w:type="dxa"/>
            <w:vAlign w:val="bottom"/>
            <w:shd w:val="clear" w:color="auto" w:fill="CFF0FC"/>
          </w:tcPr>
          <w:p>
            <w:pPr>
              <w:spacing w:after="0"/>
              <w:rPr>
                <w:sz w:val="19"/>
                <w:szCs w:val="19"/>
                <w:color w:val="auto"/>
              </w:rPr>
            </w:pPr>
          </w:p>
        </w:tc>
      </w:tr>
      <w:tr>
        <w:trPr>
          <w:trHeight w:val="223"/>
        </w:trPr>
        <w:tc>
          <w:tcPr>
            <w:tcW w:w="9000" w:type="dxa"/>
            <w:vAlign w:val="bottom"/>
          </w:tcPr>
          <w:p>
            <w:pPr>
              <w:ind w:left="20"/>
              <w:spacing w:after="0"/>
              <w:rPr>
                <w:sz w:val="20"/>
                <w:szCs w:val="20"/>
                <w:color w:val="auto"/>
              </w:rPr>
            </w:pPr>
            <w:r>
              <w:rPr>
                <w:rFonts w:ascii="Arial" w:cs="Arial" w:eastAsia="Arial" w:hAnsi="Arial"/>
                <w:sz w:val="16"/>
                <w:szCs w:val="16"/>
                <w:color w:val="auto"/>
              </w:rPr>
              <w:t>Less: interest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6"/>
                <w:szCs w:val="16"/>
                <w:color w:val="auto"/>
              </w:rPr>
              <w:t>(16,704 )</w:t>
            </w:r>
          </w:p>
        </w:tc>
      </w:tr>
      <w:tr>
        <w:trPr>
          <w:trHeight w:val="263"/>
        </w:trPr>
        <w:tc>
          <w:tcPr>
            <w:tcW w:w="9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36,686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The weighted-average remaining lease term and weighted-average discount rate of the Company's operating lease at 60 Hampshire Street were 9.50 years and 8.0%, respectively, at December 31, 2022.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Income Taxes</w:t>
      </w:r>
    </w:p>
    <w:p>
      <w:pPr>
        <w:spacing w:after="0" w:line="239"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auto"/>
        </w:rPr>
        <w:t>During the years ended December 31, 2022, 2021, and 2020, the Company recorded no income tax benefits due to losses incurred and the uncertainty of future taxable income.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7" w:name="page148"/>
    <w:bookmarkEnd w:id="147"/>
    <w:p>
      <w:pPr>
        <w:ind w:right="120"/>
        <w:spacing w:after="0" w:line="293" w:lineRule="auto"/>
        <w:rPr>
          <w:sz w:val="20"/>
          <w:szCs w:val="20"/>
          <w:color w:val="auto"/>
        </w:rPr>
      </w:pPr>
      <w:r>
        <w:rPr>
          <w:rFonts w:ascii="Arial" w:cs="Arial" w:eastAsia="Arial" w:hAnsi="Arial"/>
          <w:sz w:val="16"/>
          <w:szCs w:val="16"/>
          <w:color w:val="auto"/>
        </w:rPr>
        <w:t>A reconciliation of the expected income tax (benefit) computed using the U.S. federal statutory income tax rate to the Company’s effective income tax rate is as follows for the years ended December 31, 2022, 2021, and 2020:</w:t>
      </w:r>
    </w:p>
    <w:p>
      <w:pPr>
        <w:spacing w:after="0" w:line="231" w:lineRule="exact"/>
        <w:rPr>
          <w:sz w:val="20"/>
          <w:szCs w:val="20"/>
          <w:color w:val="auto"/>
        </w:rPr>
      </w:pPr>
    </w:p>
    <w:p>
      <w:pPr>
        <w:ind w:left="852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10795</wp:posOffset>
            </wp:positionV>
            <wp:extent cx="28543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r>
      <w:tr>
        <w:trPr>
          <w:trHeight w:val="224"/>
        </w:trPr>
        <w:tc>
          <w:tcPr>
            <w:tcW w:w="7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Income tax computed at federal statutory rate</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FF0FC"/>
          </w:tcPr>
          <w:p>
            <w:pPr>
              <w:spacing w:after="0"/>
              <w:rPr>
                <w:sz w:val="19"/>
                <w:szCs w:val="19"/>
                <w:color w:val="auto"/>
              </w:rPr>
            </w:pPr>
          </w:p>
        </w:tc>
      </w:tr>
      <w:tr>
        <w:trPr>
          <w:trHeight w:val="220"/>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State taxes, net of federal benefit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w w:val="87"/>
              </w:rPr>
              <w:t>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r>
      <w:tr>
        <w:trPr>
          <w:trHeight w:val="239"/>
        </w:trPr>
        <w:tc>
          <w:tcPr>
            <w:tcW w:w="7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Change in valuation allowance</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FF0FC"/>
          </w:tcPr>
          <w:p>
            <w:pPr>
              <w:spacing w:after="0"/>
              <w:rPr>
                <w:sz w:val="20"/>
                <w:szCs w:val="20"/>
                <w:color w:val="auto"/>
              </w:rPr>
            </w:pPr>
          </w:p>
        </w:tc>
      </w:tr>
      <w:tr>
        <w:trPr>
          <w:trHeight w:val="220"/>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IPR&amp;D</w:t>
            </w:r>
          </w:p>
        </w:tc>
        <w:tc>
          <w:tcPr>
            <w:tcW w:w="600" w:type="dxa"/>
            <w:vAlign w:val="bottom"/>
          </w:tcPr>
          <w:p>
            <w:pPr>
              <w:spacing w:after="0"/>
              <w:rPr>
                <w:sz w:val="19"/>
                <w:szCs w:val="19"/>
                <w:color w:val="auto"/>
              </w:rPr>
            </w:pPr>
          </w:p>
        </w:tc>
        <w:tc>
          <w:tcPr>
            <w:tcW w:w="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R&amp;D credit carryovers</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7"/>
              </w:rPr>
              <w:t>2.2%</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FF0FC"/>
          </w:tcPr>
          <w:p>
            <w:pPr>
              <w:spacing w:after="0"/>
              <w:rPr>
                <w:sz w:val="20"/>
                <w:szCs w:val="20"/>
                <w:color w:val="auto"/>
              </w:rPr>
            </w:pPr>
          </w:p>
        </w:tc>
      </w:tr>
      <w:tr>
        <w:trPr>
          <w:trHeight w:val="220"/>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r>
      <w:tr>
        <w:trPr>
          <w:trHeight w:val="23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Permanent differences</w:t>
            </w:r>
          </w:p>
        </w:tc>
        <w:tc>
          <w:tcPr>
            <w:tcW w:w="4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0.0%</w:t>
            </w:r>
          </w:p>
        </w:tc>
        <w:tc>
          <w:tcPr>
            <w:tcW w:w="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7"/>
              </w:rPr>
              <w:t>0.0%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7080" w:type="dxa"/>
            <w:vAlign w:val="bottom"/>
            <w:gridSpan w:val="2"/>
          </w:tcPr>
          <w:p>
            <w:pPr>
              <w:spacing w:after="0"/>
              <w:rPr>
                <w:sz w:val="20"/>
                <w:szCs w:val="20"/>
                <w:color w:val="auto"/>
              </w:rPr>
            </w:pPr>
            <w:r>
              <w:rPr>
                <w:rFonts w:ascii="Arial" w:cs="Arial" w:eastAsia="Arial" w:hAnsi="Arial"/>
                <w:sz w:val="16"/>
                <w:szCs w:val="16"/>
                <w:color w:val="auto"/>
                <w:w w:val="93"/>
              </w:rPr>
              <w:t>The Company’s deferred tax assets and liabilities at December 31, 2022 and 2021, consist of the following:</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6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ind w:left="420"/>
              <w:spacing w:after="0"/>
              <w:rPr>
                <w:sz w:val="20"/>
                <w:szCs w:val="20"/>
                <w:color w:val="auto"/>
              </w:rPr>
            </w:pPr>
            <w:r>
              <w:rPr>
                <w:rFonts w:ascii="Arial" w:cs="Arial" w:eastAsia="Arial" w:hAnsi="Arial"/>
                <w:sz w:val="13"/>
                <w:szCs w:val="13"/>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8"/>
                <w:szCs w:val="18"/>
                <w:color w:val="auto"/>
              </w:rPr>
            </w:pPr>
          </w:p>
        </w:tc>
      </w:tr>
      <w:tr>
        <w:trPr>
          <w:trHeight w:val="223"/>
        </w:trPr>
        <w:tc>
          <w:tcPr>
            <w:tcW w:w="6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6"/>
          </w:tcPr>
          <w:p>
            <w:pPr>
              <w:ind w:left="400"/>
              <w:spacing w:after="0"/>
              <w:rPr>
                <w:sz w:val="20"/>
                <w:szCs w:val="20"/>
                <w:color w:val="auto"/>
              </w:rPr>
            </w:pPr>
            <w:r>
              <w:rPr>
                <w:rFonts w:ascii="Arial" w:cs="Arial" w:eastAsia="Arial" w:hAnsi="Arial"/>
                <w:sz w:val="13"/>
                <w:szCs w:val="13"/>
                <w:b w:val="1"/>
                <w:bCs w:val="1"/>
                <w:color w:val="auto"/>
              </w:rPr>
              <w:t>(in thousands)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7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080" w:type="dxa"/>
            <w:vAlign w:val="bottom"/>
            <w:gridSpan w:val="2"/>
          </w:tcPr>
          <w:p>
            <w:pPr>
              <w:ind w:left="200"/>
              <w:spacing w:after="0"/>
              <w:rPr>
                <w:sz w:val="20"/>
                <w:szCs w:val="20"/>
                <w:color w:val="auto"/>
              </w:rPr>
            </w:pPr>
            <w:r>
              <w:rPr>
                <w:rFonts w:ascii="Arial" w:cs="Arial" w:eastAsia="Arial" w:hAnsi="Arial"/>
                <w:sz w:val="16"/>
                <w:szCs w:val="16"/>
                <w:color w:val="auto"/>
              </w:rPr>
              <w:t>Net operating losses</w:t>
            </w:r>
          </w:p>
        </w:tc>
        <w:tc>
          <w:tcPr>
            <w:tcW w:w="900" w:type="dxa"/>
            <w:vAlign w:val="bottom"/>
            <w:gridSpan w:val="2"/>
          </w:tcPr>
          <w:p>
            <w:pPr>
              <w:jc w:val="right"/>
              <w:ind w:right="125"/>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119,688</w:t>
            </w:r>
          </w:p>
        </w:tc>
        <w:tc>
          <w:tcPr>
            <w:tcW w:w="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108,800</w:t>
            </w:r>
          </w:p>
        </w:tc>
        <w:tc>
          <w:tcPr>
            <w:tcW w:w="100" w:type="dxa"/>
            <w:vAlign w:val="bottom"/>
          </w:tcPr>
          <w:p>
            <w:pPr>
              <w:spacing w:after="0"/>
              <w:rPr>
                <w:sz w:val="19"/>
                <w:szCs w:val="19"/>
                <w:color w:val="auto"/>
              </w:rPr>
            </w:pPr>
          </w:p>
        </w:tc>
      </w:tr>
      <w:tr>
        <w:trPr>
          <w:trHeight w:val="239"/>
        </w:trPr>
        <w:tc>
          <w:tcPr>
            <w:tcW w:w="7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Tax credit carryforwards</w:t>
            </w: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30,593</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18,288</w:t>
            </w:r>
          </w:p>
        </w:tc>
        <w:tc>
          <w:tcPr>
            <w:tcW w:w="100" w:type="dxa"/>
            <w:vAlign w:val="bottom"/>
            <w:shd w:val="clear" w:color="auto" w:fill="CFF0FC"/>
          </w:tcPr>
          <w:p>
            <w:pPr>
              <w:spacing w:after="0"/>
              <w:rPr>
                <w:sz w:val="20"/>
                <w:szCs w:val="20"/>
                <w:color w:val="auto"/>
              </w:rPr>
            </w:pPr>
          </w:p>
        </w:tc>
      </w:tr>
      <w:tr>
        <w:trPr>
          <w:trHeight w:val="220"/>
        </w:trPr>
        <w:tc>
          <w:tcPr>
            <w:tcW w:w="7080" w:type="dxa"/>
            <w:vAlign w:val="bottom"/>
            <w:gridSpan w:val="2"/>
          </w:tcPr>
          <w:p>
            <w:pPr>
              <w:ind w:left="200"/>
              <w:spacing w:after="0"/>
              <w:rPr>
                <w:sz w:val="20"/>
                <w:szCs w:val="20"/>
                <w:color w:val="auto"/>
              </w:rPr>
            </w:pPr>
            <w:r>
              <w:rPr>
                <w:rFonts w:ascii="Arial" w:cs="Arial" w:eastAsia="Arial" w:hAnsi="Arial"/>
                <w:sz w:val="16"/>
                <w:szCs w:val="16"/>
                <w:color w:val="auto"/>
              </w:rPr>
              <w:t>Capitalized R&amp;D</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55,303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Lease liability</w:t>
            </w: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18,307</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6,010</w:t>
            </w:r>
          </w:p>
        </w:tc>
        <w:tc>
          <w:tcPr>
            <w:tcW w:w="100" w:type="dxa"/>
            <w:vAlign w:val="bottom"/>
            <w:shd w:val="clear" w:color="auto" w:fill="CFF0FC"/>
          </w:tcPr>
          <w:p>
            <w:pPr>
              <w:spacing w:after="0"/>
              <w:rPr>
                <w:sz w:val="20"/>
                <w:szCs w:val="20"/>
                <w:color w:val="auto"/>
              </w:rPr>
            </w:pPr>
          </w:p>
        </w:tc>
      </w:tr>
      <w:tr>
        <w:trPr>
          <w:trHeight w:val="220"/>
        </w:trPr>
        <w:tc>
          <w:tcPr>
            <w:tcW w:w="7080" w:type="dxa"/>
            <w:vAlign w:val="bottom"/>
            <w:gridSpan w:val="2"/>
          </w:tcPr>
          <w:p>
            <w:pPr>
              <w:ind w:left="200"/>
              <w:spacing w:after="0"/>
              <w:rPr>
                <w:sz w:val="20"/>
                <w:szCs w:val="20"/>
                <w:color w:val="auto"/>
              </w:rPr>
            </w:pPr>
            <w:r>
              <w:rPr>
                <w:rFonts w:ascii="Arial" w:cs="Arial" w:eastAsia="Arial" w:hAnsi="Arial"/>
                <w:sz w:val="16"/>
                <w:szCs w:val="16"/>
                <w:color w:val="auto"/>
              </w:rPr>
              <w:t>Stock-based compensation</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14,510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8,374</w:t>
            </w:r>
          </w:p>
        </w:tc>
        <w:tc>
          <w:tcPr>
            <w:tcW w:w="100" w:type="dxa"/>
            <w:vAlign w:val="bottom"/>
          </w:tcPr>
          <w:p>
            <w:pPr>
              <w:spacing w:after="0"/>
              <w:rPr>
                <w:sz w:val="19"/>
                <w:szCs w:val="19"/>
                <w:color w:val="auto"/>
              </w:rPr>
            </w:pPr>
          </w:p>
        </w:tc>
      </w:tr>
      <w:tr>
        <w:trPr>
          <w:trHeight w:val="239"/>
        </w:trPr>
        <w:tc>
          <w:tcPr>
            <w:tcW w:w="7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Intangibles</w:t>
            </w: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1,875</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1,859</w:t>
            </w:r>
          </w:p>
        </w:tc>
        <w:tc>
          <w:tcPr>
            <w:tcW w:w="100" w:type="dxa"/>
            <w:vAlign w:val="bottom"/>
            <w:shd w:val="clear" w:color="auto" w:fill="CFF0FC"/>
          </w:tcPr>
          <w:p>
            <w:pPr>
              <w:spacing w:after="0"/>
              <w:rPr>
                <w:sz w:val="20"/>
                <w:szCs w:val="20"/>
                <w:color w:val="auto"/>
              </w:rPr>
            </w:pPr>
          </w:p>
        </w:tc>
      </w:tr>
      <w:tr>
        <w:trPr>
          <w:trHeight w:val="220"/>
        </w:trPr>
        <w:tc>
          <w:tcPr>
            <w:tcW w:w="7080" w:type="dxa"/>
            <w:vAlign w:val="bottom"/>
            <w:gridSpan w:val="2"/>
          </w:tcPr>
          <w:p>
            <w:pPr>
              <w:ind w:left="200"/>
              <w:spacing w:after="0"/>
              <w:rPr>
                <w:sz w:val="20"/>
                <w:szCs w:val="20"/>
                <w:color w:val="auto"/>
              </w:rPr>
            </w:pPr>
            <w:r>
              <w:rPr>
                <w:rFonts w:ascii="Arial" w:cs="Arial" w:eastAsia="Arial" w:hAnsi="Arial"/>
                <w:sz w:val="16"/>
                <w:szCs w:val="16"/>
                <w:color w:val="auto"/>
              </w:rPr>
              <w:t>Depreciation and amortization</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9"/>
                <w:szCs w:val="19"/>
                <w:color w:val="auto"/>
              </w:rPr>
            </w:pPr>
          </w:p>
        </w:tc>
      </w:tr>
      <w:tr>
        <w:trPr>
          <w:trHeight w:val="233"/>
        </w:trPr>
        <w:tc>
          <w:tcPr>
            <w:tcW w:w="70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7,270</w:t>
            </w:r>
          </w:p>
        </w:tc>
        <w:tc>
          <w:tcPr>
            <w:tcW w:w="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Total gross deferred tax assets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248,114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148,112</w:t>
            </w:r>
          </w:p>
        </w:tc>
        <w:tc>
          <w:tcPr>
            <w:tcW w:w="100" w:type="dxa"/>
            <w:vAlign w:val="bottom"/>
          </w:tcPr>
          <w:p>
            <w:pPr>
              <w:spacing w:after="0"/>
              <w:rPr>
                <w:sz w:val="19"/>
                <w:szCs w:val="19"/>
                <w:color w:val="auto"/>
              </w:rPr>
            </w:pPr>
          </w:p>
        </w:tc>
      </w:tr>
      <w:tr>
        <w:trPr>
          <w:trHeight w:val="233"/>
        </w:trPr>
        <w:tc>
          <w:tcPr>
            <w:tcW w:w="708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Valuation allowance</w:t>
            </w: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3"/>
              </w:rPr>
              <w:t>(230,518 )</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(142,674 )</w:t>
            </w:r>
          </w:p>
        </w:tc>
      </w:tr>
      <w:tr>
        <w:trPr>
          <w:trHeight w:val="220"/>
        </w:trPr>
        <w:tc>
          <w:tcPr>
            <w:tcW w:w="7080" w:type="dxa"/>
            <w:vAlign w:val="bottom"/>
            <w:tcBorders>
              <w:top w:val="single" w:sz="8" w:color="CFF0FC"/>
            </w:tcBorders>
            <w:gridSpan w:val="2"/>
          </w:tcPr>
          <w:p>
            <w:pPr>
              <w:ind w:left="20"/>
              <w:spacing w:after="0"/>
              <w:rPr>
                <w:sz w:val="20"/>
                <w:szCs w:val="20"/>
                <w:color w:val="auto"/>
              </w:rPr>
            </w:pPr>
            <w:r>
              <w:rPr>
                <w:rFonts w:ascii="Arial" w:cs="Arial" w:eastAsia="Arial" w:hAnsi="Arial"/>
                <w:sz w:val="16"/>
                <w:szCs w:val="16"/>
                <w:color w:val="auto"/>
              </w:rPr>
              <w:t>Net deferred tax assets</w:t>
            </w:r>
          </w:p>
        </w:tc>
        <w:tc>
          <w:tcPr>
            <w:tcW w:w="60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17,596</w:t>
            </w:r>
          </w:p>
        </w:tc>
        <w:tc>
          <w:tcPr>
            <w:tcW w:w="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5,438</w:t>
            </w:r>
          </w:p>
        </w:tc>
        <w:tc>
          <w:tcPr>
            <w:tcW w:w="100" w:type="dxa"/>
            <w:vAlign w:val="bottom"/>
            <w:tcBorders>
              <w:top w:val="single" w:sz="8" w:color="CFF0FC"/>
            </w:tcBorders>
          </w:tcPr>
          <w:p>
            <w:pPr>
              <w:spacing w:after="0"/>
              <w:rPr>
                <w:sz w:val="19"/>
                <w:szCs w:val="19"/>
                <w:color w:val="auto"/>
              </w:rPr>
            </w:pPr>
          </w:p>
        </w:tc>
      </w:tr>
      <w:tr>
        <w:trPr>
          <w:trHeight w:val="239"/>
        </w:trPr>
        <w:tc>
          <w:tcPr>
            <w:tcW w:w="7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Deferred tax liabilities</w:t>
            </w:r>
          </w:p>
        </w:tc>
        <w:tc>
          <w:tcPr>
            <w:tcW w:w="6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080" w:type="dxa"/>
            <w:vAlign w:val="bottom"/>
            <w:gridSpan w:val="2"/>
          </w:tcPr>
          <w:p>
            <w:pPr>
              <w:ind w:left="200"/>
              <w:spacing w:after="0"/>
              <w:rPr>
                <w:sz w:val="20"/>
                <w:szCs w:val="20"/>
                <w:color w:val="auto"/>
              </w:rPr>
            </w:pPr>
            <w:r>
              <w:rPr>
                <w:rFonts w:ascii="Arial" w:cs="Arial" w:eastAsia="Arial" w:hAnsi="Arial"/>
                <w:sz w:val="16"/>
                <w:szCs w:val="16"/>
                <w:color w:val="auto"/>
              </w:rPr>
              <w:t>Operating lease assets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(17,596 )</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(5,438 )</w:t>
            </w:r>
          </w:p>
        </w:tc>
      </w:tr>
      <w:tr>
        <w:trPr>
          <w:trHeight w:val="23"/>
        </w:trPr>
        <w:tc>
          <w:tcPr>
            <w:tcW w:w="70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0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deferred tax liabilities</w:t>
            </w: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(17,596 )</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(5,438 )</w:t>
            </w:r>
          </w:p>
        </w:tc>
      </w:tr>
      <w:tr>
        <w:trPr>
          <w:trHeight w:val="223"/>
        </w:trPr>
        <w:tc>
          <w:tcPr>
            <w:tcW w:w="6640" w:type="dxa"/>
            <w:vAlign w:val="bottom"/>
            <w:tcBorders>
              <w:top w:val="single" w:sz="8" w:color="CFF0FC"/>
            </w:tcBorders>
          </w:tcPr>
          <w:p>
            <w:pPr>
              <w:spacing w:after="0"/>
              <w:rPr>
                <w:sz w:val="19"/>
                <w:szCs w:val="19"/>
                <w:color w:val="auto"/>
              </w:rPr>
            </w:pPr>
          </w:p>
        </w:tc>
        <w:tc>
          <w:tcPr>
            <w:tcW w:w="440" w:type="dxa"/>
            <w:vAlign w:val="bottom"/>
            <w:tcBorders>
              <w:top w:val="single" w:sz="8" w:color="CFF0FC"/>
            </w:tcBorders>
          </w:tcPr>
          <w:p>
            <w:pPr>
              <w:spacing w:after="0"/>
              <w:rPr>
                <w:sz w:val="19"/>
                <w:szCs w:val="19"/>
                <w:color w:val="auto"/>
              </w:rPr>
            </w:pPr>
          </w:p>
        </w:tc>
        <w:tc>
          <w:tcPr>
            <w:tcW w:w="60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-3411220</wp:posOffset>
            </wp:positionV>
            <wp:extent cx="76835" cy="1797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-3411220</wp:posOffset>
            </wp:positionV>
            <wp:extent cx="68580" cy="1797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1797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-1079500</wp:posOffset>
            </wp:positionV>
            <wp:extent cx="68580" cy="154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1543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-779145</wp:posOffset>
            </wp:positionV>
            <wp:extent cx="68580" cy="154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54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-179705</wp:posOffset>
            </wp:positionV>
            <wp:extent cx="68580" cy="1803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86"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The Company has incurred net operating losses (“NOLs”) since inception. As of December 31, 2022 and 2021, the Company had federal NOL carryforwards of $412.0 million and $371.4 million, respectively, available to reduce taxable income, of which $43.1 million expire beginning in 2035 and $368.9 million do not expire. The Company also has state NOL carryforwards of $501.7 million and $466.2 million as of December 31, 2022 and 2021, respectively, available to reduce future state taxable income, which expire at various dates beginning in 2035.</w:t>
      </w:r>
    </w:p>
    <w:p>
      <w:pPr>
        <w:spacing w:after="0" w:line="189"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As of December 31, 2022 and 2021, the Company also had available federal research and development tax credit carryforwards of $25.9 million and $14.9 million, respectively, available to reduce future tax liabilities, which begin to expire beginning in 2035. The Company also has state research and development tax credit carryforwards of $5.6 million and $4.2 million as of December 31, 2022 and 2021, respectively, available to reduce future state tax liabilities, which expire at various dates beginning in 2030.</w:t>
      </w:r>
    </w:p>
    <w:p>
      <w:pPr>
        <w:spacing w:after="0" w:line="189" w:lineRule="exact"/>
        <w:rPr>
          <w:sz w:val="20"/>
          <w:szCs w:val="20"/>
          <w:color w:val="auto"/>
        </w:rPr>
      </w:pPr>
    </w:p>
    <w:p>
      <w:pPr>
        <w:ind w:right="80"/>
        <w:spacing w:after="0" w:line="289" w:lineRule="auto"/>
        <w:rPr>
          <w:sz w:val="20"/>
          <w:szCs w:val="20"/>
          <w:color w:val="auto"/>
        </w:rPr>
      </w:pPr>
      <w:r>
        <w:rPr>
          <w:rFonts w:ascii="Arial" w:cs="Arial" w:eastAsia="Arial" w:hAnsi="Arial"/>
          <w:sz w:val="15"/>
          <w:szCs w:val="15"/>
          <w:color w:val="auto"/>
        </w:rPr>
        <w:t>Utilization of NOL and research and development credit carryforwards may generally be subject to limitation under Sections 382 and 383 of the Internal Revenue Code of 1986 (“Sections 382 and 383”) due to ownership changes that have occurred previously or could occur in the future. Such ownership changes may limit the amount of NOL and research and development credit carryforwards that can be utilized annually to offset any post-ownership change in taxable income and tax, respectively. The most recent Section 382 study was performed by the Company up to December 31, 2022, through which it was noted that a historic ownership change has likely occurred. Nonetheless, the Company has concluded that, as of December 31, 2022, the prospective utilization of NOL and research and development credit carryforwards from inception through December 31, 2022 (and, therefore, the corresponding Federal and state deferred tax assets) should not be restricted by Sections 382 and 383, although ownership changes after December 31, 2022 could impact the Company’s ability to utilize such tax attributes in the future.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8" w:name="page149"/>
    <w:bookmarkEnd w:id="148"/>
    <w:p>
      <w:pPr>
        <w:ind w:right="40"/>
        <w:spacing w:after="0" w:line="305" w:lineRule="auto"/>
        <w:rPr>
          <w:sz w:val="20"/>
          <w:szCs w:val="20"/>
          <w:color w:val="auto"/>
        </w:rPr>
      </w:pPr>
      <w:r>
        <w:rPr>
          <w:rFonts w:ascii="Arial" w:cs="Arial" w:eastAsia="Arial" w:hAnsi="Arial"/>
          <w:sz w:val="15"/>
          <w:szCs w:val="15"/>
          <w:color w:val="auto"/>
        </w:rPr>
        <w:t>The Company recorded a valuation allowance against its deferred tax assets for the years ended December 31, 2022 and 2021, because the Company’s management believes it is more likely than not that these assets will not be realized. The valuation allowance increased by approximately $87.8 million and $76.9 million for the years ended December 31, 2022 and 2021, respectively, primarily as a result of operating losses generated with no corresponding financial statement benefit.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no unrecognized tax benefits as of December 31, 2022 and 2021.</w:t>
      </w:r>
    </w:p>
    <w:p>
      <w:pPr>
        <w:spacing w:after="0" w:line="235"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inception to the present.</w:t>
      </w:r>
    </w:p>
    <w:p>
      <w:pPr>
        <w:spacing w:after="0" w:line="184" w:lineRule="exact"/>
        <w:rPr>
          <w:sz w:val="20"/>
          <w:szCs w:val="20"/>
          <w:color w:val="auto"/>
        </w:rPr>
      </w:pPr>
    </w:p>
    <w:p>
      <w:pPr>
        <w:ind w:right="40"/>
        <w:spacing w:after="0" w:line="297" w:lineRule="auto"/>
        <w:rPr>
          <w:sz w:val="20"/>
          <w:szCs w:val="20"/>
          <w:color w:val="auto"/>
        </w:rPr>
      </w:pPr>
      <w:r>
        <w:rPr>
          <w:rFonts w:ascii="Arial" w:cs="Arial" w:eastAsia="Arial" w:hAnsi="Arial"/>
          <w:sz w:val="15"/>
          <w:szCs w:val="15"/>
          <w:color w:val="auto"/>
        </w:rPr>
        <w:t>In 2017, the Tax Cuts and Jobs Act of 2017 (“2017 Tax Act”) was signed into law. Amongst other provisions, the 2017 Tax Act requires taxpayers to capitalize and amortize research and experimental (R&amp;D) expenditures under Section 174 for tax years beginning after December 31, 2021. As such, the rule noted became effective for the Company during the year ended December 31, 2022 and resulted in the capitalization of certain R&amp;D costs within its tax provision. The Company will amortize such costs for tax purposes over 5 years if the R&amp;D was performed in the United States and over 15 years if the R&amp;D was performed outside the United States.</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In 2020, the Coronavirus Aid, Relief and Economic Security Act (“CARES Act”) was signed into law. The CARES Act lifts certain deduction limitations originally imposed by the 2017 Tax Act. Corporate taxpayers may carryback NOLs originating during 2018 through 2020 for up to five years, which was not previously allowed under the 2017 Tax Act. The CARES Act also eliminates the 80% of taxable income limitations by allowing corporate entities to fully utilize NOL carryforwards to offset taxable income in 2018, 2019, or 2020. Taxpayers may generally deduct interest up to the sum of 50% of adjusted taxable income plus business interest income (30% limit under the 2017 Tax Act) for tax years beginning January 1, 2019 and 2020. The CARES Act allows taxpayers with alternative minimum tax credits to claim a refund in 2020 for the entire amount of the credits instead of recovering the credits through refunds over a period of years, as originally enacted by the 2017 Tax Act. In addition, the CARES Act raises the corporate charitable deduction limit to 25% of taxable income and makes qualified improvement property generally eligible for 15-year cost-recovery and 100% bonus depreciation. The enactment of the CARES Act did not result in any adjustments to the Company’s income tax provision for the years ended December 31, 2022, 2021, and 2020, or to the Company’s net deferred tax assets as of December 31, 2022 and 2021, since the Company has not recorded any U.S. Federal or state income tax benefits for the net losses incurred in any year due to the uncertainty of realizing a benefit from such items.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Employee Benefits</w:t>
      </w:r>
    </w:p>
    <w:p>
      <w:pPr>
        <w:spacing w:after="0" w:line="239"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2016, the Company established a defined-contribution plan under Section 401(k) of the Internal Revenue Code (the “401(k) Plan”). The 401(k) Plan covers all employees who meet defined minimum age and service requirements and allows participants to defer a portion of their annual compensation on a pre-tax basis. The Company made matching contributions to the 401(k) Plan of $2.3 million and $1.2 million for the years ended December 31, 2022 and 2021. The Company was not required to make and did not make any matching contributions to the 401(k) Plan for the year ended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Subsequent Events</w:t>
      </w:r>
    </w:p>
    <w:p>
      <w:pPr>
        <w:spacing w:after="0" w:line="239"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 preparing the consolidated financial statements as of December 31, 2022, the Company evaluated subsequent events for recognition and measurement purposes through the filing date of this Annual Report on Form 10-K. The Company concluded that no events or transactions have occurred that require disclosure in the accompanying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10"/>
        </w:trPr>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60" w:type="dxa"/>
            <w:vAlign w:val="bottom"/>
            <w:gridSpan w:val="23"/>
          </w:tcPr>
          <w:p>
            <w:pPr>
              <w:ind w:left="320"/>
              <w:spacing w:after="0"/>
              <w:rPr>
                <w:sz w:val="20"/>
                <w:szCs w:val="20"/>
                <w:color w:val="auto"/>
              </w:rPr>
            </w:pPr>
            <w:r>
              <w:rPr>
                <w:rFonts w:ascii="Arial" w:cs="Arial" w:eastAsia="Arial" w:hAnsi="Arial"/>
                <w:sz w:val="16"/>
                <w:szCs w:val="16"/>
                <w:b w:val="1"/>
                <w:bCs w:val="1"/>
                <w:color w:val="auto"/>
              </w:rPr>
              <w:t>EXHIBIT INDEX</w:t>
            </w:r>
          </w:p>
        </w:tc>
      </w:tr>
      <w:tr>
        <w:trPr>
          <w:trHeight w:val="505"/>
        </w:trPr>
        <w:tc>
          <w:tcPr>
            <w:tcW w:w="1100" w:type="dxa"/>
            <w:vAlign w:val="bottom"/>
          </w:tcPr>
          <w:p>
            <w:pPr>
              <w:ind w:left="300"/>
              <w:spacing w:after="0"/>
              <w:rPr>
                <w:sz w:val="20"/>
                <w:szCs w:val="20"/>
                <w:color w:val="auto"/>
              </w:rPr>
            </w:pPr>
            <w:r>
              <w:rPr>
                <w:rFonts w:ascii="Arial" w:cs="Arial" w:eastAsia="Arial" w:hAnsi="Arial"/>
                <w:sz w:val="16"/>
                <w:szCs w:val="16"/>
                <w:b w:val="1"/>
                <w:bCs w:val="1"/>
                <w:color w:val="auto"/>
              </w:rPr>
              <w:t>Exhibit</w:t>
            </w: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Number</w:t>
            </w:r>
          </w:p>
        </w:tc>
        <w:tc>
          <w:tcPr>
            <w:tcW w:w="360" w:type="dxa"/>
            <w:vAlign w:val="bottom"/>
          </w:tcPr>
          <w:p>
            <w:pPr>
              <w:spacing w:after="0"/>
              <w:rPr>
                <w:sz w:val="19"/>
                <w:szCs w:val="19"/>
                <w:color w:val="auto"/>
              </w:rPr>
            </w:pPr>
          </w:p>
        </w:tc>
        <w:tc>
          <w:tcPr>
            <w:tcW w:w="2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20" w:type="dxa"/>
            <w:vAlign w:val="bottom"/>
            <w:tcBorders>
              <w:bottom w:val="single" w:sz="8" w:color="auto"/>
            </w:tcBorders>
            <w:gridSpan w:val="21"/>
          </w:tcPr>
          <w:p>
            <w:pPr>
              <w:ind w:left="720"/>
              <w:spacing w:after="0"/>
              <w:rPr>
                <w:sz w:val="20"/>
                <w:szCs w:val="20"/>
                <w:color w:val="auto"/>
              </w:rPr>
            </w:pPr>
            <w:r>
              <w:rPr>
                <w:rFonts w:ascii="Arial" w:cs="Arial" w:eastAsia="Arial" w:hAnsi="Arial"/>
                <w:sz w:val="16"/>
                <w:szCs w:val="16"/>
                <w:b w:val="1"/>
                <w:bCs w:val="1"/>
                <w:color w:val="auto"/>
              </w:rPr>
              <w:t>Description</w:t>
            </w:r>
          </w:p>
        </w:tc>
      </w:tr>
      <w:tr>
        <w:trPr>
          <w:trHeight w:val="378"/>
        </w:trPr>
        <w:tc>
          <w:tcPr>
            <w:tcW w:w="1100" w:type="dxa"/>
            <w:vAlign w:val="bottom"/>
          </w:tcPr>
          <w:p>
            <w:pPr>
              <w:ind w:left="20"/>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24"/>
                <w:szCs w:val="24"/>
                <w:color w:val="auto"/>
              </w:rPr>
            </w:pPr>
          </w:p>
        </w:tc>
        <w:tc>
          <w:tcPr>
            <w:tcW w:w="9520" w:type="dxa"/>
            <w:vAlign w:val="bottom"/>
            <w:tcBorders>
              <w:bottom w:val="single" w:sz="8" w:color="0000FF"/>
            </w:tcBorders>
            <w:gridSpan w:val="22"/>
          </w:tcPr>
          <w:p>
            <w:pPr>
              <w:spacing w:after="0"/>
              <w:rPr>
                <w:rFonts w:ascii="Arial" w:cs="Arial" w:eastAsia="Arial" w:hAnsi="Arial"/>
                <w:sz w:val="16"/>
                <w:szCs w:val="16"/>
                <w:color w:val="0000FF"/>
                <w:w w:val="93"/>
              </w:rPr>
            </w:pPr>
            <w:hyperlink r:id="rId438">
              <w:r>
                <w:rPr>
                  <w:rFonts w:ascii="Arial" w:cs="Arial" w:eastAsia="Arial" w:hAnsi="Arial"/>
                  <w:sz w:val="16"/>
                  <w:szCs w:val="16"/>
                  <w:color w:val="0000FF"/>
                  <w:w w:val="93"/>
                </w:rPr>
                <w:t>Agreement and Plan of Merger dated April 15, 2021 by and among Relay Therapeutics, Inc., Elixir Merger Sub I, Inc., Elixir Merger Sub II, LLC,</w:t>
              </w:r>
            </w:hyperlink>
          </w:p>
        </w:tc>
        <w:tc>
          <w:tcPr>
            <w:tcW w:w="260" w:type="dxa"/>
            <w:vAlign w:val="bottom"/>
            <w:gridSpan w:val="8"/>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20" w:type="dxa"/>
            <w:vAlign w:val="bottom"/>
            <w:tcBorders>
              <w:bottom w:val="single" w:sz="8" w:color="0000FF"/>
            </w:tcBorders>
            <w:gridSpan w:val="28"/>
          </w:tcPr>
          <w:p>
            <w:pPr>
              <w:spacing w:after="0" w:line="183" w:lineRule="exact"/>
              <w:rPr>
                <w:rFonts w:ascii="Arial" w:cs="Arial" w:eastAsia="Arial" w:hAnsi="Arial"/>
                <w:sz w:val="16"/>
                <w:szCs w:val="16"/>
                <w:color w:val="0000FF"/>
                <w:w w:val="92"/>
              </w:rPr>
            </w:pPr>
            <w:hyperlink r:id="rId438">
              <w:r>
                <w:rPr>
                  <w:rFonts w:ascii="Arial" w:cs="Arial" w:eastAsia="Arial" w:hAnsi="Arial"/>
                  <w:sz w:val="16"/>
                  <w:szCs w:val="16"/>
                  <w:color w:val="0000FF"/>
                  <w:w w:val="92"/>
                </w:rPr>
                <w:t>ZebiAI Therapeutics, Inc., and Shareholder Representative Services LLC (incorporated by reference to Exhibit 2.1 to the Registrant’s Form 8-K (File</w:t>
              </w:r>
            </w:hyperlink>
          </w:p>
        </w:tc>
        <w:tc>
          <w:tcPr>
            <w:tcW w:w="60" w:type="dxa"/>
            <w:vAlign w:val="bottom"/>
            <w:gridSpan w:val="2"/>
          </w:tcPr>
          <w:p>
            <w:pPr>
              <w:spacing w:after="0"/>
              <w:rPr>
                <w:sz w:val="15"/>
                <w:szCs w:val="15"/>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Borders>
              <w:bottom w:val="single" w:sz="8" w:color="0000FF"/>
            </w:tcBorders>
            <w:gridSpan w:val="5"/>
          </w:tcPr>
          <w:p>
            <w:pPr>
              <w:spacing w:after="0" w:line="183" w:lineRule="exact"/>
              <w:rPr>
                <w:rFonts w:ascii="Arial" w:cs="Arial" w:eastAsia="Arial" w:hAnsi="Arial"/>
                <w:sz w:val="16"/>
                <w:szCs w:val="16"/>
                <w:color w:val="0000FF"/>
                <w:w w:val="94"/>
              </w:rPr>
            </w:pPr>
            <w:hyperlink r:id="rId438">
              <w:r>
                <w:rPr>
                  <w:rFonts w:ascii="Arial" w:cs="Arial" w:eastAsia="Arial" w:hAnsi="Arial"/>
                  <w:sz w:val="16"/>
                  <w:szCs w:val="16"/>
                  <w:color w:val="0000FF"/>
                  <w:w w:val="94"/>
                </w:rPr>
                <w:t>No. 001-39385) filed on April 16, 2021).</w:t>
              </w:r>
            </w:hyperlink>
          </w:p>
        </w:tc>
        <w:tc>
          <w:tcPr>
            <w:tcW w:w="20" w:type="dxa"/>
            <w:vAlign w:val="bottom"/>
            <w:tcBorders>
              <w:bottom w:val="single" w:sz="8" w:color="0000EE"/>
            </w:tcBorders>
          </w:tcPr>
          <w:p>
            <w:pPr>
              <w:spacing w:after="0"/>
              <w:rPr>
                <w:sz w:val="15"/>
                <w:szCs w:val="15"/>
                <w:color w:val="auto"/>
              </w:rPr>
            </w:pPr>
          </w:p>
        </w:tc>
        <w:tc>
          <w:tcPr>
            <w:tcW w:w="7100" w:type="dxa"/>
            <w:vAlign w:val="bottom"/>
            <w:gridSpan w:val="24"/>
          </w:tcPr>
          <w:p>
            <w:pPr>
              <w:spacing w:after="0"/>
              <w:rPr>
                <w:sz w:val="15"/>
                <w:szCs w:val="15"/>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24"/>
                <w:szCs w:val="24"/>
                <w:color w:val="auto"/>
              </w:rPr>
            </w:pPr>
          </w:p>
        </w:tc>
        <w:tc>
          <w:tcPr>
            <w:tcW w:w="9780" w:type="dxa"/>
            <w:vAlign w:val="bottom"/>
            <w:gridSpan w:val="30"/>
          </w:tcPr>
          <w:p>
            <w:pPr>
              <w:spacing w:after="0"/>
              <w:rPr>
                <w:sz w:val="20"/>
                <w:szCs w:val="20"/>
                <w:color w:val="auto"/>
              </w:rPr>
            </w:pPr>
            <w:r>
              <w:rPr>
                <w:rFonts w:ascii="Arial" w:cs="Arial" w:eastAsia="Arial" w:hAnsi="Arial"/>
                <w:sz w:val="16"/>
                <w:szCs w:val="16"/>
                <w:color w:val="0000FF"/>
              </w:rPr>
              <w:t>Fourth Amended and Restated Certificate of Incorporation of Relay Therapeutics, Inc.</w:t>
            </w:r>
          </w:p>
        </w:tc>
      </w:tr>
      <w:tr>
        <w:trPr>
          <w:trHeight w:val="20"/>
        </w:trPr>
        <w:tc>
          <w:tcPr>
            <w:tcW w:w="1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24"/>
                <w:szCs w:val="24"/>
                <w:color w:val="auto"/>
              </w:rPr>
            </w:pPr>
          </w:p>
        </w:tc>
        <w:tc>
          <w:tcPr>
            <w:tcW w:w="9380" w:type="dxa"/>
            <w:vAlign w:val="bottom"/>
            <w:tcBorders>
              <w:bottom w:val="single" w:sz="8" w:color="0000FF"/>
            </w:tcBorders>
            <w:gridSpan w:val="20"/>
          </w:tcPr>
          <w:p>
            <w:pPr>
              <w:spacing w:after="0"/>
              <w:rPr>
                <w:rFonts w:ascii="Arial" w:cs="Arial" w:eastAsia="Arial" w:hAnsi="Arial"/>
                <w:sz w:val="16"/>
                <w:szCs w:val="16"/>
                <w:color w:val="0000FF"/>
                <w:w w:val="92"/>
              </w:rPr>
            </w:pPr>
            <w:hyperlink r:id="rId439">
              <w:r>
                <w:rPr>
                  <w:rFonts w:ascii="Arial" w:cs="Arial" w:eastAsia="Arial" w:hAnsi="Arial"/>
                  <w:sz w:val="16"/>
                  <w:szCs w:val="16"/>
                  <w:color w:val="0000FF"/>
                  <w:w w:val="92"/>
                </w:rPr>
                <w:t>Amended and Restated Bylaws of Relay Therapeutics, Inc. (incorporated by reference to Exhibit 3.2 to the Registrant’s Form 8-K (File No. 001-</w:t>
              </w:r>
            </w:hyperlink>
          </w:p>
        </w:tc>
        <w:tc>
          <w:tcPr>
            <w:tcW w:w="400" w:type="dxa"/>
            <w:vAlign w:val="bottom"/>
            <w:gridSpan w:val="10"/>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80" w:type="dxa"/>
            <w:vAlign w:val="bottom"/>
            <w:gridSpan w:val="30"/>
          </w:tcPr>
          <w:p>
            <w:pPr>
              <w:spacing w:after="0" w:line="183" w:lineRule="exact"/>
              <w:rPr>
                <w:rFonts w:ascii="Arial" w:cs="Arial" w:eastAsia="Arial" w:hAnsi="Arial"/>
                <w:sz w:val="16"/>
                <w:szCs w:val="16"/>
                <w:color w:val="0000FF"/>
              </w:rPr>
            </w:pPr>
            <w:hyperlink r:id="rId439">
              <w:r>
                <w:rPr>
                  <w:rFonts w:ascii="Arial" w:cs="Arial" w:eastAsia="Arial" w:hAnsi="Arial"/>
                  <w:sz w:val="16"/>
                  <w:szCs w:val="16"/>
                  <w:color w:val="0000FF"/>
                </w:rPr>
                <w:t>39385) filed on July 21, 2020).</w:t>
              </w:r>
            </w:hyperlink>
          </w:p>
        </w:tc>
      </w:tr>
      <w:tr>
        <w:trPr>
          <w:trHeight w:val="20"/>
        </w:trPr>
        <w:tc>
          <w:tcPr>
            <w:tcW w:w="1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231F20"/>
              </w:rPr>
              <w:t>4.1</w:t>
            </w:r>
          </w:p>
        </w:tc>
        <w:tc>
          <w:tcPr>
            <w:tcW w:w="360" w:type="dxa"/>
            <w:vAlign w:val="bottom"/>
          </w:tcPr>
          <w:p>
            <w:pPr>
              <w:spacing w:after="0"/>
              <w:rPr>
                <w:sz w:val="24"/>
                <w:szCs w:val="24"/>
                <w:color w:val="auto"/>
              </w:rPr>
            </w:pPr>
          </w:p>
        </w:tc>
        <w:tc>
          <w:tcPr>
            <w:tcW w:w="9780" w:type="dxa"/>
            <w:vAlign w:val="bottom"/>
            <w:gridSpan w:val="30"/>
          </w:tcPr>
          <w:p>
            <w:pPr>
              <w:spacing w:after="0"/>
              <w:rPr>
                <w:rFonts w:ascii="Arial" w:cs="Arial" w:eastAsia="Arial" w:hAnsi="Arial"/>
                <w:sz w:val="16"/>
                <w:szCs w:val="16"/>
                <w:color w:val="0000FF"/>
                <w:w w:val="92"/>
              </w:rPr>
            </w:pPr>
            <w:hyperlink r:id="rId440">
              <w:r>
                <w:rPr>
                  <w:rFonts w:ascii="Arial" w:cs="Arial" w:eastAsia="Arial" w:hAnsi="Arial"/>
                  <w:sz w:val="16"/>
                  <w:szCs w:val="16"/>
                  <w:color w:val="0000FF"/>
                  <w:w w:val="92"/>
                </w:rPr>
                <w:t>Specimen stock certificate evidencing the shares of common stock (incorporated by reference to Exhibit 4.1 to our Registration Statement on Form S-</w:t>
              </w:r>
            </w:hyperlink>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0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440">
              <w:r>
                <w:rPr>
                  <w:rFonts w:ascii="Arial" w:cs="Arial" w:eastAsia="Arial" w:hAnsi="Arial"/>
                  <w:sz w:val="16"/>
                  <w:szCs w:val="16"/>
                  <w:color w:val="0000FF"/>
                </w:rPr>
                <w:t>1/A (File No. 333-239412) filed on July 9, 2020).</w:t>
              </w:r>
            </w:hyperlink>
          </w:p>
        </w:tc>
        <w:tc>
          <w:tcPr>
            <w:tcW w:w="80" w:type="dxa"/>
            <w:vAlign w:val="bottom"/>
            <w:gridSpan w:val="3"/>
          </w:tcPr>
          <w:p>
            <w:pPr>
              <w:spacing w:after="0"/>
              <w:rPr>
                <w:sz w:val="15"/>
                <w:szCs w:val="15"/>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231F20"/>
              </w:rPr>
              <w:t>4.2</w:t>
            </w:r>
          </w:p>
        </w:tc>
        <w:tc>
          <w:tcPr>
            <w:tcW w:w="360" w:type="dxa"/>
            <w:vAlign w:val="bottom"/>
          </w:tcPr>
          <w:p>
            <w:pPr>
              <w:spacing w:after="0"/>
              <w:rPr>
                <w:sz w:val="24"/>
                <w:szCs w:val="24"/>
                <w:color w:val="auto"/>
              </w:rPr>
            </w:pPr>
          </w:p>
        </w:tc>
        <w:tc>
          <w:tcPr>
            <w:tcW w:w="9780" w:type="dxa"/>
            <w:vAlign w:val="bottom"/>
            <w:gridSpan w:val="30"/>
          </w:tcPr>
          <w:p>
            <w:pPr>
              <w:spacing w:after="0"/>
              <w:rPr>
                <w:rFonts w:ascii="Arial" w:cs="Arial" w:eastAsia="Arial" w:hAnsi="Arial"/>
                <w:sz w:val="16"/>
                <w:szCs w:val="16"/>
                <w:color w:val="0000FF"/>
                <w:w w:val="96"/>
              </w:rPr>
            </w:pPr>
            <w:hyperlink r:id="rId441">
              <w:r>
                <w:rPr>
                  <w:rFonts w:ascii="Arial" w:cs="Arial" w:eastAsia="Arial" w:hAnsi="Arial"/>
                  <w:sz w:val="16"/>
                  <w:szCs w:val="16"/>
                  <w:color w:val="0000FF"/>
                  <w:w w:val="96"/>
                </w:rPr>
                <w:t>Description of Securities (incorporated by reference to Exhibit 4.3 to the Registrant's Form 10-K (File No. 001-39385) filed on March 25, 2021).</w:t>
              </w:r>
            </w:hyperlink>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231F20"/>
              </w:rPr>
              <w:t>10.1#</w:t>
            </w:r>
          </w:p>
        </w:tc>
        <w:tc>
          <w:tcPr>
            <w:tcW w:w="360" w:type="dxa"/>
            <w:vAlign w:val="bottom"/>
          </w:tcPr>
          <w:p>
            <w:pPr>
              <w:spacing w:after="0"/>
              <w:rPr>
                <w:sz w:val="24"/>
                <w:szCs w:val="24"/>
                <w:color w:val="auto"/>
              </w:rPr>
            </w:pPr>
          </w:p>
        </w:tc>
        <w:tc>
          <w:tcPr>
            <w:tcW w:w="9060" w:type="dxa"/>
            <w:vAlign w:val="bottom"/>
            <w:tcBorders>
              <w:top w:val="single" w:sz="8" w:color="0000FF"/>
              <w:bottom w:val="single" w:sz="8" w:color="0000FF"/>
            </w:tcBorders>
            <w:gridSpan w:val="19"/>
          </w:tcPr>
          <w:p>
            <w:pPr>
              <w:spacing w:after="0"/>
              <w:rPr>
                <w:rFonts w:ascii="Arial" w:cs="Arial" w:eastAsia="Arial" w:hAnsi="Arial"/>
                <w:sz w:val="16"/>
                <w:szCs w:val="16"/>
                <w:color w:val="0000FF"/>
                <w:w w:val="91"/>
              </w:rPr>
            </w:pPr>
            <w:hyperlink r:id="rId442">
              <w:r>
                <w:rPr>
                  <w:rFonts w:ascii="Arial" w:cs="Arial" w:eastAsia="Arial" w:hAnsi="Arial"/>
                  <w:sz w:val="16"/>
                  <w:szCs w:val="16"/>
                  <w:color w:val="0000FF"/>
                  <w:w w:val="91"/>
                </w:rPr>
                <w:t>2016 Stock Option and Grant Plan, and form of award agreements thereunder (incorporated by reference to Exhibit 10.1 of the Registrant’s</w:t>
              </w:r>
            </w:hyperlink>
          </w:p>
        </w:tc>
        <w:tc>
          <w:tcPr>
            <w:tcW w:w="320" w:type="dxa"/>
            <w:vAlign w:val="bottom"/>
            <w:tcBorders>
              <w:top w:val="single" w:sz="8" w:color="0000FF"/>
            </w:tcBorders>
          </w:tcPr>
          <w:p>
            <w:pPr>
              <w:spacing w:after="0"/>
              <w:rPr>
                <w:sz w:val="24"/>
                <w:szCs w:val="24"/>
                <w:color w:val="auto"/>
              </w:rPr>
            </w:pPr>
          </w:p>
        </w:tc>
        <w:tc>
          <w:tcPr>
            <w:tcW w:w="400" w:type="dxa"/>
            <w:vAlign w:val="bottom"/>
            <w:gridSpan w:val="10"/>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20" w:type="dxa"/>
            <w:vAlign w:val="bottom"/>
            <w:tcBorders>
              <w:bottom w:val="single" w:sz="8" w:color="0000FF"/>
            </w:tcBorders>
            <w:gridSpan w:val="11"/>
          </w:tcPr>
          <w:p>
            <w:pPr>
              <w:spacing w:after="0" w:line="183" w:lineRule="exact"/>
              <w:rPr>
                <w:rFonts w:ascii="Arial" w:cs="Arial" w:eastAsia="Arial" w:hAnsi="Arial"/>
                <w:sz w:val="16"/>
                <w:szCs w:val="16"/>
                <w:color w:val="0000FF"/>
                <w:w w:val="91"/>
              </w:rPr>
            </w:pPr>
            <w:hyperlink r:id="rId442">
              <w:r>
                <w:rPr>
                  <w:rFonts w:ascii="Arial" w:cs="Arial" w:eastAsia="Arial" w:hAnsi="Arial"/>
                  <w:sz w:val="16"/>
                  <w:szCs w:val="16"/>
                  <w:color w:val="0000FF"/>
                  <w:w w:val="91"/>
                </w:rPr>
                <w:t>Registration Statement on Form S-1 (File No. 333-239412) filed on June 24, 2020).</w:t>
              </w:r>
            </w:hyperlink>
          </w:p>
        </w:tc>
        <w:tc>
          <w:tcPr>
            <w:tcW w:w="20" w:type="dxa"/>
            <w:vAlign w:val="bottom"/>
            <w:tcBorders>
              <w:bottom w:val="single" w:sz="8" w:color="0000EE"/>
            </w:tcBorders>
          </w:tcPr>
          <w:p>
            <w:pPr>
              <w:spacing w:after="0"/>
              <w:rPr>
                <w:sz w:val="15"/>
                <w:szCs w:val="15"/>
                <w:color w:val="auto"/>
              </w:rPr>
            </w:pPr>
          </w:p>
        </w:tc>
        <w:tc>
          <w:tcPr>
            <w:tcW w:w="4340" w:type="dxa"/>
            <w:vAlign w:val="bottom"/>
            <w:gridSpan w:val="18"/>
          </w:tcPr>
          <w:p>
            <w:pPr>
              <w:spacing w:after="0"/>
              <w:rPr>
                <w:sz w:val="15"/>
                <w:szCs w:val="15"/>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231F20"/>
              </w:rPr>
              <w:t>10.2#</w:t>
            </w:r>
          </w:p>
        </w:tc>
        <w:tc>
          <w:tcPr>
            <w:tcW w:w="360" w:type="dxa"/>
            <w:vAlign w:val="bottom"/>
          </w:tcPr>
          <w:p>
            <w:pPr>
              <w:spacing w:after="0"/>
              <w:rPr>
                <w:sz w:val="24"/>
                <w:szCs w:val="24"/>
                <w:color w:val="auto"/>
              </w:rPr>
            </w:pPr>
          </w:p>
        </w:tc>
        <w:tc>
          <w:tcPr>
            <w:tcW w:w="9660" w:type="dxa"/>
            <w:vAlign w:val="bottom"/>
            <w:tcBorders>
              <w:bottom w:val="single" w:sz="8" w:color="0000FF"/>
            </w:tcBorders>
            <w:gridSpan w:val="26"/>
          </w:tcPr>
          <w:p>
            <w:pPr>
              <w:spacing w:after="0"/>
              <w:rPr>
                <w:rFonts w:ascii="Arial" w:cs="Arial" w:eastAsia="Arial" w:hAnsi="Arial"/>
                <w:sz w:val="16"/>
                <w:szCs w:val="16"/>
                <w:color w:val="0000FF"/>
                <w:w w:val="91"/>
              </w:rPr>
            </w:pPr>
            <w:hyperlink r:id="rId443">
              <w:r>
                <w:rPr>
                  <w:rFonts w:ascii="Arial" w:cs="Arial" w:eastAsia="Arial" w:hAnsi="Arial"/>
                  <w:sz w:val="16"/>
                  <w:szCs w:val="16"/>
                  <w:color w:val="0000FF"/>
                  <w:w w:val="91"/>
                </w:rPr>
                <w:t>2020 Stock Option and Incentive Plan, and form of award agreements thereunder (incorporated by reference to Exhibit 10.2 to the Registrant's Form</w:t>
              </w:r>
            </w:hyperlink>
          </w:p>
        </w:tc>
        <w:tc>
          <w:tcPr>
            <w:tcW w:w="120" w:type="dxa"/>
            <w:vAlign w:val="bottom"/>
            <w:gridSpan w:val="4"/>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80" w:type="dxa"/>
            <w:vAlign w:val="bottom"/>
            <w:gridSpan w:val="30"/>
          </w:tcPr>
          <w:p>
            <w:pPr>
              <w:spacing w:after="0" w:line="183" w:lineRule="exact"/>
              <w:rPr>
                <w:rFonts w:ascii="Arial" w:cs="Arial" w:eastAsia="Arial" w:hAnsi="Arial"/>
                <w:sz w:val="16"/>
                <w:szCs w:val="16"/>
                <w:color w:val="0000FF"/>
              </w:rPr>
            </w:pPr>
            <w:hyperlink r:id="rId443">
              <w:r>
                <w:rPr>
                  <w:rFonts w:ascii="Arial" w:cs="Arial" w:eastAsia="Arial" w:hAnsi="Arial"/>
                  <w:sz w:val="16"/>
                  <w:szCs w:val="16"/>
                  <w:color w:val="0000FF"/>
                </w:rPr>
                <w:t>10-K (File No. 001-39385) filed on February 24, 2022.</w:t>
              </w:r>
            </w:hyperlink>
          </w:p>
        </w:tc>
      </w:tr>
      <w:tr>
        <w:trPr>
          <w:trHeight w:val="20"/>
        </w:trPr>
        <w:tc>
          <w:tcPr>
            <w:tcW w:w="1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231F20"/>
              </w:rPr>
              <w:t>10.3#</w:t>
            </w:r>
          </w:p>
        </w:tc>
        <w:tc>
          <w:tcPr>
            <w:tcW w:w="360" w:type="dxa"/>
            <w:vAlign w:val="bottom"/>
          </w:tcPr>
          <w:p>
            <w:pPr>
              <w:spacing w:after="0"/>
              <w:rPr>
                <w:sz w:val="24"/>
                <w:szCs w:val="24"/>
                <w:color w:val="auto"/>
              </w:rPr>
            </w:pPr>
          </w:p>
        </w:tc>
        <w:tc>
          <w:tcPr>
            <w:tcW w:w="9580" w:type="dxa"/>
            <w:vAlign w:val="bottom"/>
            <w:tcBorders>
              <w:bottom w:val="single" w:sz="8" w:color="0000FF"/>
            </w:tcBorders>
            <w:gridSpan w:val="24"/>
          </w:tcPr>
          <w:p>
            <w:pPr>
              <w:spacing w:after="0"/>
              <w:rPr>
                <w:rFonts w:ascii="Arial" w:cs="Arial" w:eastAsia="Arial" w:hAnsi="Arial"/>
                <w:sz w:val="16"/>
                <w:szCs w:val="16"/>
                <w:color w:val="0000FF"/>
                <w:w w:val="92"/>
              </w:rPr>
            </w:pPr>
            <w:hyperlink r:id="rId444">
              <w:r>
                <w:rPr>
                  <w:rFonts w:ascii="Arial" w:cs="Arial" w:eastAsia="Arial" w:hAnsi="Arial"/>
                  <w:sz w:val="16"/>
                  <w:szCs w:val="16"/>
                  <w:color w:val="0000FF"/>
                  <w:w w:val="92"/>
                </w:rPr>
                <w:t>2020 Employee Stock Purchase Plan (incorporated by reference to Exhibit 10.3 of the Registrant’s Registration Statement on Form S-1/A (File No.</w:t>
              </w:r>
            </w:hyperlink>
          </w:p>
        </w:tc>
        <w:tc>
          <w:tcPr>
            <w:tcW w:w="200" w:type="dxa"/>
            <w:vAlign w:val="bottom"/>
            <w:gridSpan w:val="6"/>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80" w:type="dxa"/>
            <w:vAlign w:val="bottom"/>
            <w:gridSpan w:val="30"/>
          </w:tcPr>
          <w:p>
            <w:pPr>
              <w:spacing w:after="0" w:line="183" w:lineRule="exact"/>
              <w:rPr>
                <w:rFonts w:ascii="Arial" w:cs="Arial" w:eastAsia="Arial" w:hAnsi="Arial"/>
                <w:sz w:val="16"/>
                <w:szCs w:val="16"/>
                <w:color w:val="0000FF"/>
              </w:rPr>
            </w:pPr>
            <w:hyperlink r:id="rId444">
              <w:r>
                <w:rPr>
                  <w:rFonts w:ascii="Arial" w:cs="Arial" w:eastAsia="Arial" w:hAnsi="Arial"/>
                  <w:sz w:val="16"/>
                  <w:szCs w:val="16"/>
                  <w:color w:val="0000FF"/>
                </w:rPr>
                <w:t>333-239412) filed on July 9, 2020).</w:t>
              </w:r>
            </w:hyperlink>
          </w:p>
        </w:tc>
      </w:tr>
      <w:tr>
        <w:trPr>
          <w:trHeight w:val="20"/>
        </w:trPr>
        <w:tc>
          <w:tcPr>
            <w:tcW w:w="1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231F20"/>
              </w:rPr>
              <w:t>10.4#</w:t>
            </w:r>
          </w:p>
        </w:tc>
        <w:tc>
          <w:tcPr>
            <w:tcW w:w="360" w:type="dxa"/>
            <w:vAlign w:val="bottom"/>
          </w:tcPr>
          <w:p>
            <w:pPr>
              <w:spacing w:after="0"/>
              <w:rPr>
                <w:sz w:val="24"/>
                <w:szCs w:val="24"/>
                <w:color w:val="auto"/>
              </w:rPr>
            </w:pPr>
          </w:p>
        </w:tc>
        <w:tc>
          <w:tcPr>
            <w:tcW w:w="9780" w:type="dxa"/>
            <w:vAlign w:val="bottom"/>
            <w:gridSpan w:val="30"/>
          </w:tcPr>
          <w:p>
            <w:pPr>
              <w:spacing w:after="0"/>
              <w:rPr>
                <w:rFonts w:ascii="Arial" w:cs="Arial" w:eastAsia="Arial" w:hAnsi="Arial"/>
                <w:sz w:val="16"/>
                <w:szCs w:val="16"/>
                <w:color w:val="0000FF"/>
                <w:w w:val="93"/>
              </w:rPr>
            </w:pPr>
            <w:hyperlink r:id="rId445">
              <w:r>
                <w:rPr>
                  <w:rFonts w:ascii="Arial" w:cs="Arial" w:eastAsia="Arial" w:hAnsi="Arial"/>
                  <w:sz w:val="16"/>
                  <w:szCs w:val="16"/>
                  <w:color w:val="0000FF"/>
                  <w:w w:val="93"/>
                </w:rPr>
                <w:t>Senior Executive Cash Bonus Plan (incorporated by reference to Exhibit 10.4 of the Registrant’s Registration Statement on Form S-1 (File No. 333-</w:t>
              </w:r>
            </w:hyperlink>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20" w:type="dxa"/>
            <w:vAlign w:val="bottom"/>
            <w:tcBorders>
              <w:top w:val="single" w:sz="8" w:color="0000FF"/>
              <w:bottom w:val="single" w:sz="8" w:color="0000FF"/>
            </w:tcBorders>
            <w:gridSpan w:val="2"/>
          </w:tcPr>
          <w:p>
            <w:pPr>
              <w:spacing w:after="0" w:line="183" w:lineRule="exact"/>
              <w:rPr>
                <w:rFonts w:ascii="Arial" w:cs="Arial" w:eastAsia="Arial" w:hAnsi="Arial"/>
                <w:sz w:val="16"/>
                <w:szCs w:val="16"/>
                <w:color w:val="0000FF"/>
                <w:w w:val="91"/>
              </w:rPr>
            </w:pPr>
            <w:hyperlink r:id="rId445">
              <w:r>
                <w:rPr>
                  <w:rFonts w:ascii="Arial" w:cs="Arial" w:eastAsia="Arial" w:hAnsi="Arial"/>
                  <w:sz w:val="16"/>
                  <w:szCs w:val="16"/>
                  <w:color w:val="0000FF"/>
                  <w:w w:val="91"/>
                </w:rPr>
                <w:t>239412) filed on June 24, 2020).</w:t>
              </w:r>
            </w:hyperlink>
          </w:p>
        </w:tc>
        <w:tc>
          <w:tcPr>
            <w:tcW w:w="20" w:type="dxa"/>
            <w:vAlign w:val="bottom"/>
            <w:tcBorders>
              <w:top w:val="single" w:sz="8" w:color="0000FF"/>
              <w:bottom w:val="single" w:sz="8" w:color="0000EE"/>
            </w:tcBorders>
          </w:tcPr>
          <w:p>
            <w:pPr>
              <w:spacing w:after="0"/>
              <w:rPr>
                <w:sz w:val="15"/>
                <w:szCs w:val="15"/>
                <w:color w:val="auto"/>
              </w:rPr>
            </w:pPr>
          </w:p>
        </w:tc>
        <w:tc>
          <w:tcPr>
            <w:tcW w:w="7440" w:type="dxa"/>
            <w:vAlign w:val="bottom"/>
            <w:tcBorders>
              <w:top w:val="single" w:sz="8" w:color="0000FF"/>
            </w:tcBorders>
            <w:gridSpan w:val="21"/>
          </w:tcPr>
          <w:p>
            <w:pPr>
              <w:spacing w:after="0"/>
              <w:rPr>
                <w:sz w:val="15"/>
                <w:szCs w:val="15"/>
                <w:color w:val="auto"/>
              </w:rPr>
            </w:pPr>
          </w:p>
        </w:tc>
        <w:tc>
          <w:tcPr>
            <w:tcW w:w="200" w:type="dxa"/>
            <w:vAlign w:val="bottom"/>
            <w:gridSpan w:val="6"/>
          </w:tcPr>
          <w:p>
            <w:pPr>
              <w:spacing w:after="0"/>
              <w:rPr>
                <w:sz w:val="15"/>
                <w:szCs w:val="15"/>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231F20"/>
              </w:rPr>
              <w:t>10.5#</w:t>
            </w:r>
          </w:p>
        </w:tc>
        <w:tc>
          <w:tcPr>
            <w:tcW w:w="360" w:type="dxa"/>
            <w:vAlign w:val="bottom"/>
          </w:tcPr>
          <w:p>
            <w:pPr>
              <w:spacing w:after="0"/>
              <w:rPr>
                <w:sz w:val="24"/>
                <w:szCs w:val="24"/>
                <w:color w:val="auto"/>
              </w:rPr>
            </w:pPr>
          </w:p>
        </w:tc>
        <w:tc>
          <w:tcPr>
            <w:tcW w:w="9640" w:type="dxa"/>
            <w:vAlign w:val="bottom"/>
            <w:tcBorders>
              <w:bottom w:val="single" w:sz="8" w:color="0000FF"/>
            </w:tcBorders>
            <w:gridSpan w:val="25"/>
          </w:tcPr>
          <w:p>
            <w:pPr>
              <w:spacing w:after="0"/>
              <w:rPr>
                <w:rFonts w:ascii="Arial" w:cs="Arial" w:eastAsia="Arial" w:hAnsi="Arial"/>
                <w:sz w:val="16"/>
                <w:szCs w:val="16"/>
                <w:color w:val="0000FF"/>
                <w:w w:val="92"/>
              </w:rPr>
            </w:pPr>
            <w:hyperlink r:id="rId446">
              <w:r>
                <w:rPr>
                  <w:rFonts w:ascii="Arial" w:cs="Arial" w:eastAsia="Arial" w:hAnsi="Arial"/>
                  <w:sz w:val="16"/>
                  <w:szCs w:val="16"/>
                  <w:color w:val="0000FF"/>
                  <w:w w:val="92"/>
                </w:rPr>
                <w:t>Amended and Restated Non-Employee Director Compensation Policy, effective as of April 1, 2021 (incorporated by reference to Exhibit 10.5 to the</w:t>
              </w:r>
            </w:hyperlink>
          </w:p>
        </w:tc>
        <w:tc>
          <w:tcPr>
            <w:tcW w:w="140" w:type="dxa"/>
            <w:vAlign w:val="bottom"/>
            <w:gridSpan w:val="5"/>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80" w:type="dxa"/>
            <w:vAlign w:val="bottom"/>
            <w:tcBorders>
              <w:bottom w:val="single" w:sz="8" w:color="0000FF"/>
            </w:tcBorders>
            <w:gridSpan w:val="14"/>
          </w:tcPr>
          <w:p>
            <w:pPr>
              <w:spacing w:after="0" w:line="183" w:lineRule="exact"/>
              <w:rPr>
                <w:rFonts w:ascii="Arial" w:cs="Arial" w:eastAsia="Arial" w:hAnsi="Arial"/>
                <w:sz w:val="16"/>
                <w:szCs w:val="16"/>
                <w:color w:val="0000FF"/>
                <w:w w:val="92"/>
              </w:rPr>
            </w:pPr>
            <w:hyperlink r:id="rId446">
              <w:r>
                <w:rPr>
                  <w:rFonts w:ascii="Arial" w:cs="Arial" w:eastAsia="Arial" w:hAnsi="Arial"/>
                  <w:sz w:val="16"/>
                  <w:szCs w:val="16"/>
                  <w:color w:val="0000FF"/>
                  <w:w w:val="92"/>
                </w:rPr>
                <w:t>Registrant’s Registration Statement on Form S-1 (File No. 333-255583) filed on April 28, 2021).</w:t>
              </w:r>
            </w:hyperlink>
          </w:p>
        </w:tc>
        <w:tc>
          <w:tcPr>
            <w:tcW w:w="20" w:type="dxa"/>
            <w:vAlign w:val="bottom"/>
            <w:tcBorders>
              <w:bottom w:val="single" w:sz="8" w:color="0000EE"/>
            </w:tcBorders>
          </w:tcPr>
          <w:p>
            <w:pPr>
              <w:spacing w:after="0"/>
              <w:rPr>
                <w:sz w:val="15"/>
                <w:szCs w:val="15"/>
                <w:color w:val="auto"/>
              </w:rPr>
            </w:pPr>
          </w:p>
        </w:tc>
        <w:tc>
          <w:tcPr>
            <w:tcW w:w="3480" w:type="dxa"/>
            <w:vAlign w:val="bottom"/>
            <w:gridSpan w:val="15"/>
          </w:tcPr>
          <w:p>
            <w:pPr>
              <w:spacing w:after="0"/>
              <w:rPr>
                <w:sz w:val="15"/>
                <w:szCs w:val="15"/>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231F20"/>
              </w:rPr>
              <w:t>10.6#</w:t>
            </w:r>
          </w:p>
        </w:tc>
        <w:tc>
          <w:tcPr>
            <w:tcW w:w="360" w:type="dxa"/>
            <w:vAlign w:val="bottom"/>
          </w:tcPr>
          <w:p>
            <w:pPr>
              <w:spacing w:after="0"/>
              <w:rPr>
                <w:sz w:val="24"/>
                <w:szCs w:val="24"/>
                <w:color w:val="auto"/>
              </w:rPr>
            </w:pPr>
          </w:p>
        </w:tc>
        <w:tc>
          <w:tcPr>
            <w:tcW w:w="9740" w:type="dxa"/>
            <w:vAlign w:val="bottom"/>
            <w:tcBorders>
              <w:bottom w:val="single" w:sz="8" w:color="0000FF"/>
            </w:tcBorders>
            <w:gridSpan w:val="29"/>
          </w:tcPr>
          <w:p>
            <w:pPr>
              <w:spacing w:after="0"/>
              <w:rPr>
                <w:rFonts w:ascii="Arial" w:cs="Arial" w:eastAsia="Arial" w:hAnsi="Arial"/>
                <w:sz w:val="16"/>
                <w:szCs w:val="16"/>
                <w:color w:val="0000FF"/>
                <w:w w:val="92"/>
              </w:rPr>
            </w:pPr>
            <w:hyperlink r:id="rId447">
              <w:r>
                <w:rPr>
                  <w:rFonts w:ascii="Arial" w:cs="Arial" w:eastAsia="Arial" w:hAnsi="Arial"/>
                  <w:sz w:val="16"/>
                  <w:szCs w:val="16"/>
                  <w:color w:val="0000FF"/>
                  <w:w w:val="92"/>
                </w:rPr>
                <w:t>Form of Indemnification Agreement between the Registrant and each of its directors and executive officers (incorporated by reference to Exhibit 10.6</w:t>
              </w:r>
            </w:hyperlink>
          </w:p>
        </w:tc>
        <w:tc>
          <w:tcPr>
            <w:tcW w:w="40" w:type="dxa"/>
            <w:vAlign w:val="bottom"/>
          </w:tcPr>
          <w:p>
            <w:pPr>
              <w:spacing w:after="0"/>
              <w:rPr>
                <w:sz w:val="24"/>
                <w:szCs w:val="24"/>
                <w:color w:val="auto"/>
              </w:rPr>
            </w:pPr>
          </w:p>
        </w:tc>
      </w:tr>
      <w:tr>
        <w:trPr>
          <w:trHeight w:val="182"/>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80" w:type="dxa"/>
            <w:vAlign w:val="bottom"/>
            <w:gridSpan w:val="30"/>
          </w:tcPr>
          <w:p>
            <w:pPr>
              <w:spacing w:after="0" w:line="183" w:lineRule="exact"/>
              <w:rPr>
                <w:rFonts w:ascii="Arial" w:cs="Arial" w:eastAsia="Arial" w:hAnsi="Arial"/>
                <w:sz w:val="16"/>
                <w:szCs w:val="16"/>
                <w:color w:val="0000FF"/>
              </w:rPr>
            </w:pPr>
            <w:hyperlink r:id="rId447">
              <w:r>
                <w:rPr>
                  <w:rFonts w:ascii="Arial" w:cs="Arial" w:eastAsia="Arial" w:hAnsi="Arial"/>
                  <w:sz w:val="16"/>
                  <w:szCs w:val="16"/>
                  <w:color w:val="0000FF"/>
                </w:rPr>
                <w:t>of the Registrant’s Registration Statement on Form S-1 (File No. 333-239412) filed on June 24, 2020).</w:t>
              </w:r>
            </w:hyperlink>
          </w:p>
        </w:tc>
      </w:tr>
      <w:tr>
        <w:trPr>
          <w:trHeight w:val="20"/>
        </w:trPr>
        <w:tc>
          <w:tcPr>
            <w:tcW w:w="1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760" w:type="dxa"/>
            <w:vAlign w:val="bottom"/>
            <w:tcBorders>
              <w:right w:val="single" w:sz="8" w:color="0000FF"/>
            </w:tcBorders>
            <w:gridSpan w:val="9"/>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231F20"/>
              </w:rPr>
              <w:t>10.7#</w:t>
            </w:r>
          </w:p>
        </w:tc>
        <w:tc>
          <w:tcPr>
            <w:tcW w:w="360" w:type="dxa"/>
            <w:vAlign w:val="bottom"/>
          </w:tcPr>
          <w:p>
            <w:pPr>
              <w:spacing w:after="0"/>
              <w:rPr>
                <w:sz w:val="24"/>
                <w:szCs w:val="24"/>
                <w:color w:val="auto"/>
              </w:rPr>
            </w:pPr>
          </w:p>
        </w:tc>
        <w:tc>
          <w:tcPr>
            <w:tcW w:w="9500" w:type="dxa"/>
            <w:vAlign w:val="bottom"/>
            <w:tcBorders>
              <w:bottom w:val="single" w:sz="8" w:color="0000FF"/>
            </w:tcBorders>
            <w:gridSpan w:val="21"/>
          </w:tcPr>
          <w:p>
            <w:pPr>
              <w:spacing w:after="0"/>
              <w:rPr>
                <w:rFonts w:ascii="Arial" w:cs="Arial" w:eastAsia="Arial" w:hAnsi="Arial"/>
                <w:sz w:val="16"/>
                <w:szCs w:val="16"/>
                <w:color w:val="0000FF"/>
                <w:w w:val="92"/>
              </w:rPr>
            </w:pPr>
            <w:hyperlink r:id="rId448">
              <w:r>
                <w:rPr>
                  <w:rFonts w:ascii="Arial" w:cs="Arial" w:eastAsia="Arial" w:hAnsi="Arial"/>
                  <w:sz w:val="16"/>
                  <w:szCs w:val="16"/>
                  <w:color w:val="0000FF"/>
                  <w:w w:val="92"/>
                </w:rPr>
                <w:t>Form of Amended and Restated Employment Agreement (incorporated by reference to Exhibit 10.8 of the Registrant’s Registration Statement on</w:t>
              </w:r>
            </w:hyperlink>
          </w:p>
        </w:tc>
        <w:tc>
          <w:tcPr>
            <w:tcW w:w="280" w:type="dxa"/>
            <w:vAlign w:val="bottom"/>
            <w:gridSpan w:val="9"/>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80" w:type="dxa"/>
            <w:vAlign w:val="bottom"/>
            <w:gridSpan w:val="30"/>
          </w:tcPr>
          <w:p>
            <w:pPr>
              <w:spacing w:after="0" w:line="183" w:lineRule="exact"/>
              <w:rPr>
                <w:rFonts w:ascii="Arial" w:cs="Arial" w:eastAsia="Arial" w:hAnsi="Arial"/>
                <w:sz w:val="16"/>
                <w:szCs w:val="16"/>
                <w:color w:val="0000FF"/>
              </w:rPr>
            </w:pPr>
            <w:hyperlink r:id="rId448">
              <w:r>
                <w:rPr>
                  <w:rFonts w:ascii="Arial" w:cs="Arial" w:eastAsia="Arial" w:hAnsi="Arial"/>
                  <w:sz w:val="16"/>
                  <w:szCs w:val="16"/>
                  <w:color w:val="0000FF"/>
                </w:rPr>
                <w:t>Form S-1/A (File No. 333-239412) filed on July 9, 2020).</w:t>
              </w:r>
            </w:hyperlink>
          </w:p>
        </w:tc>
      </w:tr>
      <w:tr>
        <w:trPr>
          <w:trHeight w:val="20"/>
        </w:trPr>
        <w:tc>
          <w:tcPr>
            <w:tcW w:w="1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760" w:type="dxa"/>
            <w:vAlign w:val="bottom"/>
            <w:tcBorders>
              <w:right w:val="single" w:sz="8" w:color="0000EE"/>
            </w:tcBorders>
            <w:gridSpan w:val="9"/>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auto"/>
              </w:rPr>
              <w:t>10.8#</w:t>
            </w:r>
          </w:p>
        </w:tc>
        <w:tc>
          <w:tcPr>
            <w:tcW w:w="360" w:type="dxa"/>
            <w:vAlign w:val="bottom"/>
          </w:tcPr>
          <w:p>
            <w:pPr>
              <w:spacing w:after="0"/>
              <w:rPr>
                <w:sz w:val="24"/>
                <w:szCs w:val="24"/>
                <w:color w:val="auto"/>
              </w:rPr>
            </w:pPr>
          </w:p>
        </w:tc>
        <w:tc>
          <w:tcPr>
            <w:tcW w:w="9720" w:type="dxa"/>
            <w:vAlign w:val="bottom"/>
            <w:tcBorders>
              <w:bottom w:val="single" w:sz="8" w:color="0000FF"/>
            </w:tcBorders>
            <w:gridSpan w:val="28"/>
          </w:tcPr>
          <w:p>
            <w:pPr>
              <w:spacing w:after="0"/>
              <w:rPr>
                <w:rFonts w:ascii="Arial" w:cs="Arial" w:eastAsia="Arial" w:hAnsi="Arial"/>
                <w:sz w:val="16"/>
                <w:szCs w:val="16"/>
                <w:color w:val="0000FF"/>
                <w:w w:val="91"/>
              </w:rPr>
            </w:pPr>
            <w:hyperlink r:id="rId449">
              <w:r>
                <w:rPr>
                  <w:rFonts w:ascii="Arial" w:cs="Arial" w:eastAsia="Arial" w:hAnsi="Arial"/>
                  <w:sz w:val="16"/>
                  <w:szCs w:val="16"/>
                  <w:color w:val="0000FF"/>
                  <w:w w:val="91"/>
                </w:rPr>
                <w:t>Amended and Restated Employment Agreement, by and between the Registrant and Sanjiv K. Patel dated March 25, 2020 (incorporated by reference</w:t>
              </w:r>
            </w:hyperlink>
          </w:p>
        </w:tc>
        <w:tc>
          <w:tcPr>
            <w:tcW w:w="60" w:type="dxa"/>
            <w:vAlign w:val="bottom"/>
            <w:gridSpan w:val="2"/>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60" w:type="dxa"/>
            <w:vAlign w:val="bottom"/>
            <w:tcBorders>
              <w:bottom w:val="single" w:sz="8" w:color="0000FF"/>
            </w:tcBorders>
            <w:gridSpan w:val="17"/>
          </w:tcPr>
          <w:p>
            <w:pPr>
              <w:spacing w:after="0" w:line="183" w:lineRule="exact"/>
              <w:rPr>
                <w:rFonts w:ascii="Arial" w:cs="Arial" w:eastAsia="Arial" w:hAnsi="Arial"/>
                <w:sz w:val="16"/>
                <w:szCs w:val="16"/>
                <w:color w:val="0000FF"/>
                <w:w w:val="92"/>
              </w:rPr>
            </w:pPr>
            <w:hyperlink r:id="rId449">
              <w:r>
                <w:rPr>
                  <w:rFonts w:ascii="Arial" w:cs="Arial" w:eastAsia="Arial" w:hAnsi="Arial"/>
                  <w:sz w:val="16"/>
                  <w:szCs w:val="16"/>
                  <w:color w:val="0000FF"/>
                  <w:w w:val="92"/>
                </w:rPr>
                <w:t>to Exhibit 10.9 of the Registrant’s Registration Statement on Form S-1 (File No. 333-239412) filed on June 24, 2020).</w:t>
              </w:r>
            </w:hyperlink>
          </w:p>
        </w:tc>
        <w:tc>
          <w:tcPr>
            <w:tcW w:w="20" w:type="dxa"/>
            <w:vAlign w:val="bottom"/>
            <w:tcBorders>
              <w:bottom w:val="single" w:sz="8" w:color="0000EE"/>
            </w:tcBorders>
          </w:tcPr>
          <w:p>
            <w:pPr>
              <w:spacing w:after="0"/>
              <w:rPr>
                <w:sz w:val="15"/>
                <w:szCs w:val="15"/>
                <w:color w:val="auto"/>
              </w:rPr>
            </w:pPr>
          </w:p>
        </w:tc>
        <w:tc>
          <w:tcPr>
            <w:tcW w:w="2100" w:type="dxa"/>
            <w:vAlign w:val="bottom"/>
            <w:gridSpan w:val="12"/>
          </w:tcPr>
          <w:p>
            <w:pPr>
              <w:spacing w:after="0"/>
              <w:rPr>
                <w:sz w:val="15"/>
                <w:szCs w:val="15"/>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auto"/>
              </w:rPr>
              <w:t>10.9#</w:t>
            </w:r>
          </w:p>
        </w:tc>
        <w:tc>
          <w:tcPr>
            <w:tcW w:w="360" w:type="dxa"/>
            <w:vAlign w:val="bottom"/>
          </w:tcPr>
          <w:p>
            <w:pPr>
              <w:spacing w:after="0"/>
              <w:rPr>
                <w:sz w:val="24"/>
                <w:szCs w:val="24"/>
                <w:color w:val="auto"/>
              </w:rPr>
            </w:pPr>
          </w:p>
        </w:tc>
        <w:tc>
          <w:tcPr>
            <w:tcW w:w="9500" w:type="dxa"/>
            <w:vAlign w:val="bottom"/>
            <w:tcBorders>
              <w:bottom w:val="single" w:sz="8" w:color="0000FF"/>
            </w:tcBorders>
            <w:gridSpan w:val="21"/>
          </w:tcPr>
          <w:p>
            <w:pPr>
              <w:spacing w:after="0"/>
              <w:rPr>
                <w:rFonts w:ascii="Arial" w:cs="Arial" w:eastAsia="Arial" w:hAnsi="Arial"/>
                <w:sz w:val="16"/>
                <w:szCs w:val="16"/>
                <w:color w:val="0000FF"/>
                <w:w w:val="91"/>
              </w:rPr>
            </w:pPr>
            <w:hyperlink r:id="rId450">
              <w:r>
                <w:rPr>
                  <w:rFonts w:ascii="Arial" w:cs="Arial" w:eastAsia="Arial" w:hAnsi="Arial"/>
                  <w:sz w:val="16"/>
                  <w:szCs w:val="16"/>
                  <w:color w:val="0000FF"/>
                  <w:w w:val="91"/>
                </w:rPr>
                <w:t>Retention Agreement by and between the Registrant and Donald Bergstrom, dated May 10, 2021 (incorporated by reference to Exhibit 10.2 of the</w:t>
              </w:r>
            </w:hyperlink>
          </w:p>
        </w:tc>
        <w:tc>
          <w:tcPr>
            <w:tcW w:w="280" w:type="dxa"/>
            <w:vAlign w:val="bottom"/>
            <w:gridSpan w:val="9"/>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80" w:type="dxa"/>
            <w:vAlign w:val="bottom"/>
            <w:gridSpan w:val="30"/>
          </w:tcPr>
          <w:p>
            <w:pPr>
              <w:spacing w:after="0" w:line="183" w:lineRule="exact"/>
              <w:rPr>
                <w:rFonts w:ascii="Arial" w:cs="Arial" w:eastAsia="Arial" w:hAnsi="Arial"/>
                <w:sz w:val="16"/>
                <w:szCs w:val="16"/>
                <w:color w:val="0000FF"/>
              </w:rPr>
            </w:pPr>
            <w:hyperlink r:id="rId450">
              <w:r>
                <w:rPr>
                  <w:rFonts w:ascii="Arial" w:cs="Arial" w:eastAsia="Arial" w:hAnsi="Arial"/>
                  <w:sz w:val="16"/>
                  <w:szCs w:val="16"/>
                  <w:color w:val="0000FF"/>
                </w:rPr>
                <w:t>Registrant’s Form 10-Q (File No. 001-39385) filed on August 12, 2021).</w:t>
              </w:r>
            </w:hyperlink>
          </w:p>
        </w:tc>
      </w:tr>
      <w:tr>
        <w:trPr>
          <w:trHeight w:val="20"/>
        </w:trPr>
        <w:tc>
          <w:tcPr>
            <w:tcW w:w="1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720" w:type="dxa"/>
            <w:vAlign w:val="bottom"/>
            <w:tcBorders>
              <w:right w:val="single" w:sz="8" w:color="0000EE"/>
            </w:tcBorders>
            <w:gridSpan w:val="10"/>
            <w:shd w:val="clear" w:color="auto" w:fill="0000FF"/>
          </w:tcPr>
          <w:p>
            <w:pPr>
              <w:spacing w:after="0" w:line="20" w:lineRule="exact"/>
              <w:rPr>
                <w:sz w:val="1"/>
                <w:szCs w:val="1"/>
                <w:color w:val="auto"/>
              </w:rPr>
            </w:pPr>
          </w:p>
        </w:tc>
        <w:tc>
          <w:tcPr>
            <w:tcW w:w="478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412"/>
        </w:trPr>
        <w:tc>
          <w:tcPr>
            <w:tcW w:w="1100" w:type="dxa"/>
            <w:vAlign w:val="bottom"/>
          </w:tcPr>
          <w:p>
            <w:pPr>
              <w:ind w:left="20"/>
              <w:spacing w:after="0"/>
              <w:rPr>
                <w:sz w:val="20"/>
                <w:szCs w:val="20"/>
                <w:color w:val="auto"/>
              </w:rPr>
            </w:pPr>
            <w:r>
              <w:rPr>
                <w:rFonts w:ascii="Arial" w:cs="Arial" w:eastAsia="Arial" w:hAnsi="Arial"/>
                <w:sz w:val="16"/>
                <w:szCs w:val="16"/>
                <w:color w:val="auto"/>
              </w:rPr>
              <w:t>10.10†</w:t>
            </w:r>
          </w:p>
        </w:tc>
        <w:tc>
          <w:tcPr>
            <w:tcW w:w="360" w:type="dxa"/>
            <w:vAlign w:val="bottom"/>
          </w:tcPr>
          <w:p>
            <w:pPr>
              <w:spacing w:after="0"/>
              <w:rPr>
                <w:sz w:val="24"/>
                <w:szCs w:val="24"/>
                <w:color w:val="auto"/>
              </w:rPr>
            </w:pPr>
          </w:p>
        </w:tc>
        <w:tc>
          <w:tcPr>
            <w:tcW w:w="9540" w:type="dxa"/>
            <w:vAlign w:val="bottom"/>
            <w:tcBorders>
              <w:bottom w:val="single" w:sz="8" w:color="0000FF"/>
            </w:tcBorders>
            <w:gridSpan w:val="23"/>
          </w:tcPr>
          <w:p>
            <w:pPr>
              <w:spacing w:after="0"/>
              <w:rPr>
                <w:rFonts w:ascii="Arial" w:cs="Arial" w:eastAsia="Arial" w:hAnsi="Arial"/>
                <w:sz w:val="16"/>
                <w:szCs w:val="16"/>
                <w:color w:val="0000FF"/>
                <w:w w:val="90"/>
              </w:rPr>
            </w:pPr>
            <w:hyperlink r:id="rId451">
              <w:r>
                <w:rPr>
                  <w:rFonts w:ascii="Arial" w:cs="Arial" w:eastAsia="Arial" w:hAnsi="Arial"/>
                  <w:sz w:val="16"/>
                  <w:szCs w:val="16"/>
                  <w:color w:val="0000FF"/>
                  <w:w w:val="90"/>
                </w:rPr>
                <w:t>Amended and Restated Collaboration and License Agreement, by and between the Registrant and D. E. Shaw Research, LLC, dated June 15, 2020</w:t>
              </w:r>
            </w:hyperlink>
          </w:p>
        </w:tc>
        <w:tc>
          <w:tcPr>
            <w:tcW w:w="240" w:type="dxa"/>
            <w:vAlign w:val="bottom"/>
            <w:gridSpan w:val="7"/>
          </w:tcPr>
          <w:p>
            <w:pPr>
              <w:spacing w:after="0"/>
              <w:rPr>
                <w:sz w:val="24"/>
                <w:szCs w:val="24"/>
                <w:color w:val="auto"/>
              </w:rPr>
            </w:pPr>
          </w:p>
        </w:tc>
      </w:tr>
      <w:tr>
        <w:trPr>
          <w:trHeight w:val="183"/>
        </w:trPr>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80" w:type="dxa"/>
            <w:vAlign w:val="bottom"/>
            <w:gridSpan w:val="30"/>
          </w:tcPr>
          <w:p>
            <w:pPr>
              <w:spacing w:after="0" w:line="183" w:lineRule="exact"/>
              <w:rPr>
                <w:rFonts w:ascii="Arial" w:cs="Arial" w:eastAsia="Arial" w:hAnsi="Arial"/>
                <w:sz w:val="16"/>
                <w:szCs w:val="16"/>
                <w:color w:val="0000FF"/>
                <w:w w:val="94"/>
              </w:rPr>
            </w:pPr>
            <w:hyperlink r:id="rId451">
              <w:r>
                <w:rPr>
                  <w:rFonts w:ascii="Arial" w:cs="Arial" w:eastAsia="Arial" w:hAnsi="Arial"/>
                  <w:sz w:val="16"/>
                  <w:szCs w:val="16"/>
                  <w:color w:val="0000FF"/>
                  <w:w w:val="94"/>
                </w:rPr>
                <w:t>(incorporated by reference to Exhibit 10.10 of the Registrant’s Registration Statement on Form S-1 (File No. 333-239412) filed on June 24, 2020).</w:t>
              </w:r>
            </w:hyperlink>
          </w:p>
        </w:tc>
      </w:tr>
      <w:tr>
        <w:trPr>
          <w:trHeight w:val="20"/>
        </w:trPr>
        <w:tc>
          <w:tcPr>
            <w:tcW w:w="1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84"/>
        </w:trPr>
        <w:tc>
          <w:tcPr>
            <w:tcW w:w="1460" w:type="dxa"/>
            <w:vAlign w:val="bottom"/>
          </w:tcPr>
          <w:p>
            <w:pPr>
              <w:ind w:left="20"/>
              <w:spacing w:after="0"/>
              <w:rPr>
                <w:sz w:val="20"/>
                <w:szCs w:val="20"/>
                <w:color w:val="auto"/>
              </w:rPr>
            </w:pPr>
            <w:r>
              <w:rPr>
                <w:rFonts w:ascii="Arial" w:cs="Arial" w:eastAsia="Arial" w:hAnsi="Arial"/>
                <w:sz w:val="16"/>
                <w:szCs w:val="16"/>
                <w:color w:val="auto"/>
              </w:rPr>
              <w:t>10.11†</w:t>
            </w:r>
          </w:p>
        </w:tc>
        <w:tc>
          <w:tcPr>
            <w:tcW w:w="9780" w:type="dxa"/>
            <w:vAlign w:val="bottom"/>
            <w:gridSpan w:val="22"/>
          </w:tcPr>
          <w:p>
            <w:pPr>
              <w:spacing w:after="0"/>
              <w:rPr>
                <w:rFonts w:ascii="Arial" w:cs="Arial" w:eastAsia="Arial" w:hAnsi="Arial"/>
                <w:sz w:val="16"/>
                <w:szCs w:val="16"/>
                <w:color w:val="0000FF"/>
                <w:w w:val="94"/>
              </w:rPr>
            </w:pPr>
            <w:hyperlink r:id="rId453">
              <w:r>
                <w:rPr>
                  <w:rFonts w:ascii="Arial" w:cs="Arial" w:eastAsia="Arial" w:hAnsi="Arial"/>
                  <w:sz w:val="16"/>
                  <w:szCs w:val="16"/>
                  <w:color w:val="0000FF"/>
                  <w:w w:val="94"/>
                </w:rPr>
                <w:t>Amendment No. AR1 to Amended and Restated Collaboration and License Agreement, by and between the Registrant and D. E. Shaw Research,</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rFonts w:ascii="Arial" w:cs="Arial" w:eastAsia="Arial" w:hAnsi="Arial"/>
                <w:sz w:val="16"/>
                <w:szCs w:val="16"/>
                <w:color w:val="0000FF"/>
                <w:w w:val="96"/>
              </w:rPr>
            </w:pPr>
            <w:hyperlink r:id="rId453">
              <w:r>
                <w:rPr>
                  <w:rFonts w:ascii="Arial" w:cs="Arial" w:eastAsia="Arial" w:hAnsi="Arial"/>
                  <w:sz w:val="16"/>
                  <w:szCs w:val="16"/>
                  <w:color w:val="0000FF"/>
                  <w:w w:val="96"/>
                </w:rPr>
                <w:t>LLC, dated February 4, 2021 (incorporated by reference to Exhibit 10.10 to the Registrant’s Registration Statement on Form S-1 (File No. 333-</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rFonts w:ascii="Arial" w:cs="Arial" w:eastAsia="Arial" w:hAnsi="Arial"/>
                <w:sz w:val="16"/>
                <w:szCs w:val="16"/>
                <w:color w:val="0000FF"/>
              </w:rPr>
            </w:pPr>
            <w:hyperlink r:id="rId453">
              <w:r>
                <w:rPr>
                  <w:rFonts w:ascii="Arial" w:cs="Arial" w:eastAsia="Arial" w:hAnsi="Arial"/>
                  <w:sz w:val="16"/>
                  <w:szCs w:val="16"/>
                  <w:color w:val="0000FF"/>
                </w:rPr>
                <w:t>255583) filed with the SEC on April 28, 2021).</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10.12</w:t>
            </w:r>
          </w:p>
        </w:tc>
        <w:tc>
          <w:tcPr>
            <w:tcW w:w="9780" w:type="dxa"/>
            <w:vAlign w:val="bottom"/>
            <w:gridSpan w:val="22"/>
          </w:tcPr>
          <w:p>
            <w:pPr>
              <w:spacing w:after="0"/>
              <w:rPr>
                <w:rFonts w:ascii="Arial" w:cs="Arial" w:eastAsia="Arial" w:hAnsi="Arial"/>
                <w:sz w:val="16"/>
                <w:szCs w:val="16"/>
                <w:color w:val="0000FF"/>
                <w:w w:val="94"/>
              </w:rPr>
            </w:pPr>
            <w:hyperlink r:id="rId454">
              <w:r>
                <w:rPr>
                  <w:rFonts w:ascii="Arial" w:cs="Arial" w:eastAsia="Arial" w:hAnsi="Arial"/>
                  <w:sz w:val="16"/>
                  <w:szCs w:val="16"/>
                  <w:color w:val="0000FF"/>
                  <w:w w:val="94"/>
                </w:rPr>
                <w:t>Amendment No. AR2 to Amended and Restated Collaboration and License Agreement, by and between the Registrant and D. E. Shaw Research,</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rFonts w:ascii="Arial" w:cs="Arial" w:eastAsia="Arial" w:hAnsi="Arial"/>
                <w:sz w:val="16"/>
                <w:szCs w:val="16"/>
                <w:color w:val="0000FF"/>
                <w:w w:val="96"/>
              </w:rPr>
            </w:pPr>
            <w:hyperlink r:id="rId454">
              <w:r>
                <w:rPr>
                  <w:rFonts w:ascii="Arial" w:cs="Arial" w:eastAsia="Arial" w:hAnsi="Arial"/>
                  <w:sz w:val="16"/>
                  <w:szCs w:val="16"/>
                  <w:color w:val="0000FF"/>
                  <w:w w:val="96"/>
                </w:rPr>
                <w:t>LLC, dated May 12, 2021 (incorporated by reference to Exhibit 10.4 to the Registrant’s Form 10-Q (File No. 001-39385) filed on May 13, 2021).</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ind w:left="20"/>
              <w:spacing w:after="0"/>
              <w:rPr>
                <w:sz w:val="20"/>
                <w:szCs w:val="20"/>
                <w:color w:val="auto"/>
              </w:rPr>
            </w:pPr>
            <w:r>
              <w:rPr>
                <w:rFonts w:ascii="Arial" w:cs="Arial" w:eastAsia="Arial" w:hAnsi="Arial"/>
                <w:sz w:val="16"/>
                <w:szCs w:val="16"/>
                <w:color w:val="auto"/>
              </w:rPr>
              <w:t>10.13†</w:t>
            </w: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460" w:type="dxa"/>
            <w:vAlign w:val="bottom"/>
            <w:vMerge w:val="continue"/>
          </w:tcPr>
          <w:p>
            <w:pPr>
              <w:spacing w:after="0"/>
              <w:rPr>
                <w:sz w:val="24"/>
                <w:szCs w:val="24"/>
                <w:color w:val="auto"/>
              </w:rPr>
            </w:pPr>
          </w:p>
        </w:tc>
        <w:tc>
          <w:tcPr>
            <w:tcW w:w="9780" w:type="dxa"/>
            <w:vAlign w:val="bottom"/>
            <w:gridSpan w:val="22"/>
          </w:tcPr>
          <w:p>
            <w:pPr>
              <w:spacing w:after="0"/>
              <w:rPr>
                <w:rFonts w:ascii="Arial" w:cs="Arial" w:eastAsia="Arial" w:hAnsi="Arial"/>
                <w:sz w:val="16"/>
                <w:szCs w:val="16"/>
                <w:color w:val="0000FF"/>
                <w:w w:val="91"/>
              </w:rPr>
            </w:pPr>
            <w:hyperlink r:id="rId455">
              <w:r>
                <w:rPr>
                  <w:rFonts w:ascii="Arial" w:cs="Arial" w:eastAsia="Arial" w:hAnsi="Arial"/>
                  <w:sz w:val="16"/>
                  <w:szCs w:val="16"/>
                  <w:color w:val="0000FF"/>
                  <w:w w:val="91"/>
                </w:rPr>
                <w:t>Amendment No. AR3 to Amended and Restated Collaboration and License Agreement, by and between the Registrant and D.E. Shaw Research, LLC,</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rFonts w:ascii="Arial" w:cs="Arial" w:eastAsia="Arial" w:hAnsi="Arial"/>
                <w:sz w:val="16"/>
                <w:szCs w:val="16"/>
                <w:color w:val="0000FF"/>
                <w:w w:val="98"/>
              </w:rPr>
            </w:pPr>
            <w:hyperlink r:id="rId455">
              <w:r>
                <w:rPr>
                  <w:rFonts w:ascii="Arial" w:cs="Arial" w:eastAsia="Arial" w:hAnsi="Arial"/>
                  <w:sz w:val="16"/>
                  <w:szCs w:val="16"/>
                  <w:color w:val="0000FF"/>
                  <w:w w:val="98"/>
                </w:rPr>
                <w:t>dated January 27, 2022 (incorporated by reference to Exhibit 10.1 to the Registrant’s Form 10-Q (File No. 001-39385) filed on May 5, 2022).</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10.14†</w:t>
            </w:r>
          </w:p>
        </w:tc>
        <w:tc>
          <w:tcPr>
            <w:tcW w:w="9780" w:type="dxa"/>
            <w:vAlign w:val="bottom"/>
            <w:gridSpan w:val="22"/>
          </w:tcPr>
          <w:p>
            <w:pPr>
              <w:spacing w:after="0"/>
              <w:rPr>
                <w:rFonts w:ascii="Arial" w:cs="Arial" w:eastAsia="Arial" w:hAnsi="Arial"/>
                <w:sz w:val="16"/>
                <w:szCs w:val="16"/>
                <w:color w:val="0000FF"/>
                <w:w w:val="92"/>
              </w:rPr>
            </w:pPr>
            <w:hyperlink r:id="rId456">
              <w:r>
                <w:rPr>
                  <w:rFonts w:ascii="Arial" w:cs="Arial" w:eastAsia="Arial" w:hAnsi="Arial"/>
                  <w:sz w:val="16"/>
                  <w:szCs w:val="16"/>
                  <w:color w:val="0000FF"/>
                  <w:w w:val="92"/>
                </w:rPr>
                <w:t>Collaboration and License Agreement, by and between the Registrant and Genentech, Inc. and F. Hoffmann-La Roche Ltd, dated as of December 11,</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rFonts w:ascii="Arial" w:cs="Arial" w:eastAsia="Arial" w:hAnsi="Arial"/>
                <w:sz w:val="16"/>
                <w:szCs w:val="16"/>
                <w:color w:val="0000FF"/>
              </w:rPr>
            </w:pPr>
            <w:hyperlink r:id="rId456">
              <w:r>
                <w:rPr>
                  <w:rFonts w:ascii="Arial" w:cs="Arial" w:eastAsia="Arial" w:hAnsi="Arial"/>
                  <w:sz w:val="16"/>
                  <w:szCs w:val="16"/>
                  <w:color w:val="0000FF"/>
                </w:rPr>
                <w:t>2020 (incorporated by reference to Exhibit 10.10 to the Registrant’s Form 10-K (File No. 001-39385) filed on March 25, 2021)</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10.15†</w:t>
            </w:r>
          </w:p>
        </w:tc>
        <w:tc>
          <w:tcPr>
            <w:tcW w:w="9780" w:type="dxa"/>
            <w:vAlign w:val="bottom"/>
            <w:gridSpan w:val="22"/>
          </w:tcPr>
          <w:p>
            <w:pPr>
              <w:spacing w:after="0"/>
              <w:rPr>
                <w:rFonts w:ascii="Arial" w:cs="Arial" w:eastAsia="Arial" w:hAnsi="Arial"/>
                <w:sz w:val="16"/>
                <w:szCs w:val="16"/>
                <w:color w:val="0000FF"/>
                <w:w w:val="92"/>
              </w:rPr>
            </w:pPr>
            <w:hyperlink r:id="rId457">
              <w:r>
                <w:rPr>
                  <w:rFonts w:ascii="Arial" w:cs="Arial" w:eastAsia="Arial" w:hAnsi="Arial"/>
                  <w:sz w:val="16"/>
                  <w:szCs w:val="16"/>
                  <w:color w:val="0000FF"/>
                  <w:w w:val="92"/>
                </w:rPr>
                <w:t>First Amendment to Collaboration and License Agreement, by and between the Registrant and Genentech, Inc. and F. Hoffmann-La Roche Ltd, dated</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rFonts w:ascii="Arial" w:cs="Arial" w:eastAsia="Arial" w:hAnsi="Arial"/>
                <w:sz w:val="16"/>
                <w:szCs w:val="16"/>
                <w:color w:val="0000FF"/>
              </w:rPr>
            </w:pPr>
            <w:hyperlink r:id="rId457">
              <w:r>
                <w:rPr>
                  <w:rFonts w:ascii="Arial" w:cs="Arial" w:eastAsia="Arial" w:hAnsi="Arial"/>
                  <w:sz w:val="16"/>
                  <w:szCs w:val="16"/>
                  <w:color w:val="0000FF"/>
                </w:rPr>
                <w:t>February 2, 2022 (incorporated by reference to Exhibit 10.2 to the Registrant’s Form 10-Q (File No. 001-39385) filed on May 5, 2022).</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10.16</w:t>
            </w:r>
          </w:p>
        </w:tc>
        <w:tc>
          <w:tcPr>
            <w:tcW w:w="9780" w:type="dxa"/>
            <w:vAlign w:val="bottom"/>
            <w:gridSpan w:val="22"/>
          </w:tcPr>
          <w:p>
            <w:pPr>
              <w:spacing w:after="0"/>
              <w:rPr>
                <w:rFonts w:ascii="Arial" w:cs="Arial" w:eastAsia="Arial" w:hAnsi="Arial"/>
                <w:sz w:val="16"/>
                <w:szCs w:val="16"/>
                <w:color w:val="0000FF"/>
                <w:w w:val="94"/>
              </w:rPr>
            </w:pPr>
            <w:hyperlink r:id="rId458">
              <w:r>
                <w:rPr>
                  <w:rFonts w:ascii="Arial" w:cs="Arial" w:eastAsia="Arial" w:hAnsi="Arial"/>
                  <w:sz w:val="16"/>
                  <w:szCs w:val="16"/>
                  <w:color w:val="0000FF"/>
                  <w:w w:val="94"/>
                </w:rPr>
                <w:t>Registration Rights Agreement by and between the Registrant and the stockholders of ZebiAI Therapeutics, Inc. dated April 22, 2021 (incorporated</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rFonts w:ascii="Arial" w:cs="Arial" w:eastAsia="Arial" w:hAnsi="Arial"/>
                <w:sz w:val="16"/>
                <w:szCs w:val="16"/>
                <w:color w:val="0000FF"/>
              </w:rPr>
            </w:pPr>
            <w:hyperlink r:id="rId458">
              <w:r>
                <w:rPr>
                  <w:rFonts w:ascii="Arial" w:cs="Arial" w:eastAsia="Arial" w:hAnsi="Arial"/>
                  <w:sz w:val="16"/>
                  <w:szCs w:val="16"/>
                  <w:color w:val="0000FF"/>
                </w:rPr>
                <w:t>by reference to Exhibit 10.14 to the Registrant’s Registration Statement on Form S-1 (File No. 333-255583) filed on April 28, 2021).</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10.17</w:t>
            </w:r>
          </w:p>
        </w:tc>
        <w:tc>
          <w:tcPr>
            <w:tcW w:w="9780" w:type="dxa"/>
            <w:vAlign w:val="bottom"/>
            <w:gridSpan w:val="22"/>
          </w:tcPr>
          <w:p>
            <w:pPr>
              <w:spacing w:after="0"/>
              <w:rPr>
                <w:rFonts w:ascii="Arial" w:cs="Arial" w:eastAsia="Arial" w:hAnsi="Arial"/>
                <w:sz w:val="16"/>
                <w:szCs w:val="16"/>
                <w:color w:val="0000FF"/>
                <w:w w:val="94"/>
              </w:rPr>
            </w:pPr>
            <w:hyperlink r:id="rId459">
              <w:r>
                <w:rPr>
                  <w:rFonts w:ascii="Arial" w:cs="Arial" w:eastAsia="Arial" w:hAnsi="Arial"/>
                  <w:sz w:val="16"/>
                  <w:szCs w:val="16"/>
                  <w:color w:val="0000FF"/>
                  <w:w w:val="94"/>
                </w:rPr>
                <w:t>Lease Agreement between the Registrant and ARE-MA REGION NO. 58, LLC, dated as of January 10, 2018 (incorporated by reference to Exhibit</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tcBorders>
              <w:left w:val="single" w:sz="8" w:color="0000FF"/>
            </w:tcBorders>
            <w:gridSpan w:val="6"/>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rFonts w:ascii="Arial" w:cs="Arial" w:eastAsia="Arial" w:hAnsi="Arial"/>
                <w:sz w:val="16"/>
                <w:szCs w:val="16"/>
                <w:color w:val="0000FF"/>
              </w:rPr>
            </w:pPr>
            <w:hyperlink r:id="rId459">
              <w:r>
                <w:rPr>
                  <w:rFonts w:ascii="Arial" w:cs="Arial" w:eastAsia="Arial" w:hAnsi="Arial"/>
                  <w:sz w:val="16"/>
                  <w:szCs w:val="16"/>
                  <w:color w:val="0000FF"/>
                </w:rPr>
                <w:t>10.</w:t>
              </w:r>
              <w:r>
                <w:rPr>
                  <w:rFonts w:ascii="Arial" w:cs="Arial" w:eastAsia="Arial" w:hAnsi="Arial"/>
                  <w:sz w:val="16"/>
                  <w:szCs w:val="16"/>
                  <w:u w:val="single" w:color="auto"/>
                  <w:color w:val="0000FF"/>
                </w:rPr>
                <w:t>7</w:t>
              </w:r>
              <w:r>
                <w:rPr>
                  <w:rFonts w:ascii="Arial" w:cs="Arial" w:eastAsia="Arial" w:hAnsi="Arial"/>
                  <w:sz w:val="16"/>
                  <w:szCs w:val="16"/>
                  <w:color w:val="0000FF"/>
                </w:rPr>
                <w:t xml:space="preserve"> of the Registrant’s Registration Statement on Form S-1 (File No. 333-239412) filed on June 24, 2020).</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10.18</w:t>
            </w:r>
          </w:p>
        </w:tc>
        <w:tc>
          <w:tcPr>
            <w:tcW w:w="9780" w:type="dxa"/>
            <w:vAlign w:val="bottom"/>
            <w:gridSpan w:val="22"/>
          </w:tcPr>
          <w:p>
            <w:pPr>
              <w:spacing w:after="0"/>
              <w:rPr>
                <w:rFonts w:ascii="Arial" w:cs="Arial" w:eastAsia="Arial" w:hAnsi="Arial"/>
                <w:sz w:val="16"/>
                <w:szCs w:val="16"/>
                <w:color w:val="0000FF"/>
                <w:w w:val="97"/>
              </w:rPr>
            </w:pPr>
            <w:hyperlink r:id="rId460">
              <w:r>
                <w:rPr>
                  <w:rFonts w:ascii="Arial" w:cs="Arial" w:eastAsia="Arial" w:hAnsi="Arial"/>
                  <w:sz w:val="16"/>
                  <w:szCs w:val="16"/>
                  <w:color w:val="0000FF"/>
                  <w:w w:val="97"/>
                </w:rPr>
                <w:t>Second Amendment to Lease, dated as of September 23, 2020, between the Registrant and ARE-MA REGION NO. 58, LLC (incorporated by</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tcBorders>
              <w:left w:val="single" w:sz="8" w:color="0000FF"/>
            </w:tcBorders>
            <w:gridSpan w:val="6"/>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rFonts w:ascii="Arial" w:cs="Arial" w:eastAsia="Arial" w:hAnsi="Arial"/>
                <w:sz w:val="16"/>
                <w:szCs w:val="16"/>
                <w:color w:val="0000FF"/>
              </w:rPr>
            </w:pPr>
            <w:hyperlink r:id="rId460">
              <w:r>
                <w:rPr>
                  <w:rFonts w:ascii="Arial" w:cs="Arial" w:eastAsia="Arial" w:hAnsi="Arial"/>
                  <w:sz w:val="16"/>
                  <w:szCs w:val="16"/>
                  <w:color w:val="0000FF"/>
                </w:rPr>
                <w:t>reference to Exhibit 10.7 of the Registrant’s Form 10-Q (File No. 001-39385) filed on November 12, 2020).</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2640" w:type="dxa"/>
            <w:vAlign w:val="bottom"/>
            <w:tcBorders>
              <w:left w:val="single" w:sz="8" w:color="0000EE"/>
            </w:tcBorders>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10.19</w:t>
            </w:r>
          </w:p>
        </w:tc>
        <w:tc>
          <w:tcPr>
            <w:tcW w:w="9780" w:type="dxa"/>
            <w:vAlign w:val="bottom"/>
            <w:gridSpan w:val="22"/>
          </w:tcPr>
          <w:p>
            <w:pPr>
              <w:spacing w:after="0"/>
              <w:rPr>
                <w:rFonts w:ascii="Arial" w:cs="Arial" w:eastAsia="Arial" w:hAnsi="Arial"/>
                <w:sz w:val="16"/>
                <w:szCs w:val="16"/>
                <w:color w:val="0000FF"/>
                <w:w w:val="93"/>
              </w:rPr>
            </w:pPr>
            <w:hyperlink r:id="rId461">
              <w:r>
                <w:rPr>
                  <w:rFonts w:ascii="Arial" w:cs="Arial" w:eastAsia="Arial" w:hAnsi="Arial"/>
                  <w:sz w:val="16"/>
                  <w:szCs w:val="16"/>
                  <w:color w:val="0000FF"/>
                  <w:w w:val="93"/>
                </w:rPr>
                <w:t>Lease by and between the Registrant and BMR-Hampshire, LLC, dated May 26, 2021 (incorporated by reference to Exhibit 10.5 of the Registrant’s</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48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rFonts w:ascii="Arial" w:cs="Arial" w:eastAsia="Arial" w:hAnsi="Arial"/>
                <w:sz w:val="16"/>
                <w:szCs w:val="16"/>
                <w:color w:val="0000FF"/>
              </w:rPr>
            </w:pPr>
            <w:hyperlink r:id="rId461">
              <w:r>
                <w:rPr>
                  <w:rFonts w:ascii="Arial" w:cs="Arial" w:eastAsia="Arial" w:hAnsi="Arial"/>
                  <w:sz w:val="16"/>
                  <w:szCs w:val="16"/>
                  <w:color w:val="0000FF"/>
                </w:rPr>
                <w:t>Form 10-Q (File No. 001-39385) filed on August 12, 2021).</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50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21.1</w:t>
            </w:r>
          </w:p>
        </w:tc>
        <w:tc>
          <w:tcPr>
            <w:tcW w:w="9780" w:type="dxa"/>
            <w:vAlign w:val="bottom"/>
            <w:gridSpan w:val="22"/>
          </w:tcPr>
          <w:p>
            <w:pPr>
              <w:spacing w:after="0"/>
              <w:rPr>
                <w:rFonts w:ascii="Arial" w:cs="Arial" w:eastAsia="Arial" w:hAnsi="Arial"/>
                <w:sz w:val="16"/>
                <w:szCs w:val="16"/>
                <w:color w:val="0000FF"/>
                <w:w w:val="93"/>
              </w:rPr>
            </w:pPr>
            <w:hyperlink r:id="rId462">
              <w:r>
                <w:rPr>
                  <w:rFonts w:ascii="Arial" w:cs="Arial" w:eastAsia="Arial" w:hAnsi="Arial"/>
                  <w:sz w:val="16"/>
                  <w:szCs w:val="16"/>
                  <w:color w:val="0000FF"/>
                  <w:w w:val="93"/>
                </w:rPr>
                <w:t>List of Subsidiaries of Registrant (incorporated by reference to Exhibit 21.1 of the Registrant’s Form 10-K (File No. 001-39385) filed on February 24,</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60" w:type="dxa"/>
            <w:vAlign w:val="bottom"/>
          </w:tcPr>
          <w:p>
            <w:pPr>
              <w:spacing w:after="0"/>
              <w:rPr>
                <w:sz w:val="15"/>
                <w:szCs w:val="15"/>
                <w:color w:val="auto"/>
              </w:rPr>
            </w:pPr>
          </w:p>
        </w:tc>
        <w:tc>
          <w:tcPr>
            <w:tcW w:w="440" w:type="dxa"/>
            <w:vAlign w:val="bottom"/>
            <w:gridSpan w:val="2"/>
          </w:tcPr>
          <w:p>
            <w:pPr>
              <w:spacing w:after="0" w:line="183" w:lineRule="exact"/>
              <w:rPr>
                <w:rFonts w:ascii="Arial" w:cs="Arial" w:eastAsia="Arial" w:hAnsi="Arial"/>
                <w:sz w:val="16"/>
                <w:szCs w:val="16"/>
                <w:color w:val="0000FF"/>
                <w:w w:val="88"/>
              </w:rPr>
            </w:pPr>
            <w:hyperlink r:id="rId462">
              <w:r>
                <w:rPr>
                  <w:rFonts w:ascii="Arial" w:cs="Arial" w:eastAsia="Arial" w:hAnsi="Arial"/>
                  <w:sz w:val="16"/>
                  <w:szCs w:val="16"/>
                  <w:color w:val="0000FF"/>
                  <w:w w:val="88"/>
                </w:rPr>
                <w:t>2022).</w:t>
              </w:r>
            </w:hyperlink>
          </w:p>
        </w:tc>
        <w:tc>
          <w:tcPr>
            <w:tcW w:w="1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50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23.1*</w:t>
            </w:r>
          </w:p>
        </w:tc>
        <w:tc>
          <w:tcPr>
            <w:tcW w:w="9780" w:type="dxa"/>
            <w:vAlign w:val="bottom"/>
            <w:gridSpan w:val="22"/>
          </w:tcPr>
          <w:p>
            <w:pPr>
              <w:spacing w:after="0"/>
              <w:rPr>
                <w:sz w:val="20"/>
                <w:szCs w:val="20"/>
                <w:color w:val="auto"/>
              </w:rPr>
            </w:pPr>
            <w:r>
              <w:rPr>
                <w:rFonts w:ascii="Arial" w:cs="Arial" w:eastAsia="Arial" w:hAnsi="Arial"/>
                <w:sz w:val="16"/>
                <w:szCs w:val="16"/>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450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24.1*</w:t>
            </w:r>
          </w:p>
        </w:tc>
        <w:tc>
          <w:tcPr>
            <w:tcW w:w="9780" w:type="dxa"/>
            <w:vAlign w:val="bottom"/>
            <w:gridSpan w:val="22"/>
          </w:tcPr>
          <w:p>
            <w:pPr>
              <w:spacing w:after="0"/>
              <w:rPr>
                <w:sz w:val="20"/>
                <w:szCs w:val="20"/>
                <w:color w:val="auto"/>
              </w:rPr>
            </w:pPr>
            <w:r>
              <w:rPr>
                <w:rFonts w:ascii="Arial" w:cs="Arial" w:eastAsia="Arial" w:hAnsi="Arial"/>
                <w:sz w:val="16"/>
                <w:szCs w:val="16"/>
                <w:color w:val="0000FF"/>
              </w:rPr>
              <w:t>Power of Attorney (included on signature page).</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4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31.1*</w:t>
            </w:r>
          </w:p>
        </w:tc>
        <w:tc>
          <w:tcPr>
            <w:tcW w:w="9780" w:type="dxa"/>
            <w:vAlign w:val="bottom"/>
            <w:gridSpan w:val="22"/>
          </w:tcPr>
          <w:p>
            <w:pPr>
              <w:spacing w:after="0"/>
              <w:rPr>
                <w:sz w:val="20"/>
                <w:szCs w:val="20"/>
                <w:color w:val="auto"/>
              </w:rPr>
            </w:pPr>
            <w:r>
              <w:rPr>
                <w:rFonts w:ascii="Arial" w:cs="Arial" w:eastAsia="Arial" w:hAnsi="Arial"/>
                <w:sz w:val="16"/>
                <w:szCs w:val="16"/>
                <w:color w:val="0000FF"/>
                <w:w w:val="92"/>
              </w:rPr>
              <w:t>Certification of Principal Executive Officer Pursuant to Rules 13a-14(a) or 15d-14(a) under the Securities Exchange Act of 1934, as Adopted Pursuant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gridSpan w:val="3"/>
            <w:shd w:val="clear" w:color="auto" w:fill="0000FF"/>
          </w:tcPr>
          <w:p>
            <w:pPr>
              <w:spacing w:after="0" w:line="20" w:lineRule="exact"/>
              <w:rPr>
                <w:sz w:val="1"/>
                <w:szCs w:val="1"/>
                <w:color w:val="auto"/>
              </w:rPr>
            </w:pPr>
          </w:p>
        </w:tc>
        <w:tc>
          <w:tcPr>
            <w:tcW w:w="6340" w:type="dxa"/>
            <w:vAlign w:val="bottom"/>
            <w:gridSpan w:val="1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sz w:val="20"/>
                <w:szCs w:val="20"/>
                <w:color w:val="auto"/>
              </w:rPr>
            </w:pPr>
            <w:r>
              <w:rPr>
                <w:rFonts w:ascii="Arial" w:cs="Arial" w:eastAsia="Arial" w:hAnsi="Arial"/>
                <w:sz w:val="16"/>
                <w:szCs w:val="16"/>
                <w:color w:val="0000FF"/>
              </w:rPr>
              <w:t>to Section 302 of the Sarbanes-Oxley Act of 2002.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EE"/>
            </w:tcBorders>
            <w:gridSpan w:val="3"/>
            <w:shd w:val="clear" w:color="auto" w:fill="0000FF"/>
          </w:tcPr>
          <w:p>
            <w:pPr>
              <w:spacing w:after="0" w:line="20" w:lineRule="exact"/>
              <w:rPr>
                <w:sz w:val="1"/>
                <w:szCs w:val="1"/>
                <w:color w:val="auto"/>
              </w:rPr>
            </w:pPr>
          </w:p>
        </w:tc>
        <w:tc>
          <w:tcPr>
            <w:tcW w:w="6340" w:type="dxa"/>
            <w:vAlign w:val="bottom"/>
            <w:gridSpan w:val="1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31.2*</w:t>
            </w:r>
          </w:p>
        </w:tc>
        <w:tc>
          <w:tcPr>
            <w:tcW w:w="9780" w:type="dxa"/>
            <w:vAlign w:val="bottom"/>
            <w:gridSpan w:val="22"/>
          </w:tcPr>
          <w:p>
            <w:pPr>
              <w:spacing w:after="0"/>
              <w:rPr>
                <w:sz w:val="20"/>
                <w:szCs w:val="20"/>
                <w:color w:val="auto"/>
              </w:rPr>
            </w:pPr>
            <w:r>
              <w:rPr>
                <w:rFonts w:ascii="Arial" w:cs="Arial" w:eastAsia="Arial" w:hAnsi="Arial"/>
                <w:sz w:val="16"/>
                <w:szCs w:val="16"/>
                <w:color w:val="0000FF"/>
                <w:w w:val="92"/>
              </w:rPr>
              <w:t>Certification of Principal Financial Officer Pursuant to Rules 13a-14(a) or 15d-14(a) under the Securities Exchange Act of 1934, as Adopted Pursuant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340" w:type="dxa"/>
            <w:vAlign w:val="bottom"/>
            <w:gridSpan w:val="16"/>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sz w:val="20"/>
                <w:szCs w:val="20"/>
                <w:color w:val="auto"/>
              </w:rPr>
            </w:pPr>
            <w:r>
              <w:rPr>
                <w:rFonts w:ascii="Arial" w:cs="Arial" w:eastAsia="Arial" w:hAnsi="Arial"/>
                <w:sz w:val="16"/>
                <w:szCs w:val="16"/>
                <w:color w:val="0000FF"/>
              </w:rPr>
              <w:t>to Section 302 of the Sarbanes-Oxley Act of 2002.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EE"/>
            </w:tcBorders>
            <w:gridSpan w:val="3"/>
            <w:shd w:val="clear" w:color="auto" w:fill="0000FF"/>
          </w:tcPr>
          <w:p>
            <w:pPr>
              <w:spacing w:after="0" w:line="20" w:lineRule="exact"/>
              <w:rPr>
                <w:sz w:val="1"/>
                <w:szCs w:val="1"/>
                <w:color w:val="auto"/>
              </w:rPr>
            </w:pPr>
          </w:p>
        </w:tc>
        <w:tc>
          <w:tcPr>
            <w:tcW w:w="6340" w:type="dxa"/>
            <w:vAlign w:val="bottom"/>
            <w:gridSpan w:val="1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tcPr>
          <w:p>
            <w:pPr>
              <w:ind w:left="20"/>
              <w:spacing w:after="0"/>
              <w:rPr>
                <w:sz w:val="20"/>
                <w:szCs w:val="20"/>
                <w:color w:val="auto"/>
              </w:rPr>
            </w:pPr>
            <w:r>
              <w:rPr>
                <w:rFonts w:ascii="Arial" w:cs="Arial" w:eastAsia="Arial" w:hAnsi="Arial"/>
                <w:sz w:val="16"/>
                <w:szCs w:val="16"/>
                <w:color w:val="auto"/>
              </w:rPr>
              <w:t>32.1**</w:t>
            </w:r>
          </w:p>
        </w:tc>
        <w:tc>
          <w:tcPr>
            <w:tcW w:w="9780" w:type="dxa"/>
            <w:vAlign w:val="bottom"/>
            <w:gridSpan w:val="22"/>
          </w:tcPr>
          <w:p>
            <w:pPr>
              <w:spacing w:after="0"/>
              <w:rPr>
                <w:sz w:val="20"/>
                <w:szCs w:val="20"/>
                <w:color w:val="auto"/>
              </w:rPr>
            </w:pPr>
            <w:r>
              <w:rPr>
                <w:rFonts w:ascii="Arial" w:cs="Arial" w:eastAsia="Arial" w:hAnsi="Arial"/>
                <w:sz w:val="16"/>
                <w:szCs w:val="16"/>
                <w:color w:val="0000FF"/>
                <w:w w:val="94"/>
              </w:rPr>
              <w:t>Certification of Principal Executive Officer and Principal Financial Officer Pursuant to 18 U.S.C. Section 1350, as Adopted Pursuant to Section 906</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340" w:type="dxa"/>
            <w:vAlign w:val="bottom"/>
            <w:gridSpan w:val="16"/>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Pr>
          <w:p>
            <w:pPr>
              <w:spacing w:after="0"/>
              <w:rPr>
                <w:sz w:val="15"/>
                <w:szCs w:val="15"/>
                <w:color w:val="auto"/>
              </w:rPr>
            </w:pPr>
          </w:p>
        </w:tc>
        <w:tc>
          <w:tcPr>
            <w:tcW w:w="9780" w:type="dxa"/>
            <w:vAlign w:val="bottom"/>
            <w:gridSpan w:val="22"/>
          </w:tcPr>
          <w:p>
            <w:pPr>
              <w:spacing w:after="0" w:line="183" w:lineRule="exact"/>
              <w:rPr>
                <w:sz w:val="20"/>
                <w:szCs w:val="20"/>
                <w:color w:val="auto"/>
              </w:rPr>
            </w:pPr>
            <w:r>
              <w:rPr>
                <w:rFonts w:ascii="Arial" w:cs="Arial" w:eastAsia="Arial" w:hAnsi="Arial"/>
                <w:sz w:val="16"/>
                <w:szCs w:val="16"/>
                <w:color w:val="0000FF"/>
              </w:rPr>
              <w:t>of the Sarbanes-Oxley Act of 2002.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48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460" w:type="dxa"/>
            <w:vAlign w:val="bottom"/>
          </w:tcPr>
          <w:p>
            <w:pPr>
              <w:ind w:left="20"/>
              <w:spacing w:after="0"/>
              <w:rPr>
                <w:sz w:val="20"/>
                <w:szCs w:val="20"/>
                <w:color w:val="auto"/>
              </w:rPr>
            </w:pPr>
            <w:r>
              <w:rPr>
                <w:rFonts w:ascii="Arial" w:cs="Arial" w:eastAsia="Arial" w:hAnsi="Arial"/>
                <w:sz w:val="16"/>
                <w:szCs w:val="16"/>
                <w:color w:val="auto"/>
              </w:rPr>
              <w:t>101.INS*</w:t>
            </w:r>
          </w:p>
        </w:tc>
        <w:tc>
          <w:tcPr>
            <w:tcW w:w="9780" w:type="dxa"/>
            <w:vAlign w:val="bottom"/>
            <w:gridSpan w:val="22"/>
          </w:tcPr>
          <w:p>
            <w:pPr>
              <w:spacing w:after="0"/>
              <w:rPr>
                <w:sz w:val="20"/>
                <w:szCs w:val="20"/>
                <w:color w:val="auto"/>
              </w:rPr>
            </w:pPr>
            <w:r>
              <w:rPr>
                <w:rFonts w:ascii="Arial" w:cs="Arial" w:eastAsia="Arial" w:hAnsi="Arial"/>
                <w:sz w:val="16"/>
                <w:szCs w:val="16"/>
                <w:color w:val="auto"/>
              </w:rPr>
              <w:t>Inline XBRL Instance Document</w:t>
            </w:r>
          </w:p>
        </w:tc>
        <w:tc>
          <w:tcPr>
            <w:tcW w:w="0" w:type="dxa"/>
            <w:vAlign w:val="bottom"/>
          </w:tcPr>
          <w:p>
            <w:pPr>
              <w:spacing w:after="0"/>
              <w:rPr>
                <w:sz w:val="1"/>
                <w:szCs w:val="1"/>
                <w:color w:val="auto"/>
              </w:rPr>
            </w:pPr>
          </w:p>
        </w:tc>
      </w:tr>
      <w:tr>
        <w:trPr>
          <w:trHeight w:val="432"/>
        </w:trPr>
        <w:tc>
          <w:tcPr>
            <w:tcW w:w="1460" w:type="dxa"/>
            <w:vAlign w:val="bottom"/>
          </w:tcPr>
          <w:p>
            <w:pPr>
              <w:ind w:left="20"/>
              <w:spacing w:after="0"/>
              <w:rPr>
                <w:sz w:val="20"/>
                <w:szCs w:val="20"/>
                <w:color w:val="auto"/>
              </w:rPr>
            </w:pPr>
            <w:r>
              <w:rPr>
                <w:rFonts w:ascii="Arial" w:cs="Arial" w:eastAsia="Arial" w:hAnsi="Arial"/>
                <w:sz w:val="16"/>
                <w:szCs w:val="16"/>
                <w:color w:val="auto"/>
              </w:rPr>
              <w:t>101.SCH*</w:t>
            </w:r>
          </w:p>
        </w:tc>
        <w:tc>
          <w:tcPr>
            <w:tcW w:w="9780" w:type="dxa"/>
            <w:vAlign w:val="bottom"/>
            <w:gridSpan w:val="22"/>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432"/>
        </w:trPr>
        <w:tc>
          <w:tcPr>
            <w:tcW w:w="1460" w:type="dxa"/>
            <w:vAlign w:val="bottom"/>
          </w:tcPr>
          <w:p>
            <w:pPr>
              <w:ind w:left="20"/>
              <w:spacing w:after="0"/>
              <w:rPr>
                <w:sz w:val="20"/>
                <w:szCs w:val="20"/>
                <w:color w:val="auto"/>
              </w:rPr>
            </w:pPr>
            <w:r>
              <w:rPr>
                <w:rFonts w:ascii="Arial" w:cs="Arial" w:eastAsia="Arial" w:hAnsi="Arial"/>
                <w:sz w:val="16"/>
                <w:szCs w:val="16"/>
                <w:color w:val="auto"/>
              </w:rPr>
              <w:t>101.CAL*</w:t>
            </w:r>
          </w:p>
        </w:tc>
        <w:tc>
          <w:tcPr>
            <w:tcW w:w="9780" w:type="dxa"/>
            <w:vAlign w:val="bottom"/>
            <w:gridSpan w:val="22"/>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460" w:type="dxa"/>
            <w:vAlign w:val="bottom"/>
          </w:tcPr>
          <w:p>
            <w:pPr>
              <w:ind w:left="20"/>
              <w:spacing w:after="0"/>
              <w:rPr>
                <w:sz w:val="20"/>
                <w:szCs w:val="20"/>
                <w:color w:val="auto"/>
              </w:rPr>
            </w:pPr>
            <w:r>
              <w:rPr>
                <w:rFonts w:ascii="Arial" w:cs="Arial" w:eastAsia="Arial" w:hAnsi="Arial"/>
                <w:sz w:val="16"/>
                <w:szCs w:val="16"/>
                <w:color w:val="auto"/>
              </w:rPr>
              <w:t>101.DEF*</w:t>
            </w:r>
          </w:p>
        </w:tc>
        <w:tc>
          <w:tcPr>
            <w:tcW w:w="9780" w:type="dxa"/>
            <w:vAlign w:val="bottom"/>
            <w:gridSpan w:val="22"/>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452"/>
        </w:trPr>
        <w:tc>
          <w:tcPr>
            <w:tcW w:w="1460" w:type="dxa"/>
            <w:vAlign w:val="bottom"/>
          </w:tcPr>
          <w:p>
            <w:pPr>
              <w:spacing w:after="0"/>
              <w:rPr>
                <w:sz w:val="24"/>
                <w:szCs w:val="24"/>
                <w:color w:val="auto"/>
              </w:rPr>
            </w:pPr>
          </w:p>
        </w:tc>
        <w:tc>
          <w:tcPr>
            <w:tcW w:w="5140" w:type="dxa"/>
            <w:vAlign w:val="bottom"/>
            <w:gridSpan w:val="8"/>
          </w:tcPr>
          <w:p>
            <w:pPr>
              <w:ind w:left="4020"/>
              <w:spacing w:after="0"/>
              <w:rPr>
                <w:sz w:val="20"/>
                <w:szCs w:val="20"/>
                <w:color w:val="auto"/>
              </w:rPr>
            </w:pPr>
            <w:r>
              <w:rPr>
                <w:rFonts w:ascii="Arial" w:cs="Arial" w:eastAsia="Arial" w:hAnsi="Arial"/>
                <w:sz w:val="18"/>
                <w:szCs w:val="18"/>
                <w:color w:val="auto"/>
              </w:rPr>
              <w:t>120</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1" w:name="page152"/>
    <w:bookmarkEnd w:id="151"/>
    <w:p>
      <w:pPr>
        <w:ind w:left="20"/>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Inline XBRL Taxonomy Extension Label Linkbase Document</w:t>
      </w:r>
    </w:p>
    <w:p>
      <w:pPr>
        <w:spacing w:after="0" w:line="211" w:lineRule="exact"/>
        <w:rPr>
          <w:sz w:val="20"/>
          <w:szCs w:val="20"/>
          <w:color w:val="auto"/>
        </w:rPr>
      </w:pPr>
    </w:p>
    <w:p>
      <w:pPr>
        <w:sectPr>
          <w:pgSz w:w="11900" w:h="16838" w:orient="portrait"/>
          <w:cols w:equalWidth="0" w:num="2">
            <w:col w:w="740" w:space="720"/>
            <w:col w:w="9780"/>
          </w:cols>
          <w:pgMar w:left="320" w:top="562"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101.PRE*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Inline XBRL Taxonomy Extension Presentation Linkbase Document</w:t>
      </w:r>
    </w:p>
    <w:p>
      <w:pPr>
        <w:spacing w:after="0" w:line="211" w:lineRule="exact"/>
        <w:rPr>
          <w:sz w:val="20"/>
          <w:szCs w:val="20"/>
          <w:color w:val="auto"/>
        </w:rPr>
      </w:pPr>
    </w:p>
    <w:p>
      <w:pPr>
        <w:sectPr>
          <w:pgSz w:w="11900" w:h="16838" w:orient="portrait"/>
          <w:cols w:equalWidth="0" w:num="2">
            <w:col w:w="740" w:space="720"/>
            <w:col w:w="9780"/>
          </w:cols>
          <w:pgMar w:left="320" w:top="562" w:right="339" w:bottom="1440" w:gutter="0" w:footer="0" w:header="0"/>
          <w:type w:val="continuous"/>
        </w:sectPr>
      </w:pPr>
    </w:p>
    <w:p>
      <w:pPr>
        <w:spacing w:after="0" w:line="60" w:lineRule="exact"/>
        <w:rPr>
          <w:sz w:val="20"/>
          <w:szCs w:val="20"/>
          <w:color w:val="auto"/>
        </w:rPr>
      </w:pPr>
    </w:p>
    <w:p>
      <w:pPr>
        <w:ind w:left="1460" w:hanging="1439"/>
        <w:spacing w:after="0"/>
        <w:tabs>
          <w:tab w:leader="none" w:pos="14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30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Filed herewith.</w:t>
      </w:r>
    </w:p>
    <w:p>
      <w:pPr>
        <w:spacing w:after="0" w:line="59" w:lineRule="exact"/>
        <w:rPr>
          <w:rFonts w:ascii="Arial" w:cs="Arial" w:eastAsia="Arial" w:hAnsi="Arial"/>
          <w:sz w:val="16"/>
          <w:szCs w:val="16"/>
          <w:color w:val="auto"/>
        </w:rPr>
      </w:pPr>
    </w:p>
    <w:p>
      <w:pPr>
        <w:jc w:val="both"/>
        <w:ind w:firstLine="8"/>
        <w:spacing w:after="0" w:line="294" w:lineRule="auto"/>
        <w:tabs>
          <w:tab w:leader="none" w:pos="202"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rPr>
          <w:rFonts w:ascii="Arial" w:cs="Arial" w:eastAsia="Arial" w:hAnsi="Arial"/>
          <w:sz w:val="15"/>
          <w:szCs w:val="15"/>
          <w:color w:val="auto"/>
        </w:rPr>
      </w:pPr>
      <w:r>
        <w:rPr>
          <w:rFonts w:ascii="Arial" w:cs="Arial" w:eastAsia="Arial" w:hAnsi="Arial"/>
          <w:sz w:val="16"/>
          <w:szCs w:val="16"/>
          <w:color w:val="auto"/>
        </w:rPr>
        <w:t>† Portions of this exhibit (indicated by asterisks) were omitted in accordance with the rules of Item 601(b)(10) of Regulation S-K.</w:t>
      </w:r>
    </w:p>
    <w:p>
      <w:pPr>
        <w:spacing w:after="0" w:line="5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 Indicates a management contract or any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-855980</wp:posOffset>
            </wp:positionV>
            <wp:extent cx="136271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5">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68"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Relay Therapeutics, Inc.</w:t>
      </w:r>
    </w:p>
    <w:p>
      <w:pPr>
        <w:spacing w:after="0" w:line="252" w:lineRule="exact"/>
        <w:rPr>
          <w:sz w:val="20"/>
          <w:szCs w:val="20"/>
          <w:color w:val="auto"/>
        </w:rPr>
      </w:pPr>
    </w:p>
    <w:p>
      <w:pPr>
        <w:ind w:left="20"/>
        <w:spacing w:after="0"/>
        <w:tabs>
          <w:tab w:leader="none" w:pos="5220" w:val="left"/>
          <w:tab w:leader="none" w:pos="7860" w:val="left"/>
        </w:tabs>
        <w:rPr>
          <w:sz w:val="20"/>
          <w:szCs w:val="20"/>
          <w:color w:val="auto"/>
        </w:rPr>
      </w:pPr>
      <w:r>
        <w:rPr>
          <w:rFonts w:ascii="Arial" w:cs="Arial" w:eastAsia="Arial" w:hAnsi="Arial"/>
          <w:sz w:val="16"/>
          <w:szCs w:val="16"/>
          <w:color w:val="auto"/>
        </w:rPr>
        <w:t>Date: February 23,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Sanjiv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26670</wp:posOffset>
            </wp:positionV>
            <wp:extent cx="35318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6" w:lineRule="exact"/>
        <w:rPr>
          <w:sz w:val="20"/>
          <w:szCs w:val="20"/>
          <w:color w:val="auto"/>
        </w:rPr>
      </w:pPr>
    </w:p>
    <w:p>
      <w:pPr>
        <w:ind w:left="7760"/>
        <w:spacing w:after="0"/>
        <w:rPr>
          <w:sz w:val="20"/>
          <w:szCs w:val="20"/>
          <w:color w:val="auto"/>
        </w:rPr>
      </w:pPr>
      <w:r>
        <w:rPr>
          <w:rFonts w:ascii="Arial" w:cs="Arial" w:eastAsia="Arial" w:hAnsi="Arial"/>
          <w:sz w:val="16"/>
          <w:szCs w:val="16"/>
          <w:color w:val="auto"/>
        </w:rPr>
        <w:t>Sanjiv K. Patel, M.D.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President and Chief Executive Officer</w:t>
      </w:r>
    </w:p>
    <w:p>
      <w:pPr>
        <w:spacing w:after="0" w:line="22" w:lineRule="exact"/>
        <w:rPr>
          <w:sz w:val="20"/>
          <w:szCs w:val="20"/>
          <w:color w:val="auto"/>
        </w:rPr>
      </w:pPr>
    </w:p>
    <w:p>
      <w:pPr>
        <w:ind w:left="7520"/>
        <w:spacing w:after="0"/>
        <w:rPr>
          <w:sz w:val="20"/>
          <w:szCs w:val="20"/>
          <w:color w:val="auto"/>
        </w:rPr>
      </w:pPr>
      <w:r>
        <w:rPr>
          <w:rFonts w:ascii="Arial" w:cs="Arial" w:eastAsia="Arial" w:hAnsi="Arial"/>
          <w:sz w:val="16"/>
          <w:szCs w:val="16"/>
          <w:color w:val="auto"/>
        </w:rPr>
        <w:t>(Principal Executive Officer)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 AND SIGNATURES</w:t>
      </w:r>
    </w:p>
    <w:p>
      <w:pPr>
        <w:spacing w:after="0" w:line="239"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Each person whose individual signature appears below hereby authorizes and appoints Sanjiv K. Patel, M.D. and Brian Adams,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spacing w:after="0" w:line="17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42" w:right="339" w:bottom="1440" w:gutter="0" w:footer="0" w:header="0"/>
        </w:sectPr>
      </w:pPr>
    </w:p>
    <w:p>
      <w:pPr>
        <w:spacing w:after="0" w:line="168"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3571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4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Sanjiv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Sanjiv K. Patel, M.D.</w:t>
      </w: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/s/ Thomas Catinazzo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571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Thomas Catinazzo</w:t>
      </w:r>
    </w:p>
    <w:p>
      <w:pPr>
        <w:spacing w:after="0" w:line="200" w:lineRule="exact"/>
        <w:rPr>
          <w:sz w:val="20"/>
          <w:szCs w:val="20"/>
          <w:color w:val="auto"/>
        </w:rPr>
      </w:pPr>
    </w:p>
    <w:p>
      <w:pPr>
        <w:spacing w:after="0" w:line="251"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Alexis Borisy</w:t>
      </w: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Linda A.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Linda A. Hill, Ph.D.</w:t>
      </w: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Douglas S. Ingram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Douglas S. Ingram</w:t>
      </w: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Sekar Kathiresan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4"/>
          <w:szCs w:val="14"/>
          <w:color w:val="auto"/>
        </w:rPr>
        <w:t>Sekar Kathiresan, M.D.</w:t>
      </w:r>
    </w:p>
    <w:p>
      <w:pPr>
        <w:spacing w:after="0" w:line="271"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Mark Murcko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Mark Murcko, Ph.D.</w:t>
      </w: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Jami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Jami Rubin</w:t>
      </w:r>
    </w:p>
    <w:p>
      <w:pPr>
        <w:spacing w:after="0" w:line="248"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Laura Shawver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3571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6" w:lineRule="exact"/>
        <w:rPr>
          <w:sz w:val="20"/>
          <w:szCs w:val="20"/>
          <w:color w:val="auto"/>
        </w:rPr>
      </w:pPr>
    </w:p>
    <w:p>
      <w:pPr>
        <w:jc w:val="center"/>
        <w:ind w:left="620"/>
        <w:spacing w:after="0"/>
        <w:rPr>
          <w:sz w:val="20"/>
          <w:szCs w:val="20"/>
          <w:color w:val="auto"/>
        </w:rPr>
      </w:pPr>
      <w:r>
        <w:rPr>
          <w:rFonts w:ascii="Arial" w:cs="Arial" w:eastAsia="Arial" w:hAnsi="Arial"/>
          <w:sz w:val="15"/>
          <w:szCs w:val="15"/>
          <w:color w:val="auto"/>
        </w:rPr>
        <w:t>Laura Shawver, Ph.D.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100" w:type="dxa"/>
            <w:vAlign w:val="bottom"/>
          </w:tcPr>
          <w:p>
            <w:pPr>
              <w:spacing w:after="0"/>
              <w:rPr>
                <w:sz w:val="19"/>
                <w:szCs w:val="19"/>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426"/>
        </w:trPr>
        <w:tc>
          <w:tcPr>
            <w:tcW w:w="4860" w:type="dxa"/>
            <w:vAlign w:val="bottom"/>
          </w:tcPr>
          <w:p>
            <w:pPr>
              <w:jc w:val="center"/>
              <w:spacing w:after="0"/>
              <w:rPr>
                <w:sz w:val="20"/>
                <w:szCs w:val="20"/>
                <w:color w:val="auto"/>
              </w:rPr>
            </w:pPr>
            <w:r>
              <w:rPr>
                <w:rFonts w:ascii="Arial" w:cs="Arial" w:eastAsia="Arial" w:hAnsi="Arial"/>
                <w:sz w:val="16"/>
                <w:szCs w:val="16"/>
                <w:color w:val="auto"/>
                <w:w w:val="93"/>
              </w:rPr>
              <w:t>President, 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February 23, 2023</w:t>
            </w:r>
          </w:p>
        </w:tc>
      </w:tr>
      <w:tr>
        <w:trPr>
          <w:trHeight w:val="216"/>
        </w:trPr>
        <w:tc>
          <w:tcPr>
            <w:tcW w:w="4860" w:type="dxa"/>
            <w:vAlign w:val="bottom"/>
          </w:tcPr>
          <w:p>
            <w:pPr>
              <w:jc w:val="center"/>
              <w:spacing w:after="0"/>
              <w:rPr>
                <w:sz w:val="20"/>
                <w:szCs w:val="20"/>
                <w:color w:val="auto"/>
              </w:rPr>
            </w:pPr>
            <w:r>
              <w:rPr>
                <w:rFonts w:ascii="Arial" w:cs="Arial" w:eastAsia="Arial" w:hAnsi="Arial"/>
                <w:sz w:val="16"/>
                <w:szCs w:val="16"/>
                <w:color w:val="auto"/>
                <w:w w:val="96"/>
              </w:rPr>
              <w:t>(Principal Executive Officer)</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445"/>
        </w:trPr>
        <w:tc>
          <w:tcPr>
            <w:tcW w:w="4860" w:type="dxa"/>
            <w:vAlign w:val="bottom"/>
          </w:tcPr>
          <w:p>
            <w:pPr>
              <w:jc w:val="center"/>
              <w:spacing w:after="0"/>
              <w:rPr>
                <w:sz w:val="20"/>
                <w:szCs w:val="20"/>
                <w:color w:val="auto"/>
              </w:rPr>
            </w:pPr>
            <w:r>
              <w:rPr>
                <w:rFonts w:ascii="Arial" w:cs="Arial" w:eastAsia="Arial" w:hAnsi="Arial"/>
                <w:sz w:val="16"/>
                <w:szCs w:val="16"/>
                <w:color w:val="auto"/>
                <w:w w:val="95"/>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February 23, 2023</w:t>
            </w:r>
          </w:p>
        </w:tc>
      </w:tr>
      <w:tr>
        <w:trPr>
          <w:trHeight w:val="212"/>
        </w:trPr>
        <w:tc>
          <w:tcPr>
            <w:tcW w:w="4860" w:type="dxa"/>
            <w:vAlign w:val="bottom"/>
          </w:tcPr>
          <w:p>
            <w:pPr>
              <w:jc w:val="center"/>
              <w:spacing w:after="0"/>
              <w:rPr>
                <w:sz w:val="20"/>
                <w:szCs w:val="20"/>
                <w:color w:val="auto"/>
              </w:rPr>
            </w:pPr>
            <w:r>
              <w:rPr>
                <w:rFonts w:ascii="Arial" w:cs="Arial" w:eastAsia="Arial" w:hAnsi="Arial"/>
                <w:sz w:val="16"/>
                <w:szCs w:val="16"/>
                <w:color w:val="auto"/>
                <w:w w:val="95"/>
              </w:rPr>
              <w:t>(Principal Accounting Officer and</w:t>
            </w: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06"/>
        </w:trPr>
        <w:tc>
          <w:tcPr>
            <w:tcW w:w="4860" w:type="dxa"/>
            <w:vAlign w:val="bottom"/>
          </w:tcPr>
          <w:p>
            <w:pPr>
              <w:jc w:val="center"/>
              <w:spacing w:after="0"/>
              <w:rPr>
                <w:sz w:val="20"/>
                <w:szCs w:val="20"/>
                <w:color w:val="auto"/>
              </w:rPr>
            </w:pPr>
            <w:r>
              <w:rPr>
                <w:rFonts w:ascii="Arial" w:cs="Arial" w:eastAsia="Arial" w:hAnsi="Arial"/>
                <w:sz w:val="16"/>
                <w:szCs w:val="16"/>
                <w:color w:val="auto"/>
                <w:w w:val="95"/>
              </w:rPr>
              <w:t>Principal Financial Officer)</w:t>
            </w:r>
          </w:p>
        </w:tc>
        <w:tc>
          <w:tcPr>
            <w:tcW w:w="10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45"/>
        </w:trPr>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February 23, 2023</w:t>
            </w:r>
          </w:p>
        </w:tc>
      </w:tr>
      <w:tr>
        <w:trPr>
          <w:trHeight w:val="661"/>
        </w:trPr>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February 23, 2023</w:t>
            </w:r>
          </w:p>
        </w:tc>
      </w:tr>
      <w:tr>
        <w:trPr>
          <w:trHeight w:val="662"/>
        </w:trPr>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February 23, 2023</w:t>
            </w:r>
          </w:p>
        </w:tc>
      </w:tr>
      <w:tr>
        <w:trPr>
          <w:trHeight w:val="661"/>
        </w:trPr>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February 23, 2023</w:t>
            </w:r>
          </w:p>
        </w:tc>
      </w:tr>
      <w:tr>
        <w:trPr>
          <w:trHeight w:val="662"/>
        </w:trPr>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February 23, 2023</w:t>
            </w:r>
          </w:p>
        </w:tc>
      </w:tr>
      <w:tr>
        <w:trPr>
          <w:trHeight w:val="661"/>
        </w:trPr>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February 23, 2023</w:t>
            </w:r>
          </w:p>
        </w:tc>
      </w:tr>
      <w:tr>
        <w:trPr>
          <w:trHeight w:val="662"/>
        </w:trPr>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6"/>
                <w:szCs w:val="16"/>
                <w:color w:val="auto"/>
                <w:w w:val="91"/>
              </w:rPr>
              <w:t>February 23, 2023</w:t>
            </w:r>
          </w:p>
        </w:tc>
      </w:tr>
    </w:tbl>
    <w:p>
      <w:pPr>
        <w:spacing w:after="0" w:line="382" w:lineRule="exact"/>
        <w:rPr>
          <w:sz w:val="20"/>
          <w:szCs w:val="20"/>
          <w:color w:val="auto"/>
        </w:rPr>
      </w:pPr>
    </w:p>
    <w:p>
      <w:pPr>
        <w:sectPr>
          <w:pgSz w:w="11900" w:h="16838" w:orient="portrait"/>
          <w:cols w:equalWidth="0" w:num="2">
            <w:col w:w="3120" w:space="720"/>
            <w:col w:w="7400"/>
          </w:cols>
          <w:pgMar w:left="320" w:top="342" w:right="33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20"/>
          <w:szCs w:val="20"/>
          <w:b w:val="1"/>
          <w:bCs w:val="1"/>
          <w:color w:val="auto"/>
        </w:rPr>
        <w:t>Exhibit 3.1</w:t>
      </w:r>
    </w:p>
    <w:p>
      <w:pPr>
        <w:spacing w:after="0" w:line="215"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FOURTH AMENDED AND RESTATED</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0"/>
          <w:szCs w:val="20"/>
          <w:b w:val="1"/>
          <w:bCs w:val="1"/>
          <w:color w:val="auto"/>
        </w:rPr>
        <w:t>CERTIFICATE OF INCORPORATION</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0"/>
          <w:szCs w:val="20"/>
          <w:b w:val="1"/>
          <w:bCs w:val="1"/>
          <w:color w:val="auto"/>
        </w:rPr>
        <w:t>RELAY THERAPEUTICS, INC.</w:t>
      </w:r>
    </w:p>
    <w:p>
      <w:pPr>
        <w:spacing w:after="0" w:line="222" w:lineRule="exact"/>
        <w:rPr>
          <w:sz w:val="20"/>
          <w:szCs w:val="20"/>
          <w:color w:val="auto"/>
        </w:rPr>
      </w:pPr>
    </w:p>
    <w:p>
      <w:pPr>
        <w:ind w:right="140" w:firstLine="749"/>
        <w:spacing w:after="0" w:line="260" w:lineRule="auto"/>
        <w:rPr>
          <w:sz w:val="20"/>
          <w:szCs w:val="20"/>
          <w:color w:val="auto"/>
        </w:rPr>
      </w:pPr>
      <w:r>
        <w:rPr>
          <w:rFonts w:ascii="Arial" w:cs="Arial" w:eastAsia="Arial" w:hAnsi="Arial"/>
          <w:sz w:val="20"/>
          <w:szCs w:val="20"/>
          <w:color w:val="auto"/>
        </w:rPr>
        <w:t>Relay Therapeutics, Inc., a corporation organized and existing under the laws of the State of Delaware (the “Corporation”), hereby certifies as follows:</w:t>
      </w:r>
    </w:p>
    <w:p>
      <w:pPr>
        <w:spacing w:after="0" w:line="177" w:lineRule="exact"/>
        <w:rPr>
          <w:sz w:val="20"/>
          <w:szCs w:val="20"/>
          <w:color w:val="auto"/>
        </w:rPr>
      </w:pPr>
    </w:p>
    <w:p>
      <w:pPr>
        <w:jc w:val="both"/>
        <w:ind w:firstLine="757"/>
        <w:spacing w:after="0" w:line="291" w:lineRule="auto"/>
        <w:tabs>
          <w:tab w:leader="none" w:pos="130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name of the Corporation is Relay Therapeutics, Inc. The date of the filing of its original Certificate of Incorporation with the Secretary of State of the State of Delaware was May 4, 2015 (the “Original Certificate”). The name under which the Corporation filed the Original Certificate was Allostery, Inc., its name was changed to Relay Therapeutics, Inc. on December 11, 2015.</w:t>
      </w:r>
    </w:p>
    <w:p>
      <w:pPr>
        <w:spacing w:after="0" w:line="151" w:lineRule="exact"/>
        <w:rPr>
          <w:rFonts w:ascii="Arial" w:cs="Arial" w:eastAsia="Arial" w:hAnsi="Arial"/>
          <w:sz w:val="18"/>
          <w:szCs w:val="18"/>
          <w:color w:val="auto"/>
        </w:rPr>
      </w:pPr>
    </w:p>
    <w:p>
      <w:pPr>
        <w:ind w:right="60" w:firstLine="757"/>
        <w:spacing w:after="0" w:line="263" w:lineRule="auto"/>
        <w:tabs>
          <w:tab w:leader="none" w:pos="1309"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This Fourth Amended and Restated Certificate of Incorporation (the “Certificate”) amends, restates and integrates the provisions of the Third Amended and Restated Certificate of Incorporation that was filed with the Secretary of State of the State of Delaware on December 18, 2018 (the “Amended and Restated Certificate”), and was duly adopted in accordance with the provisions of Sections 228, 242 and 245 of the General Corporation Law of the State of Delaware (the “DGCL”).</w:t>
      </w:r>
    </w:p>
    <w:p>
      <w:pPr>
        <w:spacing w:after="0" w:line="176" w:lineRule="exact"/>
        <w:rPr>
          <w:rFonts w:ascii="Arial" w:cs="Arial" w:eastAsia="Arial" w:hAnsi="Arial"/>
          <w:sz w:val="19"/>
          <w:szCs w:val="19"/>
          <w:color w:val="auto"/>
        </w:rPr>
      </w:pPr>
    </w:p>
    <w:p>
      <w:pPr>
        <w:ind w:left="1320" w:hanging="563"/>
        <w:spacing w:after="0"/>
        <w:tabs>
          <w:tab w:leader="none" w:pos="13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text of the Amended and Restated Certificate is hereby amended and restated in its entirety to provide as herein set forth</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in full.</w:t>
      </w:r>
    </w:p>
    <w:p>
      <w:pPr>
        <w:spacing w:after="0" w:line="20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ARTICLE I</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name of the Corporation is Relay Therapeutics, Inc.</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ind w:firstLine="749"/>
        <w:spacing w:after="0" w:line="250" w:lineRule="auto"/>
        <w:rPr>
          <w:sz w:val="20"/>
          <w:szCs w:val="20"/>
          <w:color w:val="auto"/>
        </w:rPr>
      </w:pPr>
      <w:r>
        <w:rPr>
          <w:rFonts w:ascii="Arial" w:cs="Arial" w:eastAsia="Arial" w:hAnsi="Arial"/>
          <w:sz w:val="20"/>
          <w:szCs w:val="20"/>
          <w:color w:val="auto"/>
        </w:rPr>
        <w:t>The address of the Corporation’s registered office in the State of Delaware is c/o The Corporation Trust Company, 1209 Orange Street in the City of Wilmington, County of New Castle, DE 19801. The name of its registered agent at such address is The Corporation Trust Company.</w:t>
      </w:r>
    </w:p>
    <w:p>
      <w:pPr>
        <w:spacing w:after="0" w:line="186" w:lineRule="exact"/>
        <w:rPr>
          <w:sz w:val="20"/>
          <w:szCs w:val="20"/>
          <w:color w:val="auto"/>
        </w:rPr>
      </w:pPr>
    </w:p>
    <w:p>
      <w:pPr>
        <w:jc w:val="center"/>
        <w:ind w:left="740"/>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239" w:lineRule="exact"/>
        <w:rPr>
          <w:sz w:val="20"/>
          <w:szCs w:val="20"/>
          <w:color w:val="auto"/>
        </w:rPr>
      </w:pPr>
    </w:p>
    <w:p>
      <w:pPr>
        <w:jc w:val="center"/>
        <w:ind w:left="740"/>
        <w:spacing w:after="0"/>
        <w:rPr>
          <w:sz w:val="20"/>
          <w:szCs w:val="20"/>
          <w:color w:val="auto"/>
        </w:rPr>
      </w:pPr>
      <w:r>
        <w:rPr>
          <w:rFonts w:ascii="Arial" w:cs="Arial" w:eastAsia="Arial" w:hAnsi="Arial"/>
          <w:sz w:val="20"/>
          <w:szCs w:val="20"/>
          <w:color w:val="auto"/>
        </w:rPr>
        <w:t>ARTICLE IV</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0"/>
          <w:szCs w:val="20"/>
          <w:u w:val="single" w:color="auto"/>
          <w:color w:val="auto"/>
        </w:rPr>
        <w:t>CAPITAL STOCK</w:t>
      </w:r>
    </w:p>
    <w:p>
      <w:pPr>
        <w:spacing w:after="0" w:line="216" w:lineRule="exact"/>
        <w:rPr>
          <w:sz w:val="20"/>
          <w:szCs w:val="20"/>
          <w:color w:val="auto"/>
        </w:rPr>
      </w:pPr>
    </w:p>
    <w:p>
      <w:pPr>
        <w:ind w:right="140" w:firstLine="749"/>
        <w:spacing w:after="0" w:line="246" w:lineRule="auto"/>
        <w:rPr>
          <w:sz w:val="20"/>
          <w:szCs w:val="20"/>
          <w:color w:val="auto"/>
        </w:rPr>
      </w:pPr>
      <w:r>
        <w:rPr>
          <w:rFonts w:ascii="Arial" w:cs="Arial" w:eastAsia="Arial" w:hAnsi="Arial"/>
          <w:sz w:val="20"/>
          <w:szCs w:val="20"/>
          <w:color w:val="auto"/>
        </w:rPr>
        <w:t>The total number of shares of capital stock which the Corporation shall have authority to issue is one hundred and sixty million 160,000,000, of which (i) one hundred and fifty million (150,000,000) shares shall be a class designated as common stock, par value $0.001 per share (the “Common Stock”), and (ii) ten million (10,000,000) shares shall be a class designated as undesignated preferred stock, par value $0.001 per share (the “Undesignated Preferred Stock”).</w:t>
      </w:r>
    </w:p>
    <w:p>
      <w:pPr>
        <w:spacing w:after="0" w:line="191" w:lineRule="exact"/>
        <w:rPr>
          <w:sz w:val="20"/>
          <w:szCs w:val="20"/>
          <w:color w:val="auto"/>
        </w:rPr>
      </w:pPr>
    </w:p>
    <w:p>
      <w:pPr>
        <w:ind w:right="200" w:firstLine="749"/>
        <w:spacing w:after="0" w:line="291" w:lineRule="auto"/>
        <w:rPr>
          <w:sz w:val="20"/>
          <w:szCs w:val="20"/>
          <w:color w:val="auto"/>
        </w:rPr>
      </w:pPr>
      <w:r>
        <w:rPr>
          <w:rFonts w:ascii="Arial" w:cs="Arial" w:eastAsia="Arial" w:hAnsi="Arial"/>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Arial" w:cs="Arial" w:eastAsia="Arial" w:hAnsi="Arial"/>
          <w:sz w:val="20"/>
          <w:szCs w:val="20"/>
          <w:color w:val="auto"/>
        </w:rPr>
        <w:t>outstanding shares of capital stock of the Corporation irrespective of the provisions of Section 242(b)(2) of the DGCL.</w:t>
      </w:r>
    </w:p>
    <w:p>
      <w:pPr>
        <w:spacing w:after="0" w:line="216" w:lineRule="exact"/>
        <w:rPr>
          <w:sz w:val="20"/>
          <w:szCs w:val="20"/>
          <w:color w:val="auto"/>
        </w:rPr>
      </w:pPr>
    </w:p>
    <w:p>
      <w:pPr>
        <w:ind w:right="60" w:firstLine="749"/>
        <w:spacing w:after="0" w:line="260" w:lineRule="auto"/>
        <w:rPr>
          <w:sz w:val="20"/>
          <w:szCs w:val="20"/>
          <w:color w:val="auto"/>
        </w:rPr>
      </w:pPr>
      <w:r>
        <w:rPr>
          <w:rFonts w:ascii="Arial" w:cs="Arial" w:eastAsia="Arial" w:hAnsi="Arial"/>
          <w:sz w:val="20"/>
          <w:szCs w:val="20"/>
          <w:color w:val="auto"/>
        </w:rPr>
        <w:t>The powers, preferences and rights of, and the qualifications, limitations and restrictions upon, each class or series of stock shall be determined in accordance with, or as set forth below in, this Article IV.</w:t>
      </w:r>
    </w:p>
    <w:p>
      <w:pPr>
        <w:spacing w:after="0" w:line="177"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COMMON STOCK</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Certificate (or in any certificate of designations of any series of Undesignated Preferred Stock):</w:t>
      </w:r>
    </w:p>
    <w:p>
      <w:pPr>
        <w:spacing w:after="0" w:line="200" w:lineRule="exact"/>
        <w:rPr>
          <w:sz w:val="20"/>
          <w:szCs w:val="20"/>
          <w:color w:val="auto"/>
        </w:rPr>
      </w:pPr>
    </w:p>
    <w:p>
      <w:pPr>
        <w:ind w:left="560" w:hanging="552"/>
        <w:spacing w:after="0"/>
        <w:tabs>
          <w:tab w:leader="none" w:pos="56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holders of the Common Stock shall have the exclusive right to vote for the election of directors of the Corporation (the</w:t>
      </w:r>
    </w:p>
    <w:p>
      <w:pPr>
        <w:spacing w:after="0" w:line="27" w:lineRule="exact"/>
        <w:rPr>
          <w:rFonts w:ascii="Arial" w:cs="Arial" w:eastAsia="Arial" w:hAnsi="Arial"/>
          <w:sz w:val="19"/>
          <w:szCs w:val="19"/>
          <w:color w:val="auto"/>
        </w:rPr>
      </w:pPr>
    </w:p>
    <w:p>
      <w:pPr>
        <w:spacing w:after="0" w:line="271" w:lineRule="auto"/>
        <w:rPr>
          <w:rFonts w:ascii="Arial" w:cs="Arial" w:eastAsia="Arial" w:hAnsi="Arial"/>
          <w:sz w:val="19"/>
          <w:szCs w:val="19"/>
          <w:color w:val="auto"/>
        </w:rPr>
      </w:pPr>
      <w:r>
        <w:rPr>
          <w:rFonts w:ascii="Arial" w:cs="Arial" w:eastAsia="Arial" w:hAnsi="Arial"/>
          <w:sz w:val="18"/>
          <w:szCs w:val="18"/>
          <w:color w:val="auto"/>
        </w:rPr>
        <w:t xml:space="preserve">“Directors”)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70" w:lineRule="exact"/>
        <w:rPr>
          <w:rFonts w:ascii="Arial" w:cs="Arial" w:eastAsia="Arial" w:hAnsi="Arial"/>
          <w:sz w:val="19"/>
          <w:szCs w:val="19"/>
          <w:color w:val="auto"/>
        </w:rPr>
      </w:pPr>
    </w:p>
    <w:p>
      <w:pPr>
        <w:ind w:right="20" w:firstLine="8"/>
        <w:spacing w:after="0" w:line="250" w:lineRule="auto"/>
        <w:tabs>
          <w:tab w:leader="none" w:pos="5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185" w:lineRule="exact"/>
        <w:rPr>
          <w:rFonts w:ascii="Arial" w:cs="Arial" w:eastAsia="Arial" w:hAnsi="Arial"/>
          <w:sz w:val="20"/>
          <w:szCs w:val="20"/>
          <w:color w:val="auto"/>
        </w:rPr>
      </w:pPr>
    </w:p>
    <w:p>
      <w:pPr>
        <w:ind w:right="120" w:firstLine="8"/>
        <w:spacing w:after="0" w:line="260" w:lineRule="auto"/>
        <w:tabs>
          <w:tab w:leader="none" w:pos="5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upon the voluntary or involuntary liquidation, dissolution or winding up of the Corporation, the net assets of the Corporation shall be distributed pro rata to the holders of the Common Stock.</w:t>
      </w:r>
    </w:p>
    <w:p>
      <w:pPr>
        <w:spacing w:after="0" w:line="176" w:lineRule="exact"/>
        <w:rPr>
          <w:rFonts w:ascii="Arial" w:cs="Arial" w:eastAsia="Arial" w:hAnsi="Arial"/>
          <w:sz w:val="20"/>
          <w:szCs w:val="20"/>
          <w:color w:val="auto"/>
        </w:rPr>
      </w:pPr>
    </w:p>
    <w:p>
      <w:pPr>
        <w:ind w:left="4420" w:hanging="228"/>
        <w:spacing w:after="0"/>
        <w:tabs>
          <w:tab w:leader="none" w:pos="4420" w:val="left"/>
        </w:tabs>
        <w:numPr>
          <w:ilvl w:val="1"/>
          <w:numId w:val="72"/>
        </w:numPr>
        <w:rPr>
          <w:rFonts w:ascii="Arial" w:cs="Arial" w:eastAsia="Arial" w:hAnsi="Arial"/>
          <w:sz w:val="20"/>
          <w:szCs w:val="20"/>
          <w:color w:val="auto"/>
        </w:rPr>
      </w:pPr>
      <w:r>
        <w:rPr>
          <w:rFonts w:ascii="Arial" w:cs="Arial" w:eastAsia="Arial" w:hAnsi="Arial"/>
          <w:sz w:val="20"/>
          <w:szCs w:val="20"/>
          <w:u w:val="single" w:color="auto"/>
          <w:color w:val="auto"/>
        </w:rPr>
        <w:t>UNDESIGNATED PREFERRED STOCK</w:t>
      </w:r>
    </w:p>
    <w:p>
      <w:pPr>
        <w:spacing w:after="0" w:line="216" w:lineRule="exact"/>
        <w:rPr>
          <w:sz w:val="20"/>
          <w:szCs w:val="20"/>
          <w:color w:val="auto"/>
        </w:rPr>
      </w:pPr>
    </w:p>
    <w:p>
      <w:pPr>
        <w:ind w:firstLine="749"/>
        <w:spacing w:after="0" w:line="259" w:lineRule="auto"/>
        <w:rPr>
          <w:sz w:val="20"/>
          <w:szCs w:val="20"/>
          <w:color w:val="auto"/>
        </w:rPr>
      </w:pPr>
      <w:r>
        <w:rPr>
          <w:rFonts w:ascii="Arial" w:cs="Arial" w:eastAsia="Arial" w:hAnsi="Arial"/>
          <w:sz w:val="19"/>
          <w:szCs w:val="19"/>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178" w:lineRule="exact"/>
        <w:rPr>
          <w:sz w:val="20"/>
          <w:szCs w:val="20"/>
          <w:color w:val="auto"/>
        </w:rPr>
      </w:pPr>
    </w:p>
    <w:p>
      <w:pPr>
        <w:jc w:val="center"/>
        <w:ind w:left="740"/>
        <w:spacing w:after="0"/>
        <w:rPr>
          <w:sz w:val="20"/>
          <w:szCs w:val="20"/>
          <w:color w:val="auto"/>
        </w:rPr>
      </w:pPr>
      <w:r>
        <w:rPr>
          <w:rFonts w:ascii="Arial" w:cs="Arial" w:eastAsia="Arial" w:hAnsi="Arial"/>
          <w:sz w:val="20"/>
          <w:szCs w:val="20"/>
          <w:color w:val="auto"/>
        </w:rPr>
        <w:t>ARTICLE V</w:t>
      </w:r>
    </w:p>
    <w:p>
      <w:pPr>
        <w:spacing w:after="0" w:line="216" w:lineRule="exact"/>
        <w:rPr>
          <w:sz w:val="20"/>
          <w:szCs w:val="20"/>
          <w:color w:val="auto"/>
        </w:rPr>
      </w:pPr>
    </w:p>
    <w:p>
      <w:pPr>
        <w:ind w:left="4880"/>
        <w:spacing w:after="0"/>
        <w:rPr>
          <w:sz w:val="20"/>
          <w:szCs w:val="20"/>
          <w:color w:val="auto"/>
        </w:rPr>
      </w:pPr>
      <w:r>
        <w:rPr>
          <w:rFonts w:ascii="Arial" w:cs="Arial" w:eastAsia="Arial" w:hAnsi="Arial"/>
          <w:sz w:val="20"/>
          <w:szCs w:val="20"/>
          <w:u w:val="single" w:color="auto"/>
          <w:color w:val="auto"/>
        </w:rPr>
        <w:t>STOCKHOLDER ACTION</w:t>
      </w:r>
    </w:p>
    <w:p>
      <w:pPr>
        <w:spacing w:after="0" w:line="216" w:lineRule="exact"/>
        <w:rPr>
          <w:sz w:val="20"/>
          <w:szCs w:val="20"/>
          <w:color w:val="auto"/>
        </w:rPr>
      </w:pPr>
    </w:p>
    <w:p>
      <w:pPr>
        <w:ind w:right="20" w:firstLine="757"/>
        <w:spacing w:after="0" w:line="243" w:lineRule="auto"/>
        <w:tabs>
          <w:tab w:leader="none" w:pos="1309"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Action without Meeting</w:t>
      </w:r>
      <w:r>
        <w:rPr>
          <w:rFonts w:ascii="Arial" w:cs="Arial" w:eastAsia="Arial" w:hAnsi="Arial"/>
          <w:sz w:val="20"/>
          <w:szCs w:val="20"/>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95" w:lineRule="exact"/>
        <w:rPr>
          <w:rFonts w:ascii="Arial" w:cs="Arial" w:eastAsia="Arial" w:hAnsi="Arial"/>
          <w:sz w:val="20"/>
          <w:szCs w:val="20"/>
          <w:color w:val="auto"/>
        </w:rPr>
      </w:pPr>
    </w:p>
    <w:p>
      <w:pPr>
        <w:ind w:right="400" w:firstLine="757"/>
        <w:spacing w:after="0" w:line="260" w:lineRule="auto"/>
        <w:tabs>
          <w:tab w:leader="none" w:pos="1309"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Special Meetings</w:t>
      </w:r>
      <w:r>
        <w:rPr>
          <w:rFonts w:ascii="Arial" w:cs="Arial" w:eastAsia="Arial" w:hAnsi="Arial"/>
          <w:sz w:val="20"/>
          <w:szCs w:val="20"/>
          <w:color w:val="auto"/>
        </w:rPr>
        <w:t>. Except as otherwise required by statute and subject to the rights, if any, of the holders of any series of Undesignated Preferred Stock, special meetings of the stockholders of</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55" w:name="page156"/>
    <w:bookmarkEnd w:id="155"/>
    <w:p>
      <w:pPr>
        <w:ind w:right="40"/>
        <w:spacing w:after="0" w:line="291" w:lineRule="auto"/>
        <w:rPr>
          <w:sz w:val="20"/>
          <w:szCs w:val="20"/>
          <w:color w:val="auto"/>
        </w:rPr>
      </w:pPr>
      <w:r>
        <w:rPr>
          <w:rFonts w:ascii="Arial" w:cs="Arial" w:eastAsia="Arial" w:hAnsi="Arial"/>
          <w:sz w:val="18"/>
          <w:szCs w:val="18"/>
          <w:color w:val="auto"/>
        </w:rPr>
        <w:t>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52"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ARTICLE VI</w:t>
      </w:r>
    </w:p>
    <w:p>
      <w:pPr>
        <w:spacing w:after="0" w:line="216" w:lineRule="exact"/>
        <w:rPr>
          <w:sz w:val="20"/>
          <w:szCs w:val="20"/>
          <w:color w:val="auto"/>
        </w:rPr>
      </w:pPr>
    </w:p>
    <w:p>
      <w:pPr>
        <w:ind w:left="5460"/>
        <w:spacing w:after="0"/>
        <w:rPr>
          <w:sz w:val="20"/>
          <w:szCs w:val="20"/>
          <w:color w:val="auto"/>
        </w:rPr>
      </w:pPr>
      <w:r>
        <w:rPr>
          <w:rFonts w:ascii="Arial" w:cs="Arial" w:eastAsia="Arial" w:hAnsi="Arial"/>
          <w:sz w:val="20"/>
          <w:szCs w:val="20"/>
          <w:u w:val="single" w:color="auto"/>
          <w:color w:val="auto"/>
        </w:rPr>
        <w:t>DIRECTORS</w:t>
      </w:r>
    </w:p>
    <w:p>
      <w:pPr>
        <w:spacing w:after="0" w:line="216" w:lineRule="exact"/>
        <w:rPr>
          <w:sz w:val="20"/>
          <w:szCs w:val="20"/>
          <w:color w:val="auto"/>
        </w:rPr>
      </w:pPr>
    </w:p>
    <w:p>
      <w:pPr>
        <w:ind w:right="260" w:firstLine="757"/>
        <w:spacing w:after="0" w:line="260" w:lineRule="auto"/>
        <w:tabs>
          <w:tab w:leader="none" w:pos="1309"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The business and affairs of the Corporation shall be managed by or under the direction of the Board of Directors except as otherwise provided herein or required by law.</w:t>
      </w:r>
    </w:p>
    <w:p>
      <w:pPr>
        <w:spacing w:after="0" w:line="176" w:lineRule="exact"/>
        <w:rPr>
          <w:rFonts w:ascii="Arial" w:cs="Arial" w:eastAsia="Arial" w:hAnsi="Arial"/>
          <w:sz w:val="20"/>
          <w:szCs w:val="20"/>
          <w:color w:val="auto"/>
        </w:rPr>
      </w:pPr>
    </w:p>
    <w:p>
      <w:pPr>
        <w:ind w:right="300" w:firstLine="757"/>
        <w:spacing w:after="0" w:line="260" w:lineRule="auto"/>
        <w:tabs>
          <w:tab w:leader="none" w:pos="1309"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Election of Directors</w:t>
      </w:r>
      <w:r>
        <w:rPr>
          <w:rFonts w:ascii="Arial" w:cs="Arial" w:eastAsia="Arial" w:hAnsi="Arial"/>
          <w:sz w:val="20"/>
          <w:szCs w:val="20"/>
          <w:color w:val="auto"/>
        </w:rPr>
        <w:t>. Election of Directors need not be by written ballot unless the By-laws of the Corporation (the “By-laws”) shall so provide.</w:t>
      </w:r>
    </w:p>
    <w:p>
      <w:pPr>
        <w:spacing w:after="0" w:line="176" w:lineRule="exact"/>
        <w:rPr>
          <w:rFonts w:ascii="Arial" w:cs="Arial" w:eastAsia="Arial" w:hAnsi="Arial"/>
          <w:sz w:val="20"/>
          <w:szCs w:val="20"/>
          <w:color w:val="auto"/>
        </w:rPr>
      </w:pPr>
    </w:p>
    <w:p>
      <w:pPr>
        <w:ind w:right="140" w:firstLine="757"/>
        <w:spacing w:after="0" w:line="255" w:lineRule="auto"/>
        <w:tabs>
          <w:tab w:leader="none" w:pos="1309"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Number of Directors; Term of Office</w:t>
      </w:r>
      <w:r>
        <w:rPr>
          <w:rFonts w:ascii="Arial" w:cs="Arial" w:eastAsia="Arial" w:hAnsi="Arial"/>
          <w:sz w:val="19"/>
          <w:szCs w:val="19"/>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Sanjiv K. Patel and Linda A. Hill; the initial Class II Directors of the Corporation shall be Alexis Borisy, Laura Shawver, and Mark Murcko, and the initial Class III Directors of the Corporation shall be Dipchand Nishar, Douglas Ingram, and Jami Rubin.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Relay Therapeutics, Inc., 399 Binney Street, Cambridge, Massachusetts 02139.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82" w:lineRule="exact"/>
        <w:rPr>
          <w:sz w:val="20"/>
          <w:szCs w:val="20"/>
          <w:color w:val="auto"/>
        </w:rPr>
      </w:pPr>
    </w:p>
    <w:p>
      <w:pPr>
        <w:ind w:right="160" w:firstLine="749"/>
        <w:spacing w:after="0" w:line="282" w:lineRule="auto"/>
        <w:rPr>
          <w:sz w:val="20"/>
          <w:szCs w:val="20"/>
          <w:color w:val="auto"/>
        </w:rPr>
      </w:pPr>
      <w:r>
        <w:rPr>
          <w:rFonts w:ascii="Arial" w:cs="Arial" w:eastAsia="Arial" w:hAnsi="Arial"/>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61" w:lineRule="exact"/>
        <w:rPr>
          <w:sz w:val="20"/>
          <w:szCs w:val="20"/>
          <w:color w:val="auto"/>
        </w:rPr>
      </w:pPr>
    </w:p>
    <w:p>
      <w:pPr>
        <w:jc w:val="both"/>
        <w:ind w:right="440" w:firstLine="749"/>
        <w:spacing w:after="0" w:line="291"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152" w:lineRule="exact"/>
        <w:rPr>
          <w:sz w:val="20"/>
          <w:szCs w:val="20"/>
          <w:color w:val="auto"/>
        </w:rPr>
      </w:pPr>
    </w:p>
    <w:p>
      <w:pPr>
        <w:ind w:firstLine="757"/>
        <w:spacing w:after="0" w:line="272" w:lineRule="auto"/>
        <w:tabs>
          <w:tab w:leader="none" w:pos="130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 Section 3</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9" w:right="379" w:bottom="1440" w:gutter="0" w:footer="0" w:header="0"/>
        </w:sectPr>
      </w:pPr>
    </w:p>
    <w:bookmarkStart w:id="156" w:name="page157"/>
    <w:bookmarkEnd w:id="156"/>
    <w:p>
      <w:pPr>
        <w:ind w:right="80"/>
        <w:spacing w:after="0" w:line="246" w:lineRule="auto"/>
        <w:rPr>
          <w:sz w:val="20"/>
          <w:szCs w:val="20"/>
          <w:color w:val="auto"/>
        </w:rPr>
      </w:pPr>
      <w:r>
        <w:rPr>
          <w:rFonts w:ascii="Arial" w:cs="Arial" w:eastAsia="Arial" w:hAnsi="Arial"/>
          <w:sz w:val="20"/>
          <w:szCs w:val="20"/>
          <w:color w:val="auto"/>
        </w:rPr>
        <w:t xml:space="preserve">hereof, determine the class or classes to which the increased or decreased number of Directors shall be apportioned;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91" w:lineRule="exact"/>
        <w:rPr>
          <w:sz w:val="20"/>
          <w:szCs w:val="20"/>
          <w:color w:val="auto"/>
        </w:rPr>
      </w:pPr>
    </w:p>
    <w:p>
      <w:pPr>
        <w:ind w:right="20" w:firstLine="757"/>
        <w:spacing w:after="0" w:line="276" w:lineRule="auto"/>
        <w:tabs>
          <w:tab w:leader="none" w:pos="130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65" w:lineRule="exact"/>
        <w:rPr>
          <w:sz w:val="20"/>
          <w:szCs w:val="20"/>
          <w:color w:val="auto"/>
        </w:rPr>
      </w:pPr>
    </w:p>
    <w:p>
      <w:pPr>
        <w:jc w:val="center"/>
        <w:ind w:left="740"/>
        <w:spacing w:after="0"/>
        <w:rPr>
          <w:sz w:val="20"/>
          <w:szCs w:val="20"/>
          <w:color w:val="auto"/>
        </w:rPr>
      </w:pPr>
      <w:r>
        <w:rPr>
          <w:rFonts w:ascii="Arial" w:cs="Arial" w:eastAsia="Arial" w:hAnsi="Arial"/>
          <w:sz w:val="20"/>
          <w:szCs w:val="20"/>
          <w:color w:val="auto"/>
        </w:rPr>
        <w:t>ARTICLE VII</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0"/>
          <w:szCs w:val="20"/>
          <w:u w:val="single" w:color="auto"/>
          <w:color w:val="auto"/>
        </w:rPr>
        <w:t>LIMITATION OF LIABILITY</w:t>
      </w:r>
    </w:p>
    <w:p>
      <w:pPr>
        <w:spacing w:after="0" w:line="216" w:lineRule="exact"/>
        <w:rPr>
          <w:sz w:val="20"/>
          <w:szCs w:val="20"/>
          <w:color w:val="auto"/>
        </w:rPr>
      </w:pPr>
    </w:p>
    <w:p>
      <w:pPr>
        <w:ind w:right="100" w:firstLine="749"/>
        <w:spacing w:after="0" w:line="276"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65" w:lineRule="exact"/>
        <w:rPr>
          <w:sz w:val="20"/>
          <w:szCs w:val="20"/>
          <w:color w:val="auto"/>
        </w:rPr>
      </w:pPr>
    </w:p>
    <w:p>
      <w:pPr>
        <w:ind w:right="200" w:firstLine="749"/>
        <w:spacing w:after="0" w:line="246" w:lineRule="auto"/>
        <w:rPr>
          <w:sz w:val="20"/>
          <w:szCs w:val="20"/>
          <w:color w:val="auto"/>
        </w:rPr>
      </w:pPr>
      <w:r>
        <w:rPr>
          <w:rFonts w:ascii="Arial" w:cs="Arial" w:eastAsia="Arial" w:hAnsi="Arial"/>
          <w:sz w:val="20"/>
          <w:szCs w:val="20"/>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91" w:lineRule="exact"/>
        <w:rPr>
          <w:sz w:val="20"/>
          <w:szCs w:val="20"/>
          <w:color w:val="auto"/>
        </w:rPr>
      </w:pPr>
    </w:p>
    <w:p>
      <w:pPr>
        <w:jc w:val="both"/>
        <w:ind w:right="460" w:firstLine="749"/>
        <w:spacing w:after="0" w:line="269" w:lineRule="auto"/>
        <w:rPr>
          <w:sz w:val="20"/>
          <w:szCs w:val="20"/>
          <w:color w:val="auto"/>
        </w:rPr>
      </w:pPr>
      <w:r>
        <w:rPr>
          <w:rFonts w:ascii="Arial" w:cs="Arial" w:eastAsia="Arial" w:hAnsi="Arial"/>
          <w:sz w:val="19"/>
          <w:szCs w:val="19"/>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0" w:lineRule="exact"/>
        <w:rPr>
          <w:sz w:val="20"/>
          <w:szCs w:val="20"/>
          <w:color w:val="auto"/>
        </w:rPr>
      </w:pPr>
    </w:p>
    <w:p>
      <w:pPr>
        <w:jc w:val="center"/>
        <w:ind w:left="740"/>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ind w:left="4740"/>
        <w:spacing w:after="0"/>
        <w:rPr>
          <w:sz w:val="20"/>
          <w:szCs w:val="20"/>
          <w:color w:val="auto"/>
        </w:rPr>
      </w:pPr>
      <w:r>
        <w:rPr>
          <w:rFonts w:ascii="Arial" w:cs="Arial" w:eastAsia="Arial" w:hAnsi="Arial"/>
          <w:sz w:val="20"/>
          <w:szCs w:val="20"/>
          <w:u w:val="single" w:color="auto"/>
          <w:color w:val="auto"/>
        </w:rPr>
        <w:t>AMENDMENT OF BY-LAWS</w:t>
      </w:r>
    </w:p>
    <w:p>
      <w:pPr>
        <w:spacing w:after="0" w:line="216" w:lineRule="exact"/>
        <w:rPr>
          <w:sz w:val="20"/>
          <w:szCs w:val="20"/>
          <w:color w:val="auto"/>
        </w:rPr>
      </w:pPr>
    </w:p>
    <w:p>
      <w:pPr>
        <w:ind w:firstLine="757"/>
        <w:spacing w:after="0" w:line="260" w:lineRule="auto"/>
        <w:tabs>
          <w:tab w:leader="none" w:pos="1309"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Amendment by Directors</w:t>
      </w:r>
      <w:r>
        <w:rPr>
          <w:rFonts w:ascii="Arial" w:cs="Arial" w:eastAsia="Arial" w:hAnsi="Arial"/>
          <w:sz w:val="20"/>
          <w:szCs w:val="20"/>
          <w:color w:val="auto"/>
        </w:rPr>
        <w:t>. Except as otherwise provided by law, the By-laws of the Corporation may be amended or repealed by the Board of Directors by the affirmative vote of a majority of the Directors then in office.</w:t>
      </w:r>
    </w:p>
    <w:p>
      <w:pPr>
        <w:spacing w:after="0" w:line="176" w:lineRule="exact"/>
        <w:rPr>
          <w:rFonts w:ascii="Arial" w:cs="Arial" w:eastAsia="Arial" w:hAnsi="Arial"/>
          <w:sz w:val="20"/>
          <w:szCs w:val="20"/>
          <w:color w:val="auto"/>
        </w:rPr>
      </w:pPr>
    </w:p>
    <w:p>
      <w:pPr>
        <w:ind w:right="20" w:firstLine="757"/>
        <w:spacing w:after="0" w:line="342" w:lineRule="auto"/>
        <w:tabs>
          <w:tab w:leader="none" w:pos="130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57" w:name="page158"/>
    <w:bookmarkEnd w:id="157"/>
    <w:p>
      <w:pPr>
        <w:jc w:val="center"/>
        <w:ind w:left="740"/>
        <w:spacing w:after="0"/>
        <w:rPr>
          <w:sz w:val="20"/>
          <w:szCs w:val="20"/>
          <w:color w:val="auto"/>
        </w:rPr>
      </w:pPr>
      <w:r>
        <w:rPr>
          <w:rFonts w:ascii="Arial" w:cs="Arial" w:eastAsia="Arial" w:hAnsi="Arial"/>
          <w:sz w:val="20"/>
          <w:szCs w:val="20"/>
          <w:color w:val="auto"/>
        </w:rPr>
        <w:t>ARTICLE IX</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0"/>
          <w:szCs w:val="20"/>
          <w:u w:val="single" w:color="auto"/>
          <w:color w:val="auto"/>
        </w:rPr>
        <w:t>AMENDMENT OF CERTIFICATE OF INCORPORATION</w:t>
      </w:r>
    </w:p>
    <w:p>
      <w:pPr>
        <w:spacing w:after="0" w:line="216" w:lineRule="exact"/>
        <w:rPr>
          <w:sz w:val="20"/>
          <w:szCs w:val="20"/>
          <w:color w:val="auto"/>
        </w:rPr>
      </w:pPr>
    </w:p>
    <w:p>
      <w:pPr>
        <w:ind w:firstLine="749"/>
        <w:spacing w:after="0" w:line="276" w:lineRule="auto"/>
        <w:rPr>
          <w:sz w:val="20"/>
          <w:szCs w:val="20"/>
          <w:color w:val="auto"/>
        </w:rPr>
      </w:pPr>
      <w:r>
        <w:rPr>
          <w:rFonts w:ascii="Arial" w:cs="Arial" w:eastAsia="Arial" w:hAnsi="Arial"/>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[End of 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9" w:right="359" w:bottom="1440" w:gutter="0" w:footer="0" w:header="0"/>
        </w:sectPr>
      </w:pPr>
    </w:p>
    <w:bookmarkStart w:id="158" w:name="page159"/>
    <w:bookmarkEnd w:id="158"/>
    <w:p>
      <w:pPr>
        <w:ind w:left="760"/>
        <w:spacing w:after="0"/>
        <w:rPr>
          <w:sz w:val="20"/>
          <w:szCs w:val="20"/>
          <w:color w:val="auto"/>
        </w:rPr>
      </w:pPr>
      <w:r>
        <w:rPr>
          <w:rFonts w:ascii="Arial" w:cs="Arial" w:eastAsia="Arial" w:hAnsi="Arial"/>
          <w:sz w:val="19"/>
          <w:szCs w:val="19"/>
          <w:color w:val="auto"/>
        </w:rPr>
        <w:t>THIS FOURTH AMENDED AND RESTATED CERTIFICATE OF INCORPORATION is executed as of this 20th day of July,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2020.</w:t>
      </w:r>
    </w:p>
    <w:p>
      <w:pPr>
        <w:spacing w:after="0" w:line="200" w:lineRule="exact"/>
        <w:rPr>
          <w:sz w:val="20"/>
          <w:szCs w:val="20"/>
          <w:color w:val="auto"/>
        </w:rPr>
      </w:pPr>
    </w:p>
    <w:p>
      <w:pPr>
        <w:spacing w:after="0" w:line="229" w:lineRule="exact"/>
        <w:rPr>
          <w:sz w:val="20"/>
          <w:szCs w:val="20"/>
          <w:color w:val="auto"/>
        </w:rPr>
      </w:pPr>
    </w:p>
    <w:tbl>
      <w:tblPr>
        <w:tblLayout w:type="fixed"/>
        <w:tblInd w:w="6220" w:type="dxa"/>
        <w:tblCellMar>
          <w:top w:w="0" w:type="dxa"/>
          <w:left w:w="0" w:type="dxa"/>
          <w:bottom w:w="0" w:type="dxa"/>
          <w:right w:w="0" w:type="dxa"/>
        </w:tblCellMar>
      </w:tblPr>
      <w:tr>
        <w:trPr>
          <w:trHeight w:val="250"/>
        </w:trPr>
        <w:tc>
          <w:tcPr>
            <w:tcW w:w="880" w:type="dxa"/>
            <w:vAlign w:val="bottom"/>
          </w:tcPr>
          <w:p>
            <w:pPr>
              <w:spacing w:after="0"/>
              <w:rPr>
                <w:sz w:val="21"/>
                <w:szCs w:val="21"/>
                <w:color w:val="auto"/>
              </w:rPr>
            </w:pPr>
          </w:p>
        </w:tc>
        <w:tc>
          <w:tcPr>
            <w:tcW w:w="4140" w:type="dxa"/>
            <w:vAlign w:val="bottom"/>
          </w:tcPr>
          <w:p>
            <w:pPr>
              <w:spacing w:after="0"/>
              <w:rPr>
                <w:sz w:val="20"/>
                <w:szCs w:val="20"/>
                <w:color w:val="auto"/>
              </w:rPr>
            </w:pPr>
            <w:r>
              <w:rPr>
                <w:rFonts w:ascii="Arial" w:cs="Arial" w:eastAsia="Arial" w:hAnsi="Arial"/>
                <w:sz w:val="20"/>
                <w:szCs w:val="20"/>
                <w:color w:val="auto"/>
              </w:rPr>
              <w:t>RELAY THERAPEUTICS, INC.</w:t>
            </w:r>
          </w:p>
        </w:tc>
      </w:tr>
      <w:tr>
        <w:trPr>
          <w:trHeight w:val="464"/>
        </w:trPr>
        <w:tc>
          <w:tcPr>
            <w:tcW w:w="880" w:type="dxa"/>
            <w:vAlign w:val="bottom"/>
          </w:tcPr>
          <w:p>
            <w:pPr>
              <w:jc w:val="right"/>
              <w:ind w:right="261"/>
              <w:spacing w:after="0"/>
              <w:rPr>
                <w:sz w:val="20"/>
                <w:szCs w:val="20"/>
                <w:color w:val="auto"/>
              </w:rPr>
            </w:pPr>
            <w:r>
              <w:rPr>
                <w:rFonts w:ascii="Arial" w:cs="Arial" w:eastAsia="Arial" w:hAnsi="Arial"/>
                <w:sz w:val="20"/>
                <w:szCs w:val="20"/>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Sanjiv K. Patel</w:t>
            </w:r>
          </w:p>
        </w:tc>
      </w:tr>
      <w:tr>
        <w:trPr>
          <w:trHeight w:val="340"/>
        </w:trPr>
        <w:tc>
          <w:tcPr>
            <w:tcW w:w="880" w:type="dxa"/>
            <w:vAlign w:val="bottom"/>
          </w:tcPr>
          <w:p>
            <w:pPr>
              <w:jc w:val="right"/>
              <w:ind w:right="261"/>
              <w:spacing w:after="0"/>
              <w:rPr>
                <w:sz w:val="20"/>
                <w:szCs w:val="20"/>
                <w:color w:val="auto"/>
              </w:rPr>
            </w:pPr>
            <w:r>
              <w:rPr>
                <w:rFonts w:ascii="Arial" w:cs="Arial" w:eastAsia="Arial" w:hAnsi="Arial"/>
                <w:sz w:val="20"/>
                <w:szCs w:val="20"/>
                <w:color w:val="auto"/>
                <w:w w:val="84"/>
              </w:rPr>
              <w:t>Name:</w:t>
            </w:r>
          </w:p>
        </w:tc>
        <w:tc>
          <w:tcPr>
            <w:tcW w:w="4140" w:type="dxa"/>
            <w:vAlign w:val="bottom"/>
          </w:tcPr>
          <w:p>
            <w:pPr>
              <w:ind w:left="20"/>
              <w:spacing w:after="0"/>
              <w:rPr>
                <w:sz w:val="20"/>
                <w:szCs w:val="20"/>
                <w:color w:val="auto"/>
              </w:rPr>
            </w:pPr>
            <w:r>
              <w:rPr>
                <w:rFonts w:ascii="Arial" w:cs="Arial" w:eastAsia="Arial" w:hAnsi="Arial"/>
                <w:sz w:val="20"/>
                <w:szCs w:val="20"/>
                <w:color w:val="auto"/>
              </w:rPr>
              <w:t>Sanjiv K. Patel</w:t>
            </w:r>
          </w:p>
        </w:tc>
      </w:tr>
      <w:tr>
        <w:trPr>
          <w:trHeight w:val="351"/>
        </w:trPr>
        <w:tc>
          <w:tcPr>
            <w:tcW w:w="880" w:type="dxa"/>
            <w:vAlign w:val="bottom"/>
          </w:tcPr>
          <w:p>
            <w:pPr>
              <w:jc w:val="right"/>
              <w:ind w:right="261"/>
              <w:spacing w:after="0"/>
              <w:rPr>
                <w:sz w:val="20"/>
                <w:szCs w:val="20"/>
                <w:color w:val="auto"/>
              </w:rPr>
            </w:pPr>
            <w:r>
              <w:rPr>
                <w:rFonts w:ascii="Arial" w:cs="Arial" w:eastAsia="Arial" w:hAnsi="Arial"/>
                <w:sz w:val="20"/>
                <w:szCs w:val="20"/>
                <w:color w:val="auto"/>
              </w:rPr>
              <w:t>Title:</w:t>
            </w:r>
          </w:p>
        </w:tc>
        <w:tc>
          <w:tcPr>
            <w:tcW w:w="4140" w:type="dxa"/>
            <w:vAlign w:val="bottom"/>
          </w:tcPr>
          <w:p>
            <w:pPr>
              <w:ind w:left="20"/>
              <w:spacing w:after="0"/>
              <w:rPr>
                <w:sz w:val="20"/>
                <w:szCs w:val="20"/>
                <w:color w:val="auto"/>
              </w:rPr>
            </w:pPr>
            <w:r>
              <w:rPr>
                <w:rFonts w:ascii="Arial" w:cs="Arial" w:eastAsia="Arial" w:hAnsi="Arial"/>
                <w:sz w:val="20"/>
                <w:szCs w:val="20"/>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9" w:name="page160"/>
    <w:bookmarkEnd w:id="159"/>
    <w:p>
      <w:pPr>
        <w:jc w:val="center"/>
        <w:ind w:left="740"/>
        <w:spacing w:after="0"/>
        <w:rPr>
          <w:sz w:val="20"/>
          <w:szCs w:val="20"/>
          <w:color w:val="auto"/>
        </w:rPr>
      </w:pPr>
      <w:r>
        <w:rPr>
          <w:rFonts w:ascii="Arial" w:cs="Arial" w:eastAsia="Arial" w:hAnsi="Arial"/>
          <w:sz w:val="20"/>
          <w:szCs w:val="20"/>
          <w:b w:val="1"/>
          <w:bCs w:val="1"/>
          <w:color w:val="auto"/>
        </w:rPr>
        <w:t>CERTIFICATE OF AMENDMENT</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0"/>
          <w:szCs w:val="20"/>
          <w:b w:val="1"/>
          <w:bCs w:val="1"/>
          <w:color w:val="auto"/>
        </w:rPr>
        <w:t>FOURTH AMENDED AND RESTATED CERTIFICATE OF INCORPORATION</w:t>
      </w:r>
    </w:p>
    <w:p>
      <w:pPr>
        <w:spacing w:after="0" w:line="216" w:lineRule="exact"/>
        <w:rPr>
          <w:sz w:val="20"/>
          <w:szCs w:val="20"/>
          <w:color w:val="auto"/>
        </w:rPr>
      </w:pPr>
    </w:p>
    <w:p>
      <w:pPr>
        <w:jc w:val="center"/>
        <w:ind w:left="740"/>
        <w:spacing w:after="0"/>
        <w:rPr>
          <w:sz w:val="20"/>
          <w:szCs w:val="20"/>
          <w:color w:val="auto"/>
        </w:rPr>
      </w:pPr>
      <w:r>
        <w:rPr>
          <w:rFonts w:ascii="Arial" w:cs="Arial" w:eastAsia="Arial" w:hAnsi="Arial"/>
          <w:sz w:val="20"/>
          <w:szCs w:val="20"/>
          <w:b w:val="1"/>
          <w:bCs w:val="1"/>
          <w:color w:val="auto"/>
        </w:rPr>
        <w:t>OF</w:t>
      </w:r>
    </w:p>
    <w:p>
      <w:pPr>
        <w:spacing w:after="0" w:line="216"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RELAY THERAPEUTICS, INC.</w:t>
      </w:r>
    </w:p>
    <w:p>
      <w:pPr>
        <w:spacing w:after="0" w:line="222" w:lineRule="exact"/>
        <w:rPr>
          <w:sz w:val="20"/>
          <w:szCs w:val="20"/>
          <w:color w:val="auto"/>
        </w:rPr>
      </w:pPr>
    </w:p>
    <w:p>
      <w:pPr>
        <w:ind w:right="1180" w:firstLine="749"/>
        <w:spacing w:after="0" w:line="260" w:lineRule="auto"/>
        <w:rPr>
          <w:sz w:val="20"/>
          <w:szCs w:val="20"/>
          <w:color w:val="auto"/>
        </w:rPr>
      </w:pPr>
      <w:r>
        <w:rPr>
          <w:rFonts w:ascii="Arial" w:cs="Arial" w:eastAsia="Arial" w:hAnsi="Arial"/>
          <w:sz w:val="20"/>
          <w:szCs w:val="20"/>
          <w:color w:val="auto"/>
        </w:rPr>
        <w:t>Relay Therapeutics, Inc. (the “</w:t>
      </w:r>
      <w:r>
        <w:rPr>
          <w:rFonts w:ascii="Arial" w:cs="Arial" w:eastAsia="Arial" w:hAnsi="Arial"/>
          <w:sz w:val="20"/>
          <w:szCs w:val="20"/>
          <w:u w:val="single" w:color="auto"/>
          <w:color w:val="auto"/>
        </w:rPr>
        <w:t>Corporation</w:t>
      </w:r>
      <w:r>
        <w:rPr>
          <w:rFonts w:ascii="Arial" w:cs="Arial" w:eastAsia="Arial" w:hAnsi="Arial"/>
          <w:sz w:val="20"/>
          <w:szCs w:val="20"/>
          <w:color w:val="auto"/>
        </w:rPr>
        <w:t>”), a corporation organized and existing under and by virtue of the General Corporation Law of the State of Delaware (the “</w:t>
      </w:r>
      <w:r>
        <w:rPr>
          <w:rFonts w:ascii="Arial" w:cs="Arial" w:eastAsia="Arial" w:hAnsi="Arial"/>
          <w:sz w:val="20"/>
          <w:szCs w:val="20"/>
          <w:u w:val="single" w:color="auto"/>
          <w:color w:val="auto"/>
        </w:rPr>
        <w:t>General Corporation Law</w:t>
      </w:r>
      <w:r>
        <w:rPr>
          <w:rFonts w:ascii="Arial" w:cs="Arial" w:eastAsia="Arial" w:hAnsi="Arial"/>
          <w:sz w:val="20"/>
          <w:szCs w:val="20"/>
          <w:color w:val="auto"/>
        </w:rPr>
        <w: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DOES HEREBY CERTIFY:</w:t>
      </w:r>
    </w:p>
    <w:p>
      <w:pPr>
        <w:spacing w:after="0" w:line="222" w:lineRule="exact"/>
        <w:rPr>
          <w:sz w:val="20"/>
          <w:szCs w:val="20"/>
          <w:color w:val="auto"/>
        </w:rPr>
      </w:pPr>
    </w:p>
    <w:p>
      <w:pPr>
        <w:ind w:right="180" w:firstLine="757"/>
        <w:spacing w:after="0" w:line="260" w:lineRule="auto"/>
        <w:tabs>
          <w:tab w:leader="none" w:pos="1309"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That the name of this corporation is Relay Therapeutics, Inc. and that this corporation was originally incorporated pursuant to the General Corporation Law on May 4, 2015 under the name Allostery, Inc.</w:t>
      </w:r>
    </w:p>
    <w:p>
      <w:pPr>
        <w:spacing w:after="0" w:line="176" w:lineRule="exact"/>
        <w:rPr>
          <w:rFonts w:ascii="Arial" w:cs="Arial" w:eastAsia="Arial" w:hAnsi="Arial"/>
          <w:sz w:val="20"/>
          <w:szCs w:val="20"/>
          <w:color w:val="auto"/>
        </w:rPr>
      </w:pPr>
    </w:p>
    <w:p>
      <w:pPr>
        <w:ind w:right="580" w:firstLine="757"/>
        <w:spacing w:after="0" w:line="246" w:lineRule="auto"/>
        <w:tabs>
          <w:tab w:leader="none" w:pos="1309"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That the Board of Directors of the Corporation duly adopted resolutions proposing to amend the Fourth Amended and Restated Certificate of Incorporation of the Corporation, declaring said amendment to be advisable and in the best interests of the Corporation and its stockholders, and authorizing the appropriate officers of the Corporation to solicit the consent of the stockholders therefor, which resolutions setting forth the proposed amendments are as follows:</w:t>
      </w:r>
    </w:p>
    <w:p>
      <w:pPr>
        <w:spacing w:after="0" w:line="185" w:lineRule="exact"/>
        <w:rPr>
          <w:sz w:val="20"/>
          <w:szCs w:val="20"/>
          <w:color w:val="auto"/>
        </w:rPr>
      </w:pPr>
    </w:p>
    <w:p>
      <w:pPr>
        <w:ind w:right="220" w:firstLine="749"/>
        <w:spacing w:after="0" w:line="267"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that the first paragraph of ARTICLE IV of the Fourth Amended and Restated Certificate of Incorporation is hereby</w:t>
      </w:r>
      <w:r>
        <w:rPr>
          <w:rFonts w:ascii="Arial" w:cs="Arial" w:eastAsia="Arial" w:hAnsi="Arial"/>
          <w:sz w:val="20"/>
          <w:szCs w:val="20"/>
          <w:b w:val="1"/>
          <w:bCs w:val="1"/>
          <w:color w:val="auto"/>
        </w:rPr>
        <w:t xml:space="preserve"> </w:t>
      </w:r>
      <w:r>
        <w:rPr>
          <w:rFonts w:ascii="Arial" w:cs="Arial" w:eastAsia="Arial" w:hAnsi="Arial"/>
          <w:sz w:val="20"/>
          <w:szCs w:val="20"/>
          <w:color w:val="auto"/>
        </w:rPr>
        <w:t>replaced in its entirety to read as follows:</w:t>
      </w:r>
    </w:p>
    <w:p>
      <w:pPr>
        <w:spacing w:after="0" w:line="169" w:lineRule="exact"/>
        <w:rPr>
          <w:sz w:val="20"/>
          <w:szCs w:val="20"/>
          <w:color w:val="auto"/>
        </w:rPr>
      </w:pPr>
    </w:p>
    <w:p>
      <w:pPr>
        <w:ind w:left="800" w:right="380" w:firstLine="749"/>
        <w:spacing w:after="0" w:line="246" w:lineRule="auto"/>
        <w:rPr>
          <w:sz w:val="20"/>
          <w:szCs w:val="20"/>
          <w:color w:val="auto"/>
        </w:rPr>
      </w:pPr>
      <w:r>
        <w:rPr>
          <w:rFonts w:ascii="Arial" w:cs="Arial" w:eastAsia="Arial" w:hAnsi="Arial"/>
          <w:sz w:val="20"/>
          <w:szCs w:val="20"/>
          <w:color w:val="auto"/>
        </w:rPr>
        <w:t>“The total number of shares of capital stock which the Corporation shall have authority to issue is 310,000,000 of which (i) three hundred million (300,000,000) shares shall be a class designated as common stock, par value $0.001 per share (the “Common Stock”), and (ii) ten million (10,000,000) shares shall be a class designated as undesignated preferred stock, par value $0.001 per share (the “Undesignated Preferred Stock”).”</w:t>
      </w:r>
    </w:p>
    <w:p>
      <w:pPr>
        <w:spacing w:after="0" w:line="191" w:lineRule="exact"/>
        <w:rPr>
          <w:sz w:val="20"/>
          <w:szCs w:val="20"/>
          <w:color w:val="auto"/>
        </w:rPr>
      </w:pPr>
    </w:p>
    <w:p>
      <w:pPr>
        <w:ind w:right="800" w:firstLine="757"/>
        <w:spacing w:after="0" w:line="260" w:lineRule="auto"/>
        <w:tabs>
          <w:tab w:leader="none" w:pos="1309"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That the foregoing amendment was approved by the holders of the requisite number of shares of the Corporation in accordance with Section 228 of the General Corporation Law.</w:t>
      </w:r>
    </w:p>
    <w:p>
      <w:pPr>
        <w:spacing w:after="0" w:line="176" w:lineRule="exact"/>
        <w:rPr>
          <w:rFonts w:ascii="Arial" w:cs="Arial" w:eastAsia="Arial" w:hAnsi="Arial"/>
          <w:sz w:val="20"/>
          <w:szCs w:val="20"/>
          <w:color w:val="auto"/>
        </w:rPr>
      </w:pPr>
    </w:p>
    <w:p>
      <w:pPr>
        <w:ind w:left="1320" w:hanging="563"/>
        <w:spacing w:after="0"/>
        <w:tabs>
          <w:tab w:leader="none" w:pos="13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That said amendment has been duly adopted in accordance with Section 242 of the General Corporation Law.</w:t>
      </w:r>
    </w:p>
    <w:p>
      <w:pPr>
        <w:spacing w:after="0" w:line="210" w:lineRule="exact"/>
        <w:rPr>
          <w:sz w:val="20"/>
          <w:szCs w:val="20"/>
          <w:color w:val="auto"/>
        </w:rPr>
      </w:pPr>
    </w:p>
    <w:p>
      <w:pPr>
        <w:ind w:right="220" w:firstLine="749"/>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this Certificate of Amendment has been executed by a duly authorized officer of the Corporation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this 27th day of May, 2022.</w:t>
      </w:r>
    </w:p>
    <w:p>
      <w:pPr>
        <w:spacing w:after="0" w:line="277" w:lineRule="exact"/>
        <w:rPr>
          <w:sz w:val="20"/>
          <w:szCs w:val="20"/>
          <w:color w:val="auto"/>
        </w:rPr>
      </w:pPr>
    </w:p>
    <w:tbl>
      <w:tblPr>
        <w:tblLayout w:type="fixed"/>
        <w:tblInd w:w="6220" w:type="dxa"/>
        <w:tblCellMar>
          <w:top w:w="0" w:type="dxa"/>
          <w:left w:w="0" w:type="dxa"/>
          <w:bottom w:w="0" w:type="dxa"/>
          <w:right w:w="0" w:type="dxa"/>
        </w:tblCellMar>
      </w:tblPr>
      <w:tr>
        <w:trPr>
          <w:trHeight w:val="260"/>
        </w:trPr>
        <w:tc>
          <w:tcPr>
            <w:tcW w:w="880" w:type="dxa"/>
            <w:vAlign w:val="bottom"/>
          </w:tcPr>
          <w:p>
            <w:pPr>
              <w:jc w:val="right"/>
              <w:ind w:right="261"/>
              <w:spacing w:after="0"/>
              <w:rPr>
                <w:sz w:val="20"/>
                <w:szCs w:val="20"/>
                <w:color w:val="auto"/>
              </w:rPr>
            </w:pPr>
            <w:r>
              <w:rPr>
                <w:rFonts w:ascii="Arial" w:cs="Arial" w:eastAsia="Arial" w:hAnsi="Arial"/>
                <w:sz w:val="20"/>
                <w:szCs w:val="20"/>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Sanjiv K. Patel</w:t>
            </w:r>
          </w:p>
        </w:tc>
      </w:tr>
      <w:tr>
        <w:trPr>
          <w:trHeight w:val="348"/>
        </w:trPr>
        <w:tc>
          <w:tcPr>
            <w:tcW w:w="880" w:type="dxa"/>
            <w:vAlign w:val="bottom"/>
          </w:tcPr>
          <w:p>
            <w:pPr>
              <w:jc w:val="right"/>
              <w:ind w:right="261"/>
              <w:spacing w:after="0"/>
              <w:rPr>
                <w:sz w:val="20"/>
                <w:szCs w:val="20"/>
                <w:color w:val="auto"/>
              </w:rPr>
            </w:pPr>
            <w:r>
              <w:rPr>
                <w:rFonts w:ascii="Arial" w:cs="Arial" w:eastAsia="Arial" w:hAnsi="Arial"/>
                <w:sz w:val="20"/>
                <w:szCs w:val="20"/>
                <w:color w:val="auto"/>
                <w:w w:val="84"/>
              </w:rPr>
              <w:t>Name:</w:t>
            </w:r>
          </w:p>
        </w:tc>
        <w:tc>
          <w:tcPr>
            <w:tcW w:w="4140" w:type="dxa"/>
            <w:vAlign w:val="bottom"/>
          </w:tcPr>
          <w:p>
            <w:pPr>
              <w:ind w:left="20"/>
              <w:spacing w:after="0"/>
              <w:rPr>
                <w:sz w:val="20"/>
                <w:szCs w:val="20"/>
                <w:color w:val="auto"/>
              </w:rPr>
            </w:pPr>
            <w:r>
              <w:rPr>
                <w:rFonts w:ascii="Arial" w:cs="Arial" w:eastAsia="Arial" w:hAnsi="Arial"/>
                <w:sz w:val="20"/>
                <w:szCs w:val="20"/>
                <w:color w:val="auto"/>
              </w:rPr>
              <w:t>Sanjiv K. Patel</w:t>
            </w:r>
          </w:p>
        </w:tc>
      </w:tr>
      <w:tr>
        <w:trPr>
          <w:trHeight w:val="365"/>
        </w:trPr>
        <w:tc>
          <w:tcPr>
            <w:tcW w:w="880" w:type="dxa"/>
            <w:vAlign w:val="bottom"/>
          </w:tcPr>
          <w:p>
            <w:pPr>
              <w:jc w:val="right"/>
              <w:ind w:right="261"/>
              <w:spacing w:after="0"/>
              <w:rPr>
                <w:sz w:val="20"/>
                <w:szCs w:val="20"/>
                <w:color w:val="auto"/>
              </w:rPr>
            </w:pPr>
            <w:r>
              <w:rPr>
                <w:rFonts w:ascii="Arial" w:cs="Arial" w:eastAsia="Arial" w:hAnsi="Arial"/>
                <w:sz w:val="20"/>
                <w:szCs w:val="20"/>
                <w:color w:val="auto"/>
              </w:rPr>
              <w:t>Title:</w:t>
            </w:r>
          </w:p>
        </w:tc>
        <w:tc>
          <w:tcPr>
            <w:tcW w:w="4140" w:type="dxa"/>
            <w:vAlign w:val="bottom"/>
          </w:tcPr>
          <w:p>
            <w:pPr>
              <w:ind w:left="20"/>
              <w:spacing w:after="0"/>
              <w:rPr>
                <w:sz w:val="20"/>
                <w:szCs w:val="20"/>
                <w:color w:val="auto"/>
              </w:rPr>
            </w:pPr>
            <w:r>
              <w:rPr>
                <w:rFonts w:ascii="Arial" w:cs="Arial" w:eastAsia="Arial" w:hAnsi="Arial"/>
                <w:sz w:val="20"/>
                <w:szCs w:val="20"/>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b w:val="1"/>
          <w:bCs w:val="1"/>
          <w:color w:val="auto"/>
        </w:rPr>
        <w:t>Exhibit 23.1</w:t>
      </w:r>
    </w:p>
    <w:p>
      <w:pPr>
        <w:spacing w:after="0" w:line="165" w:lineRule="exact"/>
        <w:rPr>
          <w:sz w:val="20"/>
          <w:szCs w:val="20"/>
          <w:color w:val="auto"/>
        </w:rPr>
      </w:pPr>
    </w:p>
    <w:p>
      <w:pPr>
        <w:ind w:right="2500" w:firstLine="2449"/>
        <w:spacing w:after="0" w:line="440"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ind w:left="760" w:right="20" w:hanging="378"/>
        <w:spacing w:after="0" w:line="277" w:lineRule="auto"/>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Registration Statement (Form S-8 No. 333-239912) pertaining to the 2016 Stock Option and Grant Plan, 2020 Stock Option and Incentive Plan, and 2020 Employee Stock Purchase Plan of Relay Therapeutics, Inc.,</w:t>
      </w:r>
    </w:p>
    <w:p>
      <w:pPr>
        <w:spacing w:after="0" w:line="116"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Registration Statement (Form S-8 No. 333-254704 and No. 333-262974) pertaining to the 2020 Stock Option and Incentive Plan and 2020 Employee Stock Purchase Plan of Relay Therapeutics, Inc.,</w:t>
      </w:r>
    </w:p>
    <w:p>
      <w:pPr>
        <w:spacing w:after="0" w:line="116" w:lineRule="exact"/>
        <w:rPr>
          <w:rFonts w:ascii="Arial" w:cs="Arial" w:eastAsia="Arial" w:hAnsi="Arial"/>
          <w:sz w:val="18"/>
          <w:szCs w:val="18"/>
          <w:color w:val="auto"/>
        </w:rPr>
      </w:pPr>
    </w:p>
    <w:p>
      <w:pPr>
        <w:ind w:left="760" w:hanging="378"/>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Registration Statement (Form S-1 No. 333-255583) of Relay Therapeutics, Inc., and</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Registration Statement (Form S-3ASR No. 333-258768) of Relay Therapeutics, Inc.;</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 our reports dated February 23, 2023, with respect to the consolidated financial statements of Relay Therapeutics, Inc. and the effectiveness of internal control over financial reporting of Relay Therapeutics, Inc. included in this Annual Report (Form 10-K) of Relay Therapeutics, Inc. for the year ended December 31, 2022.</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OR 15d-14(a) UNDER THE SECURITIES EXCHANGE ACT OF 1934,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Sanjiv K. Patel, certify that:</w:t>
      </w:r>
    </w:p>
    <w:p>
      <w:pPr>
        <w:spacing w:after="0" w:line="185"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Relay Therapeutics, Inc.;</w:t>
      </w:r>
    </w:p>
    <w:p>
      <w:pPr>
        <w:spacing w:after="0" w:line="18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20" w:type="dxa"/>
            <w:vAlign w:val="bottom"/>
          </w:tcPr>
          <w:p>
            <w:pPr>
              <w:ind w:left="20"/>
              <w:spacing w:after="0"/>
              <w:rPr>
                <w:sz w:val="20"/>
                <w:szCs w:val="20"/>
                <w:color w:val="auto"/>
              </w:rPr>
            </w:pPr>
            <w:r>
              <w:rPr>
                <w:rFonts w:ascii="Arial" w:cs="Arial" w:eastAsia="Arial" w:hAnsi="Arial"/>
                <w:sz w:val="18"/>
                <w:szCs w:val="18"/>
                <w:color w:val="auto"/>
              </w:rPr>
              <w:t>Date: February 23, 2023</w:t>
            </w:r>
          </w:p>
        </w:tc>
        <w:tc>
          <w:tcPr>
            <w:tcW w:w="2480" w:type="dxa"/>
            <w:vAlign w:val="bottom"/>
          </w:tcPr>
          <w:p>
            <w:pPr>
              <w:ind w:left="19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Sanjiv K. Patel</w:t>
            </w:r>
          </w:p>
        </w:tc>
      </w:tr>
      <w:tr>
        <w:trPr>
          <w:trHeight w:val="209"/>
        </w:trPr>
        <w:tc>
          <w:tcPr>
            <w:tcW w:w="3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Sanjiv K. Patel</w:t>
            </w:r>
          </w:p>
        </w:tc>
      </w:tr>
      <w:tr>
        <w:trPr>
          <w:trHeight w:val="216"/>
        </w:trPr>
        <w:tc>
          <w:tcPr>
            <w:tcW w:w="3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44"/>
        </w:trPr>
        <w:tc>
          <w:tcPr>
            <w:tcW w:w="37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OR 15d-14(a) UNDER THE SECURITIES EXCHANGE ACT OF 1934, 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Thomas Catinazzo, certify that:</w:t>
      </w:r>
    </w:p>
    <w:p>
      <w:pPr>
        <w:spacing w:after="0" w:line="185"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Relay Therapeutics, Inc.;</w:t>
      </w:r>
    </w:p>
    <w:p>
      <w:pPr>
        <w:spacing w:after="0" w:line="18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80" w:type="dxa"/>
            <w:vAlign w:val="bottom"/>
          </w:tcPr>
          <w:p>
            <w:pPr>
              <w:ind w:left="20"/>
              <w:spacing w:after="0"/>
              <w:rPr>
                <w:sz w:val="20"/>
                <w:szCs w:val="20"/>
                <w:color w:val="auto"/>
              </w:rPr>
            </w:pPr>
            <w:r>
              <w:rPr>
                <w:rFonts w:ascii="Arial" w:cs="Arial" w:eastAsia="Arial" w:hAnsi="Arial"/>
                <w:sz w:val="18"/>
                <w:szCs w:val="18"/>
                <w:color w:val="auto"/>
              </w:rPr>
              <w:t>Date: February 23, 2023</w:t>
            </w:r>
          </w:p>
        </w:tc>
        <w:tc>
          <w:tcPr>
            <w:tcW w:w="23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Catinazzo</w:t>
            </w:r>
          </w:p>
        </w:tc>
      </w:tr>
      <w:tr>
        <w:trPr>
          <w:trHeight w:val="209"/>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89"/>
              </w:rPr>
              <w:t>Thomas Catinazzo</w:t>
            </w:r>
          </w:p>
        </w:tc>
      </w:tr>
      <w:tr>
        <w:trPr>
          <w:trHeight w:val="216"/>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36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20" w:type="dxa"/>
            <w:vAlign w:val="bottom"/>
          </w:tcPr>
          <w:p>
            <w:pPr>
              <w:ind w:left="1360"/>
              <w:spacing w:after="0"/>
              <w:rPr>
                <w:sz w:val="20"/>
                <w:szCs w:val="20"/>
                <w:color w:val="auto"/>
              </w:rPr>
            </w:pPr>
            <w:r>
              <w:rPr>
                <w:rFonts w:ascii="Arial" w:cs="Arial" w:eastAsia="Arial" w:hAnsi="Arial"/>
                <w:sz w:val="18"/>
                <w:szCs w:val="18"/>
                <w:color w:val="auto"/>
              </w:rPr>
              <w:t>(Principal Accounting Officer and</w:t>
            </w:r>
          </w:p>
        </w:tc>
      </w:tr>
      <w:tr>
        <w:trPr>
          <w:trHeight w:val="230"/>
        </w:trPr>
        <w:tc>
          <w:tcPr>
            <w:tcW w:w="36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345"/>
        </w:trPr>
        <w:tc>
          <w:tcPr>
            <w:tcW w:w="36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In connection with the Annual Report of Relay Therapeutics, Inc. (the “Company”) on Form 10-K for the year ended December 31, 2022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84" w:lineRule="exact"/>
        <w:rPr>
          <w:sz w:val="20"/>
          <w:szCs w:val="20"/>
          <w:color w:val="auto"/>
        </w:rPr>
      </w:pPr>
    </w:p>
    <w:p>
      <w:pPr>
        <w:ind w:left="1020" w:hanging="503"/>
        <w:spacing w:after="0"/>
        <w:tabs>
          <w:tab w:leader="none" w:pos="10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560" w:hanging="503"/>
        <w:spacing w:after="0" w:line="277" w:lineRule="auto"/>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720" w:type="dxa"/>
            <w:vAlign w:val="bottom"/>
          </w:tcPr>
          <w:p>
            <w:pPr>
              <w:ind w:left="20"/>
              <w:spacing w:after="0"/>
              <w:rPr>
                <w:sz w:val="20"/>
                <w:szCs w:val="20"/>
                <w:color w:val="auto"/>
              </w:rPr>
            </w:pPr>
            <w:r>
              <w:rPr>
                <w:rFonts w:ascii="Arial" w:cs="Arial" w:eastAsia="Arial" w:hAnsi="Arial"/>
                <w:sz w:val="18"/>
                <w:szCs w:val="18"/>
                <w:color w:val="auto"/>
              </w:rPr>
              <w:t>Date: February 23, 2023</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Sanjiv K. Patel</w:t>
            </w:r>
          </w:p>
        </w:tc>
      </w:tr>
      <w:tr>
        <w:trPr>
          <w:trHeight w:val="209"/>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Sanjiv K. Patel</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2"/>
              </w:rPr>
              <w:t>President and Chief Executive Officer</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675"/>
        </w:trPr>
        <w:tc>
          <w:tcPr>
            <w:tcW w:w="3720" w:type="dxa"/>
            <w:vAlign w:val="bottom"/>
          </w:tcPr>
          <w:p>
            <w:pPr>
              <w:ind w:left="20"/>
              <w:spacing w:after="0"/>
              <w:rPr>
                <w:sz w:val="20"/>
                <w:szCs w:val="20"/>
                <w:color w:val="auto"/>
              </w:rPr>
            </w:pPr>
            <w:r>
              <w:rPr>
                <w:rFonts w:ascii="Arial" w:cs="Arial" w:eastAsia="Arial" w:hAnsi="Arial"/>
                <w:sz w:val="18"/>
                <w:szCs w:val="18"/>
                <w:color w:val="auto"/>
              </w:rPr>
              <w:t>Date: February 23, 2023</w:t>
            </w:r>
          </w:p>
        </w:tc>
        <w:tc>
          <w:tcPr>
            <w:tcW w:w="2360" w:type="dxa"/>
            <w:vAlign w:val="bottom"/>
          </w:tcPr>
          <w:p>
            <w:pPr>
              <w:ind w:left="19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Catinazzo</w:t>
            </w:r>
          </w:p>
        </w:tc>
      </w:tr>
      <w:tr>
        <w:trPr>
          <w:trHeight w:val="209"/>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0"/>
              </w:rPr>
              <w:t>Thomas Catinazzo</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Pr>
          <w:p>
            <w:pPr>
              <w:ind w:left="1320"/>
              <w:spacing w:after="0"/>
              <w:rPr>
                <w:sz w:val="20"/>
                <w:szCs w:val="20"/>
                <w:color w:val="auto"/>
              </w:rPr>
            </w:pPr>
            <w:r>
              <w:rPr>
                <w:rFonts w:ascii="Arial" w:cs="Arial" w:eastAsia="Arial" w:hAnsi="Arial"/>
                <w:sz w:val="18"/>
                <w:szCs w:val="18"/>
                <w:color w:val="auto"/>
              </w:rPr>
              <w:t>(Principal Accounting Officer and</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344"/>
        </w:trPr>
        <w:tc>
          <w:tcPr>
            <w:tcW w:w="37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endash "/>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2"/>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lvl w:ilvl="1">
      <w:lvlJc w:val="left"/>
      <w:lvlText w:val="%2"/>
      <w:numFmt w:val="decimal"/>
      <w:start w:val="104"/>
    </w:lvl>
  </w:abstractNum>
  <w:abstractNum w:abstractNumId="69">
    <w:nsid w:val="BF72B14"/>
    <w:multiLevelType w:val="hybridMultilevel"/>
    <w:lvl w:ilvl="0">
      <w:lvlJc w:val="left"/>
      <w:lvlText w:val="**"/>
      <w:numFmt w:val="bullet"/>
      <w:start w:val="1"/>
    </w:lvl>
    <w:lvl w:ilvl="1">
      <w:lvlJc w:val="left"/>
      <w:lvlText w:val="%2"/>
      <w:numFmt w:val="decimal"/>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lowerLetter"/>
      <w:start w:val="1"/>
    </w:lvl>
    <w:lvl w:ilvl="1">
      <w:lvlJc w:val="left"/>
      <w:lvlText w:val="%2."/>
      <w:numFmt w:val="upperLetter"/>
      <w:start w:val="2"/>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decimal"/>
      <w:start w:val="4"/>
    </w:lvl>
  </w:abstractNum>
  <w:abstractNum w:abstractNumId="75">
    <w:nsid w:val="3B0FD379"/>
    <w:multiLevelType w:val="hybridMultilevel"/>
    <w:lvl w:ilvl="0">
      <w:lvlJc w:val="left"/>
      <w:lvlText w:val="%1."/>
      <w:numFmt w:val="decimal"/>
      <w:start w:val="5"/>
    </w:lvl>
  </w:abstractNum>
  <w:abstractNum w:abstractNumId="76">
    <w:nsid w:val="68EB2F63"/>
    <w:multiLevelType w:val="hybridMultilevel"/>
    <w:lvl w:ilvl="0">
      <w:lvlJc w:val="left"/>
      <w:lvlText w:val="%1."/>
      <w:numFmt w:val="decimal"/>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decimal"/>
      <w:start w:val="3"/>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52" Type="http://schemas.openxmlformats.org/officeDocument/2006/relationships/image" Target="media/image431.png"/><Relationship Id="rId463" Type="http://schemas.openxmlformats.org/officeDocument/2006/relationships/image" Target="media/image432.png"/><Relationship Id="rId464" Type="http://schemas.openxmlformats.org/officeDocument/2006/relationships/image" Target="media/image433.png"/><Relationship Id="rId465" Type="http://schemas.openxmlformats.org/officeDocument/2006/relationships/image" Target="media/image434.png"/><Relationship Id="rId466" Type="http://schemas.openxmlformats.org/officeDocument/2006/relationships/image" Target="media/image435.png"/><Relationship Id="rId467" Type="http://schemas.openxmlformats.org/officeDocument/2006/relationships/image" Target="media/image436.png"/><Relationship Id="rId468" Type="http://schemas.openxmlformats.org/officeDocument/2006/relationships/image" Target="media/image437.png"/><Relationship Id="rId469" Type="http://schemas.openxmlformats.org/officeDocument/2006/relationships/image" Target="media/image438.png"/><Relationship Id="rId470" Type="http://schemas.openxmlformats.org/officeDocument/2006/relationships/image" Target="media/image439.png"/><Relationship Id="rId471" Type="http://schemas.openxmlformats.org/officeDocument/2006/relationships/image" Target="media/image440.png"/><Relationship Id="rId472" Type="http://schemas.openxmlformats.org/officeDocument/2006/relationships/image" Target="media/image441.png"/><Relationship Id="rId473" Type="http://schemas.openxmlformats.org/officeDocument/2006/relationships/image" Target="media/image442.png"/><Relationship Id="rId474" Type="http://schemas.openxmlformats.org/officeDocument/2006/relationships/image" Target="media/image443.png"/><Relationship Id="rId475" Type="http://schemas.openxmlformats.org/officeDocument/2006/relationships/image" Target="media/image444.png"/><Relationship Id="rId476" Type="http://schemas.openxmlformats.org/officeDocument/2006/relationships/image" Target="media/image445.png"/><Relationship Id="rId477" Type="http://schemas.openxmlformats.org/officeDocument/2006/relationships/image" Target="media/image446.png"/><Relationship Id="rId478" Type="http://schemas.openxmlformats.org/officeDocument/2006/relationships/image" Target="media/image447.png"/><Relationship Id="rId479" Type="http://schemas.openxmlformats.org/officeDocument/2006/relationships/image" Target="media/image448.png"/><Relationship Id="rId480" Type="http://schemas.openxmlformats.org/officeDocument/2006/relationships/image" Target="media/image449.png"/><Relationship Id="rId481" Type="http://schemas.openxmlformats.org/officeDocument/2006/relationships/image" Target="media/image450.png"/><Relationship Id="rId482" Type="http://schemas.openxmlformats.org/officeDocument/2006/relationships/image" Target="media/image451.png"/><Relationship Id="rId483" Type="http://schemas.openxmlformats.org/officeDocument/2006/relationships/image" Target="media/image452.png"/><Relationship Id="rId484" Type="http://schemas.openxmlformats.org/officeDocument/2006/relationships/image" Target="media/image453.png"/><Relationship Id="rId485" Type="http://schemas.openxmlformats.org/officeDocument/2006/relationships/image" Target="media/image454.png"/><Relationship Id="rId486" Type="http://schemas.openxmlformats.org/officeDocument/2006/relationships/image" Target="media/image455.png"/><Relationship Id="rId487" Type="http://schemas.openxmlformats.org/officeDocument/2006/relationships/image" Target="media/image456.png"/><Relationship Id="rId488" Type="http://schemas.openxmlformats.org/officeDocument/2006/relationships/image" Target="media/image457.png"/><Relationship Id="rId489" Type="http://schemas.openxmlformats.org/officeDocument/2006/relationships/image" Target="media/image458.png"/><Relationship Id="rId490" Type="http://schemas.openxmlformats.org/officeDocument/2006/relationships/image" Target="media/image459.png"/><Relationship Id="rId491" Type="http://schemas.openxmlformats.org/officeDocument/2006/relationships/image" Target="media/image460.png"/><Relationship Id="rId492" Type="http://schemas.openxmlformats.org/officeDocument/2006/relationships/image" Target="media/image461.png"/><Relationship Id="rId438" Type="http://schemas.openxmlformats.org/officeDocument/2006/relationships/hyperlink" Target="https://www.sec.gov/Archives/edgar/data/1812364/000119312521118438/d110953dex21.htm" TargetMode="External"/><Relationship Id="rId439" Type="http://schemas.openxmlformats.org/officeDocument/2006/relationships/hyperlink" Target="https://www.sec.gov/Archives/edgar/data/0001812364/000119312520196383/d29076dex32.htm" TargetMode="External"/><Relationship Id="rId440" Type="http://schemas.openxmlformats.org/officeDocument/2006/relationships/hyperlink" Target="https://www.sec.gov/Archives/edgar/data/0001812364/000119312520190069/d924757dex41.htm" TargetMode="External"/><Relationship Id="rId441" Type="http://schemas.openxmlformats.org/officeDocument/2006/relationships/hyperlink" Target="https://www.sec.gov/Archives/edgar/data/1812364/000156459021015518/rlay-ex43_903.htm" TargetMode="External"/><Relationship Id="rId442" Type="http://schemas.openxmlformats.org/officeDocument/2006/relationships/hyperlink" Target="https://www.sec.gov/Archives/edgar/data/0001812364/000119312520177746/d924757dex101.htm" TargetMode="External"/><Relationship Id="rId443" Type="http://schemas.openxmlformats.org/officeDocument/2006/relationships/hyperlink" Target="https://www.sec.gov/Archives/edgar/data/1812364/000095017022001978/rlay-ex10_2.htm" TargetMode="External"/><Relationship Id="rId444" Type="http://schemas.openxmlformats.org/officeDocument/2006/relationships/hyperlink" Target="https://www.sec.gov/Archives/edgar/data/0001812364/000119312520190069/d924757dex103.htm" TargetMode="External"/><Relationship Id="rId445" Type="http://schemas.openxmlformats.org/officeDocument/2006/relationships/hyperlink" Target="https://www.sec.gov/Archives/edgar/data/0001812364/000119312520177746/d924757dex104.htm" TargetMode="External"/><Relationship Id="rId446" Type="http://schemas.openxmlformats.org/officeDocument/2006/relationships/hyperlink" Target="https://www.sec.gov/Archives/edgar/data/0001812364/000119312521137130/d132252dex105.htm" TargetMode="External"/><Relationship Id="rId447" Type="http://schemas.openxmlformats.org/officeDocument/2006/relationships/hyperlink" Target="https://www.sec.gov/Archives/edgar/data/0001812364/000119312520177746/d924757dex106.htm" TargetMode="External"/><Relationship Id="rId448" Type="http://schemas.openxmlformats.org/officeDocument/2006/relationships/hyperlink" Target="https://www.sec.gov/Archives/edgar/data/0001812364/000119312520190069/d924757dex108.htm" TargetMode="External"/><Relationship Id="rId449" Type="http://schemas.openxmlformats.org/officeDocument/2006/relationships/hyperlink" Target="https://www.sec.gov/Archives/edgar/data/0001812364/000119312520177746/d924757dex109.htm" TargetMode="External"/><Relationship Id="rId450" Type="http://schemas.openxmlformats.org/officeDocument/2006/relationships/hyperlink" Target="https://www.sec.gov/Archives/edgar/data/0001812364/000156459021043999/rlay-ex102_8.htm" TargetMode="External"/><Relationship Id="rId451" Type="http://schemas.openxmlformats.org/officeDocument/2006/relationships/hyperlink" Target="https://www.sec.gov/Archives/edgar/data/0001812364/000119312520177746/d924757dex1010.htm" TargetMode="External"/><Relationship Id="rId453" Type="http://schemas.openxmlformats.org/officeDocument/2006/relationships/hyperlink" Target="https://www.sec.gov/Archives/edgar/data/0001812364/000119312521137130/d132252dex1010.htm" TargetMode="External"/><Relationship Id="rId454" Type="http://schemas.openxmlformats.org/officeDocument/2006/relationships/hyperlink" Target="https://www.sec.gov/Archives/edgar/data/0001812364/000156459021027601/rlay-ex104_188.htm" TargetMode="External"/><Relationship Id="rId455" Type="http://schemas.openxmlformats.org/officeDocument/2006/relationships/hyperlink" Target="https://www.sec.gov/Archives/edgar/data/1812364/000095017022007873/rlay-ex10_1.htm" TargetMode="External"/><Relationship Id="rId456" Type="http://schemas.openxmlformats.org/officeDocument/2006/relationships/hyperlink" Target="https://www.sec.gov/Archives/edgar/data/1812364/000156459021015518/rlay-ex1010_1012.htm" TargetMode="External"/><Relationship Id="rId457" Type="http://schemas.openxmlformats.org/officeDocument/2006/relationships/hyperlink" Target="https://www.sec.gov/Archives/edgar/data/1812364/000095017022007873/rlay-ex10_2.htm" TargetMode="External"/><Relationship Id="rId458" Type="http://schemas.openxmlformats.org/officeDocument/2006/relationships/hyperlink" Target="https://www.sec.gov/Archives/edgar/data/0001812364/000119312521137130/d132252dex1014.htm" TargetMode="External"/><Relationship Id="rId459" Type="http://schemas.openxmlformats.org/officeDocument/2006/relationships/hyperlink" Target="https://www.sec.gov/Archives/edgar/data/0001812364/000119312520177746/d924757dex107.htm" TargetMode="External"/><Relationship Id="rId460" Type="http://schemas.openxmlformats.org/officeDocument/2006/relationships/hyperlink" Target="https://www.sec.gov/Archives/edgar/data/0001812364/000119312520291681/d24902dex107.htm" TargetMode="External"/><Relationship Id="rId461" Type="http://schemas.openxmlformats.org/officeDocument/2006/relationships/hyperlink" Target="https://www.sec.gov/Archives/edgar/data/0001812364/000156459021043999/rlay-ex105_91.htm" TargetMode="External"/><Relationship Id="rId462" Type="http://schemas.openxmlformats.org/officeDocument/2006/relationships/hyperlink" Target="https://www.sec.gov/Archives/edgar/data/1812364/000095017022001978/rlay-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2023-02-23T19:39:33Z</dcterms:created>
  <dcterms:modified xsi:type="dcterms:W3CDTF">2023-02-23T19:39:33Z</dcterms:modified>
</cp:coreProperties>
</file>