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920" w:right="2100" w:hanging="3899"/>
        <w:spacing w:after="0" w:line="289" w:lineRule="auto"/>
        <w:tabs>
          <w:tab w:leader="none" w:pos="35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60" w:hanging="339"/>
        <w:spacing w:after="0"/>
        <w:tabs>
          <w:tab w:leader="none" w:pos="3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w:t>
      </w:r>
    </w:p>
    <w:p>
      <w:pPr>
        <w:ind w:left="360"/>
        <w:spacing w:after="0"/>
        <w:tabs>
          <w:tab w:leader="none" w:pos="380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001-39385</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RELAY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Delaware</w:t>
      </w:r>
    </w:p>
    <w:p>
      <w:pPr>
        <w:ind w:left="2000"/>
        <w:spacing w:after="0" w:line="218" w:lineRule="auto"/>
        <w:rPr>
          <w:sz w:val="20"/>
          <w:szCs w:val="20"/>
          <w:color w:val="auto"/>
        </w:rPr>
      </w:pPr>
      <w:r>
        <w:rPr>
          <w:rFonts w:ascii="Arial" w:cs="Arial" w:eastAsia="Arial" w:hAnsi="Arial"/>
          <w:sz w:val="13"/>
          <w:szCs w:val="13"/>
          <w:b w:val="1"/>
          <w:bCs w:val="1"/>
          <w:color w:val="auto"/>
        </w:rPr>
        <w:t>(State or other jurisdiction of</w:t>
      </w:r>
    </w:p>
    <w:p>
      <w:pPr>
        <w:ind w:left="1960"/>
        <w:spacing w:after="0" w:line="220" w:lineRule="auto"/>
        <w:rPr>
          <w:sz w:val="20"/>
          <w:szCs w:val="20"/>
          <w:color w:val="auto"/>
        </w:rPr>
      </w:pPr>
      <w:r>
        <w:rPr>
          <w:rFonts w:ascii="Arial" w:cs="Arial" w:eastAsia="Arial" w:hAnsi="Arial"/>
          <w:sz w:val="13"/>
          <w:szCs w:val="13"/>
          <w:b w:val="1"/>
          <w:bCs w:val="1"/>
          <w:color w:val="auto"/>
        </w:rPr>
        <w:t>incorporation or organization)</w:t>
      </w:r>
    </w:p>
    <w:p>
      <w:pPr>
        <w:jc w:val="center"/>
        <w:ind w:right="1860"/>
        <w:spacing w:after="0" w:line="226" w:lineRule="auto"/>
        <w:rPr>
          <w:sz w:val="20"/>
          <w:szCs w:val="20"/>
          <w:color w:val="auto"/>
        </w:rPr>
      </w:pPr>
      <w:r>
        <w:rPr>
          <w:rFonts w:ascii="Arial" w:cs="Arial" w:eastAsia="Arial" w:hAnsi="Arial"/>
          <w:sz w:val="14"/>
          <w:szCs w:val="14"/>
          <w:b w:val="1"/>
          <w:bCs w:val="1"/>
          <w:color w:val="auto"/>
        </w:rPr>
        <w:t>399 Binney Street, 2</w:t>
      </w:r>
      <w:r>
        <w:rPr>
          <w:rFonts w:ascii="Arial" w:cs="Arial" w:eastAsia="Arial" w:hAnsi="Arial"/>
          <w:sz w:val="18"/>
          <w:szCs w:val="18"/>
          <w:b w:val="1"/>
          <w:bCs w:val="1"/>
          <w:color w:val="auto"/>
          <w:vertAlign w:val="superscript"/>
        </w:rPr>
        <w:t>nd</w:t>
      </w:r>
      <w:r>
        <w:rPr>
          <w:rFonts w:ascii="Arial" w:cs="Arial" w:eastAsia="Arial" w:hAnsi="Arial"/>
          <w:sz w:val="14"/>
          <w:szCs w:val="14"/>
          <w:b w:val="1"/>
          <w:bCs w:val="1"/>
          <w:color w:val="auto"/>
        </w:rPr>
        <w:t xml:space="preserve"> Floor</w:t>
      </w:r>
    </w:p>
    <w:p>
      <w:pPr>
        <w:spacing w:after="0" w:line="1"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Cambridge, MA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47-3923475</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199" w:lineRule="exact"/>
        <w:rPr>
          <w:sz w:val="24"/>
          <w:szCs w:val="24"/>
          <w:color w:val="auto"/>
        </w:rPr>
      </w:pPr>
    </w:p>
    <w:p>
      <w:pPr>
        <w:ind w:left="280"/>
        <w:spacing w:after="0"/>
        <w:rPr>
          <w:sz w:val="20"/>
          <w:szCs w:val="20"/>
          <w:color w:val="auto"/>
        </w:rPr>
      </w:pPr>
      <w:r>
        <w:rPr>
          <w:rFonts w:ascii="Arial" w:cs="Arial" w:eastAsia="Arial" w:hAnsi="Arial"/>
          <w:sz w:val="16"/>
          <w:szCs w:val="16"/>
          <w:b w:val="1"/>
          <w:bCs w:val="1"/>
          <w:color w:val="auto"/>
        </w:rPr>
        <w:t>02139</w:t>
      </w:r>
    </w:p>
    <w:p>
      <w:pPr>
        <w:spacing w:after="0" w:line="14" w:lineRule="exact"/>
        <w:rPr>
          <w:sz w:val="24"/>
          <w:szCs w:val="24"/>
          <w:color w:val="auto"/>
        </w:rPr>
      </w:pPr>
    </w:p>
    <w:p>
      <w:pPr>
        <w:sectPr>
          <w:pgSz w:w="11900" w:h="16838" w:orient="portrait"/>
          <w:cols w:equalWidth="0" w:num="2">
            <w:col w:w="7440" w:space="540"/>
            <w:col w:w="3260"/>
          </w:cols>
          <w:pgMar w:left="320" w:top="512" w:right="339" w:bottom="1440" w:gutter="0" w:footer="0" w:header="0"/>
          <w:type w:val="continuous"/>
        </w:sectPr>
      </w:pPr>
    </w:p>
    <w:p>
      <w:pPr>
        <w:ind w:left="1740"/>
        <w:spacing w:after="0"/>
        <w:tabs>
          <w:tab w:leader="none" w:pos="816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370-8837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4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0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6"/>
                <w:szCs w:val="16"/>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7"/>
              </w:rPr>
              <w:t>RLAY</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95"/>
              </w:rPr>
              <w:t>NASDAQ Global Market</w:t>
            </w:r>
          </w:p>
        </w:tc>
        <w:tc>
          <w:tcPr>
            <w:tcW w:w="0" w:type="dxa"/>
            <w:vAlign w:val="bottom"/>
          </w:tcPr>
          <w:p>
            <w:pPr>
              <w:spacing w:after="0"/>
              <w:rPr>
                <w:sz w:val="1"/>
                <w:szCs w:val="1"/>
                <w:color w:val="auto"/>
              </w:rPr>
            </w:pPr>
          </w:p>
        </w:tc>
      </w:tr>
      <w:tr>
        <w:trPr>
          <w:trHeight w:val="186"/>
        </w:trPr>
        <w:tc>
          <w:tcPr>
            <w:tcW w:w="440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354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80"/>
        <w:spacing w:after="0" w:line="27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36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78"/>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38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36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78"/>
        </w:trPr>
        <w:tc>
          <w:tcPr>
            <w:tcW w:w="16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260" w:type="dxa"/>
            <w:vAlign w:val="bottom"/>
          </w:tcPr>
          <w:p>
            <w:pPr>
              <w:ind w:left="336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 w:lineRule="exact"/>
        <w:rPr>
          <w:sz w:val="24"/>
          <w:szCs w:val="24"/>
          <w:color w:val="auto"/>
        </w:rPr>
      </w:pPr>
    </w:p>
    <w:p>
      <w:pPr>
        <w:ind w:right="5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jc w:val="both"/>
        <w:ind w:right="240"/>
        <w:spacing w:after="0" w:line="270" w:lineRule="auto"/>
        <w:rPr>
          <w:sz w:val="20"/>
          <w:szCs w:val="20"/>
          <w:color w:val="auto"/>
        </w:rPr>
      </w:pPr>
      <w:r>
        <w:rPr>
          <w:rFonts w:ascii="Arial" w:cs="Arial" w:eastAsia="Arial" w:hAnsi="Arial"/>
          <w:sz w:val="13"/>
          <w:szCs w:val="13"/>
          <w:color w:val="auto"/>
        </w:rPr>
        <w:t>The aggregate market value of common stock held by non-affiliates of the Registrant based on the closing price of the Registrant’s common stock as reported on the Nasdaq Global Market on June 30, 2021, the last business day of the Registrant’s most recently completed second quarter, was approximately $2,264.0 million. In determining the market value of non-affiliate common stock, shares of the Registrant’s common stock beneficially owned by officers, directors and affiliates have been excluded. This determination of affiliate status is not necessarily a conclusive</w:t>
      </w:r>
    </w:p>
    <w:p>
      <w:pPr>
        <w:spacing w:after="0" w:line="2" w:lineRule="exact"/>
        <w:rPr>
          <w:sz w:val="24"/>
          <w:szCs w:val="24"/>
          <w:color w:val="auto"/>
        </w:rPr>
      </w:pPr>
    </w:p>
    <w:p>
      <w:pPr>
        <w:spacing w:after="0"/>
        <w:rPr>
          <w:sz w:val="20"/>
          <w:szCs w:val="20"/>
          <w:color w:val="auto"/>
        </w:rPr>
      </w:pPr>
      <w:r>
        <w:rPr>
          <w:rFonts w:ascii="Arial" w:cs="Arial" w:eastAsia="Arial" w:hAnsi="Arial"/>
          <w:sz w:val="14"/>
          <w:szCs w:val="14"/>
          <w:color w:val="auto"/>
        </w:rPr>
        <w:t>determination for other purposes</w:t>
      </w:r>
      <w:r>
        <w:rPr>
          <w:rFonts w:ascii="Arial" w:cs="Arial" w:eastAsia="Arial" w:hAnsi="Arial"/>
          <w:sz w:val="17"/>
          <w:szCs w:val="17"/>
          <w:color w:val="auto"/>
        </w:rPr>
        <w:t>.</w:t>
      </w:r>
    </w:p>
    <w:p>
      <w:pPr>
        <w:spacing w:after="0" w:line="8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18, 2022 was 108,280,044.</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jc w:val="both"/>
        <w:ind w:right="240"/>
        <w:spacing w:after="0" w:line="312" w:lineRule="auto"/>
        <w:rPr>
          <w:sz w:val="20"/>
          <w:szCs w:val="20"/>
          <w:color w:val="auto"/>
        </w:rPr>
      </w:pPr>
      <w:r>
        <w:rPr>
          <w:rFonts w:ascii="Arial" w:cs="Arial" w:eastAsia="Arial" w:hAnsi="Arial"/>
          <w:sz w:val="13"/>
          <w:szCs w:val="13"/>
          <w:color w:val="auto"/>
        </w:rPr>
        <w:t>The Registrant intends to file a definitive proxy statement pursuant to Regulation 14A relating to the 2022 Annual Meeting of Stockholders within 120 days of the end of the registrant’s fiscal year ended December 31, 2021. Portions of such definitive proxy statement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0" w:type="dxa"/>
            <w:vAlign w:val="bottom"/>
            <w:gridSpan w:val="9"/>
          </w:tcPr>
          <w:p>
            <w:pPr>
              <w:ind w:left="32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60" w:type="dxa"/>
            <w:vAlign w:val="bottom"/>
            <w:gridSpan w:val="6"/>
            <w:vMerge w:val="restart"/>
          </w:tcPr>
          <w:p>
            <w:pPr>
              <w:spacing w:after="0"/>
              <w:rPr>
                <w:rFonts w:ascii="Arial" w:cs="Arial" w:eastAsia="Arial" w:hAnsi="Arial"/>
                <w:sz w:val="18"/>
                <w:szCs w:val="18"/>
                <w:b w:val="1"/>
                <w:bCs w:val="1"/>
                <w:color w:val="0000FF"/>
              </w:rPr>
            </w:pPr>
            <w:hyperlink w:anchor="page7">
              <w:r>
                <w:rPr>
                  <w:rFonts w:ascii="Arial" w:cs="Arial" w:eastAsia="Arial" w:hAnsi="Arial"/>
                  <w:sz w:val="18"/>
                  <w:szCs w:val="18"/>
                  <w:b w:val="1"/>
                  <w:bCs w:val="1"/>
                  <w:color w:val="0000FF"/>
                </w:rPr>
                <w:t>PART I</w:t>
              </w:r>
            </w:hyperlink>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260" w:type="dxa"/>
            <w:vAlign w:val="bottom"/>
            <w:gridSpan w:val="6"/>
            <w:vMerge w:val="continue"/>
          </w:tcPr>
          <w:p>
            <w:pPr>
              <w:spacing w:after="0"/>
              <w:rPr>
                <w:sz w:val="13"/>
                <w:szCs w:val="13"/>
                <w:color w:val="auto"/>
              </w:rPr>
            </w:pPr>
          </w:p>
        </w:tc>
        <w:tc>
          <w:tcPr>
            <w:tcW w:w="640" w:type="dxa"/>
            <w:vAlign w:val="bottom"/>
            <w:vMerge w:val="restart"/>
          </w:tcPr>
          <w:p>
            <w:pPr>
              <w:spacing w:after="0"/>
              <w:rPr>
                <w:rFonts w:ascii="Arial" w:cs="Arial" w:eastAsia="Arial" w:hAnsi="Arial"/>
                <w:sz w:val="18"/>
                <w:szCs w:val="18"/>
                <w:color w:val="0000FF"/>
                <w:w w:val="84"/>
              </w:rPr>
            </w:pPr>
            <w:hyperlink w:anchor="page7">
              <w:r>
                <w:rPr>
                  <w:rFonts w:ascii="Arial" w:cs="Arial" w:eastAsia="Arial" w:hAnsi="Arial"/>
                  <w:sz w:val="18"/>
                  <w:szCs w:val="18"/>
                  <w:color w:val="0000FF"/>
                  <w:w w:val="84"/>
                </w:rPr>
                <w:t>Business</w:t>
              </w:r>
            </w:hyperlink>
          </w:p>
        </w:tc>
        <w:tc>
          <w:tcPr>
            <w:tcW w:w="8700" w:type="dxa"/>
            <w:vAlign w:val="bottom"/>
            <w:gridSpan w:val="23"/>
            <w:vMerge w:val="restart"/>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8700" w:type="dxa"/>
            <w:vAlign w:val="bottom"/>
            <w:gridSpan w:val="23"/>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6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vMerge w:val="continue"/>
          </w:tcPr>
          <w:p>
            <w:pPr>
              <w:spacing w:after="0"/>
              <w:rPr>
                <w:sz w:val="14"/>
                <w:szCs w:val="14"/>
                <w:color w:val="auto"/>
              </w:rPr>
            </w:pPr>
          </w:p>
        </w:tc>
        <w:tc>
          <w:tcPr>
            <w:tcW w:w="8700" w:type="dxa"/>
            <w:vAlign w:val="bottom"/>
            <w:gridSpan w:val="2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1A.</w:t>
            </w:r>
          </w:p>
        </w:tc>
        <w:tc>
          <w:tcPr>
            <w:tcW w:w="9340" w:type="dxa"/>
            <w:vAlign w:val="bottom"/>
            <w:gridSpan w:val="24"/>
          </w:tcPr>
          <w:p>
            <w:pPr>
              <w:spacing w:after="0" w:line="169" w:lineRule="exact"/>
              <w:rPr>
                <w:rFonts w:ascii="Arial" w:cs="Arial" w:eastAsia="Arial" w:hAnsi="Arial"/>
                <w:sz w:val="18"/>
                <w:szCs w:val="18"/>
                <w:color w:val="0000FF"/>
              </w:rPr>
            </w:pPr>
            <w:hyperlink w:anchor="page56">
              <w:r>
                <w:rPr>
                  <w:rFonts w:ascii="Arial" w:cs="Arial" w:eastAsia="Arial" w:hAnsi="Arial"/>
                  <w:sz w:val="18"/>
                  <w:szCs w:val="18"/>
                  <w:color w:val="0000FF"/>
                </w:rPr>
                <w:t>Risk Factors</w:t>
              </w:r>
            </w:hyperlink>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69"/>
        </w:trPr>
        <w:tc>
          <w:tcPr>
            <w:tcW w:w="126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1B.</w:t>
            </w:r>
          </w:p>
        </w:tc>
        <w:tc>
          <w:tcPr>
            <w:tcW w:w="900" w:type="dxa"/>
            <w:vAlign w:val="bottom"/>
            <w:tcBorders>
              <w:top w:val="single" w:sz="8" w:color="0000FF"/>
            </w:tcBorders>
            <w:gridSpan w:val="3"/>
          </w:tcPr>
          <w:p>
            <w:pPr>
              <w:spacing w:after="0" w:line="169" w:lineRule="exact"/>
              <w:rPr>
                <w:rFonts w:ascii="Arial" w:cs="Arial" w:eastAsia="Arial" w:hAnsi="Arial"/>
                <w:sz w:val="18"/>
                <w:szCs w:val="18"/>
                <w:color w:val="0000FF"/>
                <w:w w:val="96"/>
              </w:rPr>
            </w:pPr>
            <w:hyperlink w:anchor="page108">
              <w:r>
                <w:rPr>
                  <w:rFonts w:ascii="Arial" w:cs="Arial" w:eastAsia="Arial" w:hAnsi="Arial"/>
                  <w:sz w:val="18"/>
                  <w:szCs w:val="18"/>
                  <w:color w:val="0000FF"/>
                  <w:w w:val="96"/>
                </w:rPr>
                <w:t>Unresolved</w:t>
              </w:r>
            </w:hyperlink>
          </w:p>
        </w:tc>
        <w:tc>
          <w:tcPr>
            <w:tcW w:w="20" w:type="dxa"/>
            <w:vAlign w:val="bottom"/>
            <w:tcBorders>
              <w:top w:val="single" w:sz="8" w:color="0000EE"/>
            </w:tcBorders>
          </w:tcPr>
          <w:p>
            <w:pPr>
              <w:spacing w:after="0"/>
              <w:rPr>
                <w:sz w:val="14"/>
                <w:szCs w:val="14"/>
                <w:color w:val="auto"/>
              </w:rPr>
            </w:pPr>
          </w:p>
        </w:tc>
        <w:tc>
          <w:tcPr>
            <w:tcW w:w="8420" w:type="dxa"/>
            <w:vAlign w:val="bottom"/>
            <w:gridSpan w:val="20"/>
          </w:tcPr>
          <w:p>
            <w:pPr>
              <w:spacing w:after="0" w:line="169" w:lineRule="exact"/>
              <w:rPr>
                <w:rFonts w:ascii="Arial" w:cs="Arial" w:eastAsia="Arial" w:hAnsi="Arial"/>
                <w:sz w:val="18"/>
                <w:szCs w:val="18"/>
                <w:color w:val="0000FF"/>
              </w:rPr>
            </w:pPr>
            <w:hyperlink w:anchor="page108">
              <w:r>
                <w:rPr>
                  <w:rFonts w:ascii="Arial" w:cs="Arial" w:eastAsia="Arial" w:hAnsi="Arial"/>
                  <w:sz w:val="18"/>
                  <w:szCs w:val="18"/>
                  <w:color w:val="0000FF"/>
                </w:rPr>
                <w:t>Staff Comments</w:t>
              </w:r>
            </w:hyperlink>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69"/>
        </w:trPr>
        <w:tc>
          <w:tcPr>
            <w:tcW w:w="126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w:anchor="page108">
              <w:r>
                <w:rPr>
                  <w:rFonts w:ascii="Arial" w:cs="Arial" w:eastAsia="Arial" w:hAnsi="Arial"/>
                  <w:sz w:val="18"/>
                  <w:szCs w:val="18"/>
                  <w:color w:val="0000FF"/>
                </w:rPr>
                <w:t>Properties</w:t>
              </w:r>
            </w:hyperlink>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126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3.</w:t>
            </w: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107</w:t>
            </w:r>
          </w:p>
        </w:tc>
        <w:tc>
          <w:tcPr>
            <w:tcW w:w="0" w:type="dxa"/>
            <w:vAlign w:val="bottom"/>
          </w:tcPr>
          <w:p>
            <w:pPr>
              <w:spacing w:after="0" w:line="20" w:lineRule="exact"/>
              <w:rPr>
                <w:sz w:val="1"/>
                <w:szCs w:val="1"/>
                <w:color w:val="auto"/>
              </w:rPr>
            </w:pPr>
          </w:p>
        </w:tc>
      </w:tr>
      <w:tr>
        <w:trPr>
          <w:trHeight w:val="169"/>
        </w:trPr>
        <w:tc>
          <w:tcPr>
            <w:tcW w:w="1260" w:type="dxa"/>
            <w:vAlign w:val="bottom"/>
            <w:gridSpan w:val="6"/>
            <w:vMerge w:val="continue"/>
          </w:tcPr>
          <w:p>
            <w:pPr>
              <w:spacing w:after="0"/>
              <w:rPr>
                <w:sz w:val="14"/>
                <w:szCs w:val="14"/>
                <w:color w:val="auto"/>
              </w:rPr>
            </w:pPr>
          </w:p>
        </w:tc>
        <w:tc>
          <w:tcPr>
            <w:tcW w:w="1340" w:type="dxa"/>
            <w:vAlign w:val="bottom"/>
            <w:tcBorders>
              <w:bottom w:val="single" w:sz="8" w:color="0000FF"/>
            </w:tcBorders>
            <w:gridSpan w:val="6"/>
          </w:tcPr>
          <w:p>
            <w:pPr>
              <w:spacing w:after="0" w:line="169" w:lineRule="exact"/>
              <w:rPr>
                <w:rFonts w:ascii="Arial" w:cs="Arial" w:eastAsia="Arial" w:hAnsi="Arial"/>
                <w:sz w:val="18"/>
                <w:szCs w:val="18"/>
                <w:color w:val="0000FF"/>
                <w:w w:val="88"/>
              </w:rPr>
            </w:pPr>
            <w:hyperlink w:anchor="page109">
              <w:r>
                <w:rPr>
                  <w:rFonts w:ascii="Arial" w:cs="Arial" w:eastAsia="Arial" w:hAnsi="Arial"/>
                  <w:sz w:val="18"/>
                  <w:szCs w:val="18"/>
                  <w:color w:val="0000FF"/>
                  <w:w w:val="88"/>
                </w:rPr>
                <w:t>Legal Proceedings</w:t>
              </w:r>
            </w:hyperlink>
          </w:p>
        </w:tc>
        <w:tc>
          <w:tcPr>
            <w:tcW w:w="20" w:type="dxa"/>
            <w:vAlign w:val="bottom"/>
            <w:tcBorders>
              <w:bottom w:val="single" w:sz="8" w:color="0000EE"/>
            </w:tcBorders>
          </w:tcPr>
          <w:p>
            <w:pPr>
              <w:spacing w:after="0"/>
              <w:rPr>
                <w:sz w:val="14"/>
                <w:szCs w:val="14"/>
                <w:color w:val="auto"/>
              </w:rPr>
            </w:pPr>
          </w:p>
        </w:tc>
        <w:tc>
          <w:tcPr>
            <w:tcW w:w="7980" w:type="dxa"/>
            <w:vAlign w:val="bottom"/>
            <w:gridSpan w:val="17"/>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4.</w:t>
            </w:r>
          </w:p>
        </w:tc>
        <w:tc>
          <w:tcPr>
            <w:tcW w:w="9340" w:type="dxa"/>
            <w:vAlign w:val="bottom"/>
            <w:gridSpan w:val="24"/>
          </w:tcPr>
          <w:p>
            <w:pPr>
              <w:spacing w:after="0" w:line="169" w:lineRule="exact"/>
              <w:rPr>
                <w:rFonts w:ascii="Arial" w:cs="Arial" w:eastAsia="Arial" w:hAnsi="Arial"/>
                <w:sz w:val="18"/>
                <w:szCs w:val="18"/>
                <w:color w:val="0000FF"/>
              </w:rPr>
            </w:pPr>
            <w:hyperlink w:anchor="page109">
              <w:r>
                <w:rPr>
                  <w:rFonts w:ascii="Arial" w:cs="Arial" w:eastAsia="Arial" w:hAnsi="Arial"/>
                  <w:sz w:val="18"/>
                  <w:szCs w:val="18"/>
                  <w:color w:val="0000FF"/>
                </w:rPr>
                <w:t>Mine Safety Disclosures</w:t>
              </w:r>
            </w:hyperlink>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1260" w:type="dxa"/>
            <w:vAlign w:val="bottom"/>
            <w:gridSpan w:val="6"/>
            <w:vMerge w:val="restart"/>
          </w:tcPr>
          <w:p>
            <w:pPr>
              <w:spacing w:after="0"/>
              <w:rPr>
                <w:rFonts w:ascii="Arial" w:cs="Arial" w:eastAsia="Arial" w:hAnsi="Arial"/>
                <w:sz w:val="18"/>
                <w:szCs w:val="18"/>
                <w:b w:val="1"/>
                <w:bCs w:val="1"/>
                <w:color w:val="0000FF"/>
              </w:rPr>
            </w:pPr>
            <w:hyperlink w:anchor="page110">
              <w:r>
                <w:rPr>
                  <w:rFonts w:ascii="Arial" w:cs="Arial" w:eastAsia="Arial" w:hAnsi="Arial"/>
                  <w:sz w:val="18"/>
                  <w:szCs w:val="18"/>
                  <w:b w:val="1"/>
                  <w:bCs w:val="1"/>
                  <w:color w:val="0000FF"/>
                </w:rPr>
                <w:t>PART II</w:t>
              </w:r>
            </w:hyperlink>
          </w:p>
        </w:tc>
        <w:tc>
          <w:tcPr>
            <w:tcW w:w="6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60" w:type="dxa"/>
            <w:vAlign w:val="bottom"/>
            <w:gridSpan w:val="6"/>
            <w:vMerge w:val="continue"/>
          </w:tcPr>
          <w:p>
            <w:pPr>
              <w:spacing w:after="0"/>
              <w:rPr>
                <w:sz w:val="24"/>
                <w:szCs w:val="24"/>
                <w:color w:val="auto"/>
              </w:rPr>
            </w:pPr>
          </w:p>
        </w:tc>
        <w:tc>
          <w:tcPr>
            <w:tcW w:w="9340" w:type="dxa"/>
            <w:vAlign w:val="bottom"/>
            <w:gridSpan w:val="24"/>
            <w:vMerge w:val="restart"/>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Market for Registrant’s Common Equity, Related Stockholder Matters and Issuer Purchases of Equity Securities</w:t>
              </w:r>
            </w:hyperlink>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69"/>
        </w:trPr>
        <w:tc>
          <w:tcPr>
            <w:tcW w:w="660" w:type="dxa"/>
            <w:vAlign w:val="bottom"/>
            <w:tcBorders>
              <w:top w:val="single" w:sz="8" w:color="0000FF"/>
            </w:tcBorders>
            <w:gridSpan w:val="2"/>
          </w:tcPr>
          <w:p>
            <w:pPr>
              <w:ind w:left="120"/>
              <w:spacing w:after="0" w:line="169" w:lineRule="exact"/>
              <w:rPr>
                <w:sz w:val="20"/>
                <w:szCs w:val="20"/>
                <w:color w:val="auto"/>
              </w:rPr>
            </w:pPr>
            <w:r>
              <w:rPr>
                <w:rFonts w:ascii="Arial" w:cs="Arial" w:eastAsia="Arial" w:hAnsi="Arial"/>
                <w:sz w:val="18"/>
                <w:szCs w:val="18"/>
                <w:color w:val="auto"/>
                <w:w w:val="94"/>
              </w:rPr>
              <w:t>Item 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340" w:type="dxa"/>
            <w:vAlign w:val="bottom"/>
            <w:gridSpan w:val="24"/>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6.</w:t>
            </w:r>
          </w:p>
        </w:tc>
        <w:tc>
          <w:tcPr>
            <w:tcW w:w="808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w:anchor="page111">
              <w:r>
                <w:rPr>
                  <w:rFonts w:ascii="Arial" w:cs="Arial" w:eastAsia="Arial" w:hAnsi="Arial"/>
                  <w:sz w:val="18"/>
                  <w:szCs w:val="18"/>
                  <w:color w:val="0000FF"/>
                </w:rPr>
                <w:t>Reserved</w:t>
              </w:r>
            </w:hyperlink>
          </w:p>
        </w:tc>
        <w:tc>
          <w:tcPr>
            <w:tcW w:w="126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126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7.</w:t>
            </w: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110</w:t>
            </w:r>
          </w:p>
        </w:tc>
        <w:tc>
          <w:tcPr>
            <w:tcW w:w="0" w:type="dxa"/>
            <w:vAlign w:val="bottom"/>
          </w:tcPr>
          <w:p>
            <w:pPr>
              <w:spacing w:after="0" w:line="20" w:lineRule="exact"/>
              <w:rPr>
                <w:sz w:val="1"/>
                <w:szCs w:val="1"/>
                <w:color w:val="auto"/>
              </w:rPr>
            </w:pPr>
          </w:p>
        </w:tc>
      </w:tr>
      <w:tr>
        <w:trPr>
          <w:trHeight w:val="169"/>
        </w:trPr>
        <w:tc>
          <w:tcPr>
            <w:tcW w:w="1260" w:type="dxa"/>
            <w:vAlign w:val="bottom"/>
            <w:gridSpan w:val="6"/>
            <w:vMerge w:val="continue"/>
          </w:tcPr>
          <w:p>
            <w:pPr>
              <w:spacing w:after="0"/>
              <w:rPr>
                <w:sz w:val="14"/>
                <w:szCs w:val="14"/>
                <w:color w:val="auto"/>
              </w:rPr>
            </w:pPr>
          </w:p>
        </w:tc>
        <w:tc>
          <w:tcPr>
            <w:tcW w:w="9340" w:type="dxa"/>
            <w:vAlign w:val="bottom"/>
            <w:gridSpan w:val="24"/>
          </w:tcPr>
          <w:p>
            <w:pPr>
              <w:spacing w:after="0" w:line="169" w:lineRule="exact"/>
              <w:rPr>
                <w:rFonts w:ascii="Arial" w:cs="Arial" w:eastAsia="Arial" w:hAnsi="Arial"/>
                <w:sz w:val="18"/>
                <w:szCs w:val="18"/>
                <w:color w:val="0000FF"/>
              </w:rPr>
            </w:pPr>
            <w:hyperlink w:anchor="page112">
              <w:r>
                <w:rPr>
                  <w:rFonts w:ascii="Arial" w:cs="Arial" w:eastAsia="Arial" w:hAnsi="Arial"/>
                  <w:sz w:val="18"/>
                  <w:szCs w:val="18"/>
                  <w:color w:val="0000FF"/>
                </w:rPr>
                <w:t>Management’s Discussion and Analysis of Financial Condition and Results of Operations</w:t>
              </w:r>
            </w:hyperlink>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w:anchor="page127">
              <w:r>
                <w:rPr>
                  <w:rFonts w:ascii="Arial" w:cs="Arial" w:eastAsia="Arial" w:hAnsi="Arial"/>
                  <w:sz w:val="18"/>
                  <w:szCs w:val="18"/>
                  <w:color w:val="0000FF"/>
                </w:rPr>
                <w:t>Quantitative and Qualitative Disclosures About Market Risk</w:t>
              </w:r>
            </w:hyperlink>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60" w:type="dxa"/>
            <w:vAlign w:val="bottom"/>
            <w:gridSpan w:val="2"/>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69"/>
        </w:trPr>
        <w:tc>
          <w:tcPr>
            <w:tcW w:w="126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w:anchor="page128">
              <w:r>
                <w:rPr>
                  <w:rFonts w:ascii="Arial" w:cs="Arial" w:eastAsia="Arial" w:hAnsi="Arial"/>
                  <w:sz w:val="18"/>
                  <w:szCs w:val="18"/>
                  <w:color w:val="0000FF"/>
                </w:rPr>
                <w:t>Financial Statements and Supplementary Data</w:t>
              </w:r>
            </w:hyperlink>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2060" w:type="dxa"/>
            <w:vAlign w:val="bottom"/>
            <w:gridSpan w:val="2"/>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26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9.</w:t>
            </w: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126</w:t>
            </w:r>
          </w:p>
        </w:tc>
        <w:tc>
          <w:tcPr>
            <w:tcW w:w="0" w:type="dxa"/>
            <w:vAlign w:val="bottom"/>
          </w:tcPr>
          <w:p>
            <w:pPr>
              <w:spacing w:after="0" w:line="20" w:lineRule="exact"/>
              <w:rPr>
                <w:sz w:val="1"/>
                <w:szCs w:val="1"/>
                <w:color w:val="auto"/>
              </w:rPr>
            </w:pPr>
          </w:p>
        </w:tc>
      </w:tr>
      <w:tr>
        <w:trPr>
          <w:trHeight w:val="169"/>
        </w:trPr>
        <w:tc>
          <w:tcPr>
            <w:tcW w:w="1260" w:type="dxa"/>
            <w:vAlign w:val="bottom"/>
            <w:gridSpan w:val="6"/>
            <w:vMerge w:val="continue"/>
          </w:tcPr>
          <w:p>
            <w:pPr>
              <w:spacing w:after="0"/>
              <w:rPr>
                <w:sz w:val="14"/>
                <w:szCs w:val="14"/>
                <w:color w:val="auto"/>
              </w:rPr>
            </w:pPr>
          </w:p>
        </w:tc>
        <w:tc>
          <w:tcPr>
            <w:tcW w:w="9340" w:type="dxa"/>
            <w:vAlign w:val="bottom"/>
            <w:gridSpan w:val="24"/>
          </w:tcPr>
          <w:p>
            <w:pPr>
              <w:spacing w:after="0" w:line="169" w:lineRule="exact"/>
              <w:rPr>
                <w:rFonts w:ascii="Arial" w:cs="Arial" w:eastAsia="Arial" w:hAnsi="Arial"/>
                <w:sz w:val="18"/>
                <w:szCs w:val="18"/>
                <w:color w:val="0000FF"/>
              </w:rPr>
            </w:pPr>
            <w:hyperlink w:anchor="page128">
              <w:r>
                <w:rPr>
                  <w:rFonts w:ascii="Arial" w:cs="Arial" w:eastAsia="Arial" w:hAnsi="Arial"/>
                  <w:sz w:val="18"/>
                  <w:szCs w:val="18"/>
                  <w:color w:val="0000FF"/>
                </w:rPr>
                <w:t>Changes in and Disagreements With Accountants on Accounting and Financial Disclosure</w:t>
              </w:r>
            </w:hyperlink>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9A.</w:t>
            </w:r>
          </w:p>
        </w:tc>
        <w:tc>
          <w:tcPr>
            <w:tcW w:w="650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w:anchor="page128">
              <w:r>
                <w:rPr>
                  <w:rFonts w:ascii="Arial" w:cs="Arial" w:eastAsia="Arial" w:hAnsi="Arial"/>
                  <w:sz w:val="18"/>
                  <w:szCs w:val="18"/>
                  <w:color w:val="0000FF"/>
                </w:rPr>
                <w:t>Controls and Procedures</w:t>
              </w:r>
            </w:hyperlink>
          </w:p>
        </w:tc>
        <w:tc>
          <w:tcPr>
            <w:tcW w:w="780" w:type="dxa"/>
            <w:vAlign w:val="bottom"/>
          </w:tcPr>
          <w:p>
            <w:pPr>
              <w:spacing w:after="0"/>
              <w:rPr>
                <w:sz w:val="14"/>
                <w:szCs w:val="14"/>
                <w:color w:val="auto"/>
              </w:rPr>
            </w:pPr>
          </w:p>
        </w:tc>
        <w:tc>
          <w:tcPr>
            <w:tcW w:w="2060" w:type="dxa"/>
            <w:vAlign w:val="bottom"/>
            <w:gridSpan w:val="2"/>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69"/>
        </w:trPr>
        <w:tc>
          <w:tcPr>
            <w:tcW w:w="126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2"/>
              </w:rPr>
            </w:pPr>
            <w:hyperlink w:anchor="page131">
              <w:r>
                <w:rPr>
                  <w:rFonts w:ascii="Arial" w:cs="Arial" w:eastAsia="Arial" w:hAnsi="Arial"/>
                  <w:sz w:val="18"/>
                  <w:szCs w:val="18"/>
                  <w:color w:val="0000FF"/>
                  <w:w w:val="92"/>
                </w:rPr>
                <w:t>Other Information</w:t>
              </w:r>
            </w:hyperlink>
          </w:p>
        </w:tc>
        <w:tc>
          <w:tcPr>
            <w:tcW w:w="20" w:type="dxa"/>
            <w:vAlign w:val="bottom"/>
            <w:tcBorders>
              <w:top w:val="single" w:sz="8" w:color="0000FF"/>
              <w:bottom w:val="single" w:sz="8" w:color="0000EE"/>
            </w:tcBorders>
          </w:tcPr>
          <w:p>
            <w:pPr>
              <w:spacing w:after="0"/>
              <w:rPr>
                <w:sz w:val="14"/>
                <w:szCs w:val="14"/>
                <w:color w:val="auto"/>
              </w:rPr>
            </w:pPr>
          </w:p>
        </w:tc>
        <w:tc>
          <w:tcPr>
            <w:tcW w:w="420" w:type="dxa"/>
            <w:vAlign w:val="bottom"/>
            <w:tcBorders>
              <w:top w:val="single" w:sz="8" w:color="0000FF"/>
            </w:tcBorders>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80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2060" w:type="dxa"/>
            <w:vAlign w:val="bottom"/>
            <w:gridSpan w:val="2"/>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69"/>
        </w:trPr>
        <w:tc>
          <w:tcPr>
            <w:tcW w:w="126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9C.</w:t>
            </w:r>
          </w:p>
        </w:tc>
        <w:tc>
          <w:tcPr>
            <w:tcW w:w="4900" w:type="dxa"/>
            <w:vAlign w:val="bottom"/>
            <w:tcBorders>
              <w:bottom w:val="single" w:sz="8" w:color="0000FF"/>
            </w:tcBorders>
            <w:gridSpan w:val="18"/>
          </w:tcPr>
          <w:p>
            <w:pPr>
              <w:spacing w:after="0" w:line="169" w:lineRule="exact"/>
              <w:rPr>
                <w:rFonts w:ascii="Arial" w:cs="Arial" w:eastAsia="Arial" w:hAnsi="Arial"/>
                <w:sz w:val="18"/>
                <w:szCs w:val="18"/>
                <w:color w:val="0000FF"/>
                <w:w w:val="90"/>
              </w:rPr>
            </w:pPr>
            <w:hyperlink w:anchor="page131">
              <w:r>
                <w:rPr>
                  <w:rFonts w:ascii="Arial" w:cs="Arial" w:eastAsia="Arial" w:hAnsi="Arial"/>
                  <w:sz w:val="18"/>
                  <w:szCs w:val="18"/>
                  <w:color w:val="0000FF"/>
                  <w:w w:val="90"/>
                </w:rPr>
                <w:t>Disclosure Regarding Foreign Jurisdictions that Prevent Inspections</w:t>
              </w:r>
            </w:hyperlink>
          </w:p>
        </w:tc>
        <w:tc>
          <w:tcPr>
            <w:tcW w:w="4440" w:type="dxa"/>
            <w:vAlign w:val="bottom"/>
            <w:gridSpan w:val="6"/>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358"/>
        </w:trPr>
        <w:tc>
          <w:tcPr>
            <w:tcW w:w="1260" w:type="dxa"/>
            <w:vAlign w:val="bottom"/>
            <w:gridSpan w:val="6"/>
          </w:tcPr>
          <w:p>
            <w:pPr>
              <w:spacing w:after="0"/>
              <w:rPr>
                <w:rFonts w:ascii="Arial" w:cs="Arial" w:eastAsia="Arial" w:hAnsi="Arial"/>
                <w:sz w:val="18"/>
                <w:szCs w:val="18"/>
                <w:b w:val="1"/>
                <w:bCs w:val="1"/>
                <w:color w:val="0000FF"/>
              </w:rPr>
            </w:pPr>
            <w:hyperlink w:anchor="page132">
              <w:r>
                <w:rPr>
                  <w:rFonts w:ascii="Arial" w:cs="Arial" w:eastAsia="Arial" w:hAnsi="Arial"/>
                  <w:sz w:val="18"/>
                  <w:szCs w:val="18"/>
                  <w:b w:val="1"/>
                  <w:bCs w:val="1"/>
                  <w:color w:val="0000FF"/>
                </w:rPr>
                <w:t>PART III</w:t>
              </w:r>
            </w:hyperlink>
          </w:p>
        </w:tc>
        <w:tc>
          <w:tcPr>
            <w:tcW w:w="9340" w:type="dxa"/>
            <w:vAlign w:val="bottom"/>
            <w:gridSpan w:val="24"/>
            <w:vMerge w:val="restart"/>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Directors, Executive Officers and Corporate Governance</w:t>
              </w:r>
            </w:hyperlink>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69"/>
        </w:trPr>
        <w:tc>
          <w:tcPr>
            <w:tcW w:w="760" w:type="dxa"/>
            <w:vAlign w:val="bottom"/>
            <w:tcBorders>
              <w:top w:val="single" w:sz="8" w:color="0000FF"/>
            </w:tcBorders>
            <w:gridSpan w:val="5"/>
          </w:tcPr>
          <w:p>
            <w:pPr>
              <w:ind w:left="120"/>
              <w:spacing w:after="0" w:line="169" w:lineRule="exact"/>
              <w:rPr>
                <w:sz w:val="20"/>
                <w:szCs w:val="20"/>
                <w:color w:val="auto"/>
              </w:rPr>
            </w:pPr>
            <w:r>
              <w:rPr>
                <w:rFonts w:ascii="Arial" w:cs="Arial" w:eastAsia="Arial" w:hAnsi="Arial"/>
                <w:sz w:val="18"/>
                <w:szCs w:val="18"/>
                <w:color w:val="auto"/>
                <w:w w:val="95"/>
              </w:rPr>
              <w:t>Item 10.</w:t>
            </w:r>
          </w:p>
        </w:tc>
        <w:tc>
          <w:tcPr>
            <w:tcW w:w="500" w:type="dxa"/>
            <w:vAlign w:val="bottom"/>
          </w:tcPr>
          <w:p>
            <w:pPr>
              <w:spacing w:after="0"/>
              <w:rPr>
                <w:sz w:val="14"/>
                <w:szCs w:val="14"/>
                <w:color w:val="auto"/>
              </w:rPr>
            </w:pPr>
          </w:p>
        </w:tc>
        <w:tc>
          <w:tcPr>
            <w:tcW w:w="9340" w:type="dxa"/>
            <w:vAlign w:val="bottom"/>
            <w:gridSpan w:val="24"/>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w:anchor="page132">
              <w:r>
                <w:rPr>
                  <w:rFonts w:ascii="Arial" w:cs="Arial" w:eastAsia="Arial" w:hAnsi="Arial"/>
                  <w:sz w:val="18"/>
                  <w:szCs w:val="18"/>
                  <w:color w:val="0000FF"/>
                </w:rPr>
                <w:t>Executive Compensation</w:t>
              </w:r>
            </w:hyperlink>
          </w:p>
        </w:tc>
        <w:tc>
          <w:tcPr>
            <w:tcW w:w="134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2060" w:type="dxa"/>
            <w:vAlign w:val="bottom"/>
            <w:gridSpan w:val="2"/>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69"/>
        </w:trPr>
        <w:tc>
          <w:tcPr>
            <w:tcW w:w="126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12.</w:t>
            </w:r>
          </w:p>
        </w:tc>
        <w:tc>
          <w:tcPr>
            <w:tcW w:w="180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w:anchor="page132">
              <w:r>
                <w:rPr>
                  <w:rFonts w:ascii="Arial" w:cs="Arial" w:eastAsia="Arial" w:hAnsi="Arial"/>
                  <w:sz w:val="18"/>
                  <w:szCs w:val="18"/>
                  <w:color w:val="0000FF"/>
                </w:rPr>
                <w:t>Security Ownership of</w:t>
              </w:r>
            </w:hyperlink>
          </w:p>
        </w:tc>
        <w:tc>
          <w:tcPr>
            <w:tcW w:w="20" w:type="dxa"/>
            <w:vAlign w:val="bottom"/>
            <w:tcBorders>
              <w:top w:val="single" w:sz="8" w:color="0000EE"/>
            </w:tcBorders>
          </w:tcPr>
          <w:p>
            <w:pPr>
              <w:spacing w:after="0"/>
              <w:rPr>
                <w:sz w:val="14"/>
                <w:szCs w:val="14"/>
                <w:color w:val="auto"/>
              </w:rPr>
            </w:pPr>
          </w:p>
        </w:tc>
        <w:tc>
          <w:tcPr>
            <w:tcW w:w="7520" w:type="dxa"/>
            <w:vAlign w:val="bottom"/>
            <w:gridSpan w:val="13"/>
          </w:tcPr>
          <w:p>
            <w:pPr>
              <w:spacing w:after="0" w:line="169" w:lineRule="exact"/>
              <w:rPr>
                <w:rFonts w:ascii="Arial" w:cs="Arial" w:eastAsia="Arial" w:hAnsi="Arial"/>
                <w:sz w:val="18"/>
                <w:szCs w:val="18"/>
                <w:color w:val="0000FF"/>
              </w:rPr>
            </w:pPr>
            <w:hyperlink w:anchor="page132">
              <w:r>
                <w:rPr>
                  <w:rFonts w:ascii="Arial" w:cs="Arial" w:eastAsia="Arial" w:hAnsi="Arial"/>
                  <w:sz w:val="18"/>
                  <w:szCs w:val="18"/>
                  <w:color w:val="0000FF"/>
                </w:rPr>
                <w:t>Certain Beneficial Owners and Management and Related Stockholder Matters</w:t>
              </w:r>
            </w:hyperlink>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69"/>
        </w:trPr>
        <w:tc>
          <w:tcPr>
            <w:tcW w:w="126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w:anchor="page132">
              <w:r>
                <w:rPr>
                  <w:rFonts w:ascii="Arial" w:cs="Arial" w:eastAsia="Arial" w:hAnsi="Arial"/>
                  <w:sz w:val="18"/>
                  <w:szCs w:val="18"/>
                  <w:color w:val="0000FF"/>
                </w:rPr>
                <w:t>Certain Relationships and Related Transactions, and Director Independence</w:t>
              </w:r>
            </w:hyperlink>
          </w:p>
        </w:tc>
        <w:tc>
          <w:tcPr>
            <w:tcW w:w="2060" w:type="dxa"/>
            <w:vAlign w:val="bottom"/>
            <w:gridSpan w:val="2"/>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69"/>
        </w:trPr>
        <w:tc>
          <w:tcPr>
            <w:tcW w:w="126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w:anchor="page132">
              <w:r>
                <w:rPr>
                  <w:rFonts w:ascii="Arial" w:cs="Arial" w:eastAsia="Arial" w:hAnsi="Arial"/>
                  <w:sz w:val="18"/>
                  <w:szCs w:val="18"/>
                  <w:color w:val="0000FF"/>
                </w:rPr>
                <w:t>Principal Accounting Fees and Services</w:t>
              </w:r>
            </w:hyperlink>
          </w:p>
        </w:tc>
        <w:tc>
          <w:tcPr>
            <w:tcW w:w="3900" w:type="dxa"/>
            <w:vAlign w:val="bottom"/>
            <w:gridSpan w:val="5"/>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720" w:type="dxa"/>
            <w:vAlign w:val="bottom"/>
            <w:gridSpan w:val="3"/>
            <w:vMerge w:val="restart"/>
          </w:tcPr>
          <w:p>
            <w:pPr>
              <w:spacing w:after="0"/>
              <w:rPr>
                <w:rFonts w:ascii="Arial" w:cs="Arial" w:eastAsia="Arial" w:hAnsi="Arial"/>
                <w:sz w:val="18"/>
                <w:szCs w:val="18"/>
                <w:b w:val="1"/>
                <w:bCs w:val="1"/>
                <w:color w:val="0000FF"/>
                <w:w w:val="98"/>
              </w:rPr>
            </w:pPr>
            <w:hyperlink w:anchor="page133">
              <w:r>
                <w:rPr>
                  <w:rFonts w:ascii="Arial" w:cs="Arial" w:eastAsia="Arial" w:hAnsi="Arial"/>
                  <w:sz w:val="18"/>
                  <w:szCs w:val="18"/>
                  <w:b w:val="1"/>
                  <w:bCs w:val="1"/>
                  <w:color w:val="0000FF"/>
                  <w:w w:val="98"/>
                </w:rPr>
                <w:t>PART IV</w:t>
              </w:r>
            </w:hyperlink>
          </w:p>
        </w:tc>
        <w:tc>
          <w:tcPr>
            <w:tcW w:w="20" w:type="dxa"/>
            <w:vAlign w:val="bottom"/>
            <w:vMerge w:val="restart"/>
          </w:tcPr>
          <w:p>
            <w:pPr>
              <w:spacing w:after="0" w:line="20" w:lineRule="exact"/>
              <w:rPr>
                <w:sz w:val="1"/>
                <w:szCs w:val="1"/>
                <w:color w:val="auto"/>
              </w:rPr>
            </w:pPr>
          </w:p>
        </w:tc>
        <w:tc>
          <w:tcPr>
            <w:tcW w:w="520" w:type="dxa"/>
            <w:vAlign w:val="bottom"/>
            <w:gridSpan w:val="2"/>
            <w:vMerge w:val="restart"/>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720" w:type="dxa"/>
            <w:vAlign w:val="bottom"/>
            <w:tcBorders>
              <w:bottom w:val="single" w:sz="8" w:color="0000FF"/>
            </w:tcBorders>
            <w:gridSpan w:val="3"/>
            <w:vMerge w:val="continue"/>
          </w:tcPr>
          <w:p>
            <w:pPr>
              <w:spacing w:after="0"/>
              <w:rPr>
                <w:sz w:val="24"/>
                <w:szCs w:val="24"/>
                <w:color w:val="auto"/>
              </w:rPr>
            </w:pPr>
          </w:p>
        </w:tc>
        <w:tc>
          <w:tcPr>
            <w:tcW w:w="20" w:type="dxa"/>
            <w:vAlign w:val="bottom"/>
            <w:tcBorders>
              <w:bottom w:val="single" w:sz="8" w:color="0000EE"/>
            </w:tcBorders>
            <w:vMerge w:val="continue"/>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9340" w:type="dxa"/>
            <w:vAlign w:val="bottom"/>
            <w:gridSpan w:val="24"/>
            <w:vMerge w:val="restart"/>
          </w:tcPr>
          <w:p>
            <w:pPr>
              <w:spacing w:after="0"/>
              <w:rPr>
                <w:rFonts w:ascii="Arial" w:cs="Arial" w:eastAsia="Arial" w:hAnsi="Arial"/>
                <w:sz w:val="18"/>
                <w:szCs w:val="18"/>
                <w:color w:val="0000FF"/>
              </w:rPr>
            </w:pPr>
            <w:hyperlink w:anchor="page133">
              <w:r>
                <w:rPr>
                  <w:rFonts w:ascii="Arial" w:cs="Arial" w:eastAsia="Arial" w:hAnsi="Arial"/>
                  <w:sz w:val="18"/>
                  <w:szCs w:val="18"/>
                  <w:color w:val="0000FF"/>
                </w:rPr>
                <w:t>Exhibits, Financial Statement Schedules</w:t>
              </w:r>
            </w:hyperlink>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69"/>
        </w:trPr>
        <w:tc>
          <w:tcPr>
            <w:tcW w:w="740" w:type="dxa"/>
            <w:vAlign w:val="bottom"/>
            <w:gridSpan w:val="4"/>
          </w:tcPr>
          <w:p>
            <w:pPr>
              <w:ind w:left="120"/>
              <w:spacing w:after="0" w:line="169" w:lineRule="exact"/>
              <w:rPr>
                <w:sz w:val="20"/>
                <w:szCs w:val="20"/>
                <w:color w:val="auto"/>
              </w:rPr>
            </w:pPr>
            <w:r>
              <w:rPr>
                <w:rFonts w:ascii="Arial" w:cs="Arial" w:eastAsia="Arial" w:hAnsi="Arial"/>
                <w:sz w:val="18"/>
                <w:szCs w:val="18"/>
                <w:color w:val="auto"/>
                <w:w w:val="92"/>
              </w:rPr>
              <w:t>Item 15.</w:t>
            </w:r>
          </w:p>
        </w:tc>
        <w:tc>
          <w:tcPr>
            <w:tcW w:w="520" w:type="dxa"/>
            <w:vAlign w:val="bottom"/>
            <w:gridSpan w:val="2"/>
          </w:tcPr>
          <w:p>
            <w:pPr>
              <w:spacing w:after="0"/>
              <w:rPr>
                <w:sz w:val="14"/>
                <w:szCs w:val="14"/>
                <w:color w:val="auto"/>
              </w:rPr>
            </w:pPr>
          </w:p>
        </w:tc>
        <w:tc>
          <w:tcPr>
            <w:tcW w:w="9340" w:type="dxa"/>
            <w:vAlign w:val="bottom"/>
            <w:gridSpan w:val="24"/>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w:anchor="page133">
              <w:r>
                <w:rPr>
                  <w:rFonts w:ascii="Arial" w:cs="Arial" w:eastAsia="Arial" w:hAnsi="Arial"/>
                  <w:sz w:val="18"/>
                  <w:szCs w:val="18"/>
                  <w:color w:val="0000FF"/>
                </w:rPr>
                <w:t>Form 10-K Summary</w:t>
              </w:r>
            </w:hyperlink>
          </w:p>
        </w:tc>
        <w:tc>
          <w:tcPr>
            <w:tcW w:w="6440" w:type="dxa"/>
            <w:vAlign w:val="bottom"/>
            <w:gridSpan w:val="10"/>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ind w:left="2020"/>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216" w:lineRule="exact"/>
        <w:rPr>
          <w:sz w:val="20"/>
          <w:szCs w:val="20"/>
          <w:color w:val="auto"/>
        </w:rPr>
      </w:pPr>
    </w:p>
    <w:p>
      <w:pPr>
        <w:ind w:left="380" w:right="100" w:hanging="378"/>
        <w:spacing w:after="0" w:line="248"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never successfully completed any clinical trials, and we may be unable to do so for any product candidates we develop. We may incur additional costs or experience delays in completing, or ultimately be unable to complete, the development and commercialization of our product candidates.</w:t>
      </w:r>
    </w:p>
    <w:p>
      <w:pPr>
        <w:spacing w:after="0" w:line="73" w:lineRule="exact"/>
        <w:rPr>
          <w:rFonts w:ascii="Arial" w:cs="Arial" w:eastAsia="Arial" w:hAnsi="Arial"/>
          <w:sz w:val="18"/>
          <w:szCs w:val="18"/>
          <w:color w:val="auto"/>
        </w:rPr>
      </w:pPr>
    </w:p>
    <w:p>
      <w:pPr>
        <w:ind w:left="380" w:right="540" w:hanging="378"/>
        <w:spacing w:after="0" w:line="261"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62" w:lineRule="exact"/>
        <w:rPr>
          <w:rFonts w:ascii="Arial" w:cs="Arial" w:eastAsia="Arial" w:hAnsi="Arial"/>
          <w:sz w:val="18"/>
          <w:szCs w:val="18"/>
          <w:color w:val="auto"/>
        </w:rPr>
      </w:pPr>
    </w:p>
    <w:p>
      <w:pPr>
        <w:jc w:val="both"/>
        <w:ind w:left="380" w:right="500" w:hanging="378"/>
        <w:spacing w:after="0" w:line="24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w:t>
      </w:r>
    </w:p>
    <w:p>
      <w:pPr>
        <w:spacing w:after="0" w:line="79" w:lineRule="exact"/>
        <w:rPr>
          <w:rFonts w:ascii="Arial" w:cs="Arial" w:eastAsia="Arial" w:hAnsi="Arial"/>
          <w:sz w:val="18"/>
          <w:szCs w:val="18"/>
          <w:color w:val="auto"/>
        </w:rPr>
      </w:pPr>
    </w:p>
    <w:p>
      <w:pPr>
        <w:ind w:left="380" w:right="240" w:hanging="378"/>
        <w:spacing w:after="0" w:line="291"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current or future clinical trials may reveal significant adverse events not seen in our preclinical or nonclinical studies or early clinical data and may result in a safety profile that would inhibit regulatory approval or market acceptance of any of our product candidates.</w:t>
      </w:r>
    </w:p>
    <w:p>
      <w:pPr>
        <w:spacing w:after="0" w:line="38" w:lineRule="exact"/>
        <w:rPr>
          <w:rFonts w:ascii="Arial" w:cs="Arial" w:eastAsia="Arial" w:hAnsi="Arial"/>
          <w:sz w:val="17"/>
          <w:szCs w:val="17"/>
          <w:color w:val="auto"/>
        </w:rPr>
      </w:pPr>
    </w:p>
    <w:p>
      <w:pPr>
        <w:ind w:left="380" w:hanging="378"/>
        <w:spacing w:after="0" w:line="248"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w:t>
      </w:r>
    </w:p>
    <w:p>
      <w:pPr>
        <w:spacing w:after="0" w:line="73" w:lineRule="exact"/>
        <w:rPr>
          <w:rFonts w:ascii="Arial" w:cs="Arial" w:eastAsia="Arial" w:hAnsi="Arial"/>
          <w:sz w:val="18"/>
          <w:szCs w:val="18"/>
          <w:color w:val="auto"/>
        </w:rPr>
      </w:pPr>
    </w:p>
    <w:p>
      <w:pPr>
        <w:ind w:left="380" w:right="240" w:hanging="378"/>
        <w:spacing w:after="0" w:line="270"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55" w:lineRule="exact"/>
        <w:rPr>
          <w:rFonts w:ascii="Arial" w:cs="Arial" w:eastAsia="Arial" w:hAnsi="Arial"/>
          <w:sz w:val="17"/>
          <w:szCs w:val="17"/>
          <w:color w:val="auto"/>
        </w:rPr>
      </w:pPr>
    </w:p>
    <w:p>
      <w:pPr>
        <w:ind w:left="380" w:right="260" w:hanging="378"/>
        <w:spacing w:after="0" w:line="261"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62" w:lineRule="exact"/>
        <w:rPr>
          <w:rFonts w:ascii="Arial" w:cs="Arial" w:eastAsia="Arial" w:hAnsi="Arial"/>
          <w:sz w:val="18"/>
          <w:szCs w:val="18"/>
          <w:color w:val="auto"/>
        </w:rPr>
      </w:pPr>
    </w:p>
    <w:p>
      <w:pPr>
        <w:ind w:left="380" w:right="240" w:hanging="378"/>
        <w:spacing w:after="0" w:line="324"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are not able to obtain, or if delays occur in obtaining, required regulatory approvals for our product candidates, we will not be able to commercialize, or will be delayed in commercializing, our product candidates, and our ability to generate revenue will be materially impaired.</w:t>
      </w:r>
    </w:p>
    <w:p>
      <w:pPr>
        <w:spacing w:after="0" w:line="16" w:lineRule="exact"/>
        <w:rPr>
          <w:rFonts w:ascii="Arial" w:cs="Arial" w:eastAsia="Arial" w:hAnsi="Arial"/>
          <w:sz w:val="16"/>
          <w:szCs w:val="16"/>
          <w:color w:val="auto"/>
        </w:rPr>
      </w:pPr>
    </w:p>
    <w:p>
      <w:pPr>
        <w:ind w:left="380" w:right="120" w:hanging="378"/>
        <w:spacing w:after="0" w:line="24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 our Amended and Restated Collaboration and License Agreement, or the DESRES Agreement, with D. E. Shaw Research, LLC, or D. E. Shaw Research, we collaborate with D. E. Shaw Research to rapidly develop various protein models, a process that depends on D. E. Shaw Research’s use of their proprietary supercomputer, Anton 2. A termination of the DESRES Agreement could have a material adverse effect on our business, financial condition, results of operations, and prospects.</w:t>
      </w:r>
    </w:p>
    <w:p>
      <w:pPr>
        <w:spacing w:after="0" w:line="79" w:lineRule="exact"/>
        <w:rPr>
          <w:rFonts w:ascii="Arial" w:cs="Arial" w:eastAsia="Arial" w:hAnsi="Arial"/>
          <w:sz w:val="18"/>
          <w:szCs w:val="18"/>
          <w:color w:val="auto"/>
        </w:rPr>
      </w:pPr>
    </w:p>
    <w:p>
      <w:pPr>
        <w:ind w:left="380" w:right="180" w:hanging="378"/>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rely on third parties to conduct our ongoing clinical trials of RLY-1971, RLY-4008 and RLY-2608 and expect to rely on third parties to conduct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4" w:lineRule="exact"/>
        <w:rPr>
          <w:rFonts w:ascii="Arial" w:cs="Arial" w:eastAsia="Arial" w:hAnsi="Arial"/>
          <w:sz w:val="17"/>
          <w:szCs w:val="17"/>
          <w:color w:val="auto"/>
        </w:rPr>
      </w:pPr>
    </w:p>
    <w:p>
      <w:pPr>
        <w:ind w:left="380" w:right="160" w:hanging="378"/>
        <w:spacing w:after="0" w:line="291"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and may enter into other collaborations with third parties for the research, development, manufacture and commercialization of one or more of our programs or product candidates. If these collaborations are not successful, our business could be adversely affected.</w:t>
      </w:r>
    </w:p>
    <w:p>
      <w:pPr>
        <w:spacing w:after="0" w:line="38" w:lineRule="exact"/>
        <w:rPr>
          <w:rFonts w:ascii="Arial" w:cs="Arial" w:eastAsia="Arial" w:hAnsi="Arial"/>
          <w:sz w:val="17"/>
          <w:szCs w:val="17"/>
          <w:color w:val="auto"/>
        </w:rPr>
      </w:pPr>
    </w:p>
    <w:p>
      <w:pPr>
        <w:ind w:left="380" w:right="400" w:hanging="378"/>
        <w:spacing w:after="0" w:line="248"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biopharmaceutical company with a limited operating history. We have incurred significant operating losses since our inception and anticipate that we will incur continued losses for the foreseeable future. We have no products approved for commercial sale and have not generated any revenue from product sales.</w:t>
      </w:r>
    </w:p>
    <w:p>
      <w:pPr>
        <w:spacing w:after="0" w:line="73" w:lineRule="exact"/>
        <w:rPr>
          <w:rFonts w:ascii="Arial" w:cs="Arial" w:eastAsia="Arial" w:hAnsi="Arial"/>
          <w:sz w:val="18"/>
          <w:szCs w:val="18"/>
          <w:color w:val="auto"/>
        </w:rPr>
      </w:pPr>
    </w:p>
    <w:p>
      <w:pPr>
        <w:ind w:left="380" w:right="560" w:hanging="378"/>
        <w:spacing w:after="0" w:line="261"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to raise substantial additional funding. If we are unable to raise capital when needed, we would be forced to delay, reduce or eliminate some of our product development programs or commercialization efforts.</w:t>
      </w:r>
    </w:p>
    <w:p>
      <w:pPr>
        <w:spacing w:after="0" w:line="17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24" w:right="339" w:bottom="1440" w:gutter="0" w:footer="0" w:header="0"/>
        </w:sectPr>
      </w:pPr>
    </w:p>
    <w:bookmarkStart w:id="3" w:name="page4"/>
    <w:bookmarkEnd w:id="3"/>
    <w:p>
      <w:pPr>
        <w:ind w:left="380" w:right="340" w:hanging="378"/>
        <w:spacing w:after="0" w:line="324"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ongoing COVID-19 pandemic has impacted our business and any future pandemic, epidemic, or outbreak of an infectious disease could similarly affect our business and our financial results and could cause further disruption to the development of our product candidates.</w:t>
      </w:r>
    </w:p>
    <w:p>
      <w:pPr>
        <w:spacing w:after="0" w:line="16" w:lineRule="exact"/>
        <w:rPr>
          <w:rFonts w:ascii="Arial" w:cs="Arial" w:eastAsia="Arial" w:hAnsi="Arial"/>
          <w:sz w:val="16"/>
          <w:szCs w:val="16"/>
          <w:color w:val="auto"/>
        </w:rPr>
      </w:pPr>
    </w:p>
    <w:p>
      <w:pPr>
        <w:jc w:val="both"/>
        <w:ind w:left="380" w:right="120" w:hanging="378"/>
        <w:spacing w:after="0" w:line="294"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unable to adequately protect our proprietary technology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will be impaired.</w:t>
      </w:r>
    </w:p>
    <w:p>
      <w:pPr>
        <w:spacing w:after="0" w:line="39" w:lineRule="exact"/>
        <w:rPr>
          <w:rFonts w:ascii="Arial" w:cs="Arial" w:eastAsia="Arial" w:hAnsi="Arial"/>
          <w:sz w:val="16"/>
          <w:szCs w:val="16"/>
          <w:color w:val="auto"/>
        </w:rPr>
      </w:pPr>
    </w:p>
    <w:p>
      <w:pPr>
        <w:ind w:left="380" w:hanging="378"/>
        <w:spacing w:after="0" w:line="24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200" w:lineRule="exact"/>
        <w:rPr>
          <w:sz w:val="20"/>
          <w:szCs w:val="20"/>
          <w:color w:val="auto"/>
        </w:rPr>
      </w:pPr>
    </w:p>
    <w:p>
      <w:pPr>
        <w:spacing w:after="0" w:line="30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436"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6"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This Annual Report on Form 10-K contains express or implied “forward-looking statements,” within the meaning of the Private Securities Litigation Reform Act of 1995,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Annual Report on Form 10-K include, but are not limited to, statements about:</w:t>
      </w:r>
    </w:p>
    <w:p>
      <w:pPr>
        <w:spacing w:after="0" w:line="53" w:lineRule="exact"/>
        <w:rPr>
          <w:sz w:val="20"/>
          <w:szCs w:val="20"/>
          <w:color w:val="auto"/>
        </w:rPr>
      </w:pPr>
    </w:p>
    <w:p>
      <w:pPr>
        <w:ind w:left="760" w:hanging="378"/>
        <w:spacing w:after="0" w:line="270"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research and development programs and our current and future preclinical and clinical studies, including statements regarding the timing of initiation and completion of studies or trials and related preparatory work, the period during which the results of the trials will become available, and our research and development programs;</w:t>
      </w:r>
    </w:p>
    <w:p>
      <w:pPr>
        <w:spacing w:after="0" w:line="55" w:lineRule="exact"/>
        <w:rPr>
          <w:rFonts w:ascii="Arial" w:cs="Arial" w:eastAsia="Arial" w:hAnsi="Arial"/>
          <w:sz w:val="17"/>
          <w:szCs w:val="17"/>
          <w:color w:val="auto"/>
        </w:rPr>
      </w:pPr>
    </w:p>
    <w:p>
      <w:pPr>
        <w:ind w:left="760" w:right="540" w:hanging="378"/>
        <w:spacing w:after="0" w:line="291"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identification of research priorities and application of a risk-mitigated strategy to efficiently discover and develop product candidates, including by applying learnings from one program to other programs and from one modality to our other modalities;</w:t>
      </w:r>
    </w:p>
    <w:p>
      <w:pPr>
        <w:spacing w:after="0" w:line="38" w:lineRule="exact"/>
        <w:rPr>
          <w:rFonts w:ascii="Arial" w:cs="Arial" w:eastAsia="Arial" w:hAnsi="Arial"/>
          <w:sz w:val="17"/>
          <w:szCs w:val="17"/>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safety and efficacy of our product candidates and the therapeutic implications of clinical and preclinical data;</w:t>
      </w:r>
    </w:p>
    <w:p>
      <w:pPr>
        <w:spacing w:after="0" w:line="103" w:lineRule="exact"/>
        <w:rPr>
          <w:rFonts w:ascii="Arial" w:cs="Arial" w:eastAsia="Arial" w:hAnsi="Arial"/>
          <w:sz w:val="18"/>
          <w:szCs w:val="18"/>
          <w:color w:val="auto"/>
        </w:rPr>
      </w:pPr>
    </w:p>
    <w:p>
      <w:pPr>
        <w:ind w:left="760" w:right="12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manufacture of our drug substances, delivery vehicles, and product candidates for preclinical use, for clinical trials and on a larger scale for commercial use, if approved;</w:t>
      </w:r>
    </w:p>
    <w:p>
      <w:pPr>
        <w:spacing w:after="0" w:line="62" w:lineRule="exact"/>
        <w:rPr>
          <w:rFonts w:ascii="Arial" w:cs="Arial" w:eastAsia="Arial" w:hAnsi="Arial"/>
          <w:sz w:val="18"/>
          <w:szCs w:val="18"/>
          <w:color w:val="auto"/>
        </w:rPr>
      </w:pPr>
    </w:p>
    <w:p>
      <w:pPr>
        <w:ind w:left="760" w:right="40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relationships with our third-party strategic collaborators and their ability to continue research and development activities relating to our development candidates and product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funding for our operations necessary to complete further development and commercialization of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seek regulatory approval of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for intellectual property rights covering our product candidates and technology;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potential benefits of strategic collaboration agreements with collaborators with development, regulatory and commercialization expertise;</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product candidates and any other approved product;</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5" w:name="page6"/>
    <w:bookmarkEnd w:id="5"/>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 on our business and programs;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03" w:lineRule="exact"/>
        <w:rPr>
          <w:rFonts w:ascii="Arial" w:cs="Arial" w:eastAsia="Arial" w:hAnsi="Arial"/>
          <w:sz w:val="18"/>
          <w:szCs w:val="18"/>
          <w:color w:val="auto"/>
        </w:rPr>
      </w:pPr>
    </w:p>
    <w:p>
      <w:pPr>
        <w:ind w:left="760" w:right="60" w:hanging="378"/>
        <w:spacing w:after="0" w:line="261"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the ongoing COVID-19 pandemic, including mitigation efforts and economic effects, on any of the foregoing or other aspects of our business operations, including but not limited to our preclinical studies and future clinical trials;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some cases, you can identify forward-looking statements by terminology such as “may,” “should,” “expects,” “intends,” “plans,” “anticipates,” “believes,” “estimates,” “predicts,” “potential,” “continue,” variations of such words, or the negative of these terms or other comparable terminology. These statements are only predictions. All statements other than statements of historical facts are statements that could be deemed forward-looking statements.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above under “Summary of the Material Risks Associated with Our Business” and under the section titled “Risk Factors” and elsewhere in this Annual Report on Form 10-K.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on Form 10-K and the documents that we reference in this Annual Report on Form 10-K and have filed with the Securities and Exchange Commission, or the SEC, as exhibits hereto completely and with the understanding that our actual future results may be materially different from any future results expressed or implied by these forward-looking statements.</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including with respect to the impact of any mergers, acquisitions, divestures, or other events that may be announced after the date hereof. You should therefore not rely on these forward-looking statements as representing our views as of any date subsequent to the date of this Annual Report on Form 10-K.</w:t>
      </w:r>
    </w:p>
    <w:p>
      <w:pPr>
        <w:spacing w:after="0" w:line="17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This Annual Report on Form 10-K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Annual Report on Form 10-K, their estimates, in particular as they relate to projections, involve numerous assumptions, are subject to risks and uncertainties and are subject to change based on various factors, including those discussed under the section titled “Risk Factors” and elsewhere in this Annual Report on Form 10-K.</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6"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i w:val="1"/>
          <w:iCs w:val="1"/>
          <w:color w:val="auto"/>
        </w:rPr>
        <w:t>Except where the context otherwise requires or where otherwise indicated, the terms “Relay Therapeutics,” “we,” “us,” “our,” “our company,” the “Company,” and “our business” refer to Relay Therapeutics, Inc.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We are a clinical-stage precision medicines company transforming the drug discovery process by combining leading-edge computational and experimental technologies with the goal of bringing life-changing therapies to patients. We are among the first of a new breed of biotech created at the intersection of disparate disciplines. Our Dynamo™ platform integrates an array of leading-edge computational and experimental approaches designed to drug protein targets that have previously been intractable or inadequately addressed. Our initial focus is on enhancing small molecule therapeutic discovery in targeted oncology and genetic disease indications.</w:t>
      </w:r>
    </w:p>
    <w:p>
      <w:pPr>
        <w:spacing w:after="0" w:line="21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have deployed our technology platform to build a pipeline of product candidates to address targets in precision medicine where there is clear evidence linking target proteins to disease and where molecular diagnostics can unambiguously identify relevant patients for treatment. We believe this approach will increase the likelihood of successfully translating a specific pharmacological mechanism into clinical benefit.</w:t>
      </w:r>
    </w:p>
    <w:p>
      <w:pPr>
        <w:spacing w:after="0" w:line="209"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Our pipeline consists of programs which we believe target previously unsolved drug discovery challenges, or what we term “Innovators”, and programs which we believe target problems with “existing” answers, such as an approved therapy, for which we believe there is inadequate treatment and seek to rapidly create novel solutions, or what we term “Challengers.” Our lead product candidates are RLY-4008, RLY-2608, which are part of our Innovator portfolio, and RLY-1971, which is part of our Challenger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145415</wp:posOffset>
            </wp:positionV>
            <wp:extent cx="5349240" cy="2272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i w:val="1"/>
          <w:iCs w:val="1"/>
          <w:color w:val="auto"/>
        </w:rPr>
        <w:t>Source: Annual U.S. patient numbers refer to the total annual number of patients in the United States with the relevant cancer that may be amenable to treatment with our programs using deaths and incident as the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9030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left="300" w:hanging="292"/>
        <w:spacing w:after="0" w:line="234" w:lineRule="auto"/>
        <w:tabs>
          <w:tab w:leader="none" w:pos="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RLY-2608 is intended to target H1047X, E542X and E545X mutations.</w:t>
      </w:r>
    </w:p>
    <w:p>
      <w:pPr>
        <w:ind w:left="300" w:right="300" w:hanging="292"/>
        <w:spacing w:after="0" w:line="243" w:lineRule="auto"/>
        <w:tabs>
          <w:tab w:leader="none" w:pos="3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addressable patient population for RLY-1971 includes lung cancer patients with KRAS G12C mutations, EGFR mutations and ALK fusions and colorectal cancer patients with KRAS G12C mutations.</w:t>
      </w:r>
    </w:p>
    <w:p>
      <w:pPr>
        <w:spacing w:after="0" w:line="73" w:lineRule="exact"/>
        <w:rPr>
          <w:rFonts w:ascii="Arial" w:cs="Arial" w:eastAsia="Arial" w:hAnsi="Arial"/>
          <w:sz w:val="18"/>
          <w:szCs w:val="18"/>
          <w:i w:val="1"/>
          <w:iCs w:val="1"/>
          <w:color w:val="auto"/>
        </w:rPr>
      </w:pPr>
    </w:p>
    <w:p>
      <w:pPr>
        <w:jc w:val="both"/>
        <w:ind w:left="1020" w:right="160" w:hanging="503"/>
        <w:spacing w:after="0" w:line="272" w:lineRule="auto"/>
        <w:tabs>
          <w:tab w:leader="none" w:pos="1020" w:val="left"/>
        </w:tabs>
        <w:numPr>
          <w:ilvl w:val="1"/>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RLY-4008. </w:t>
      </w:r>
      <w:r>
        <w:rPr>
          <w:rFonts w:ascii="Arial" w:cs="Arial" w:eastAsia="Arial" w:hAnsi="Arial"/>
          <w:sz w:val="17"/>
          <w:szCs w:val="17"/>
          <w:color w:val="auto"/>
        </w:rPr>
        <w:t>In the third quarter of 2020, we initiated a first-in-human clinical trial for RLY-4008, a potent, selective and oral small molecule</w:t>
      </w:r>
      <w:r>
        <w:rPr>
          <w:rFonts w:ascii="Arial" w:cs="Arial" w:eastAsia="Arial" w:hAnsi="Arial"/>
          <w:sz w:val="17"/>
          <w:szCs w:val="17"/>
          <w:b w:val="1"/>
          <w:bCs w:val="1"/>
          <w:color w:val="auto"/>
        </w:rPr>
        <w:t xml:space="preserve"> </w:t>
      </w:r>
      <w:r>
        <w:rPr>
          <w:rFonts w:ascii="Arial" w:cs="Arial" w:eastAsia="Arial" w:hAnsi="Arial"/>
          <w:sz w:val="17"/>
          <w:szCs w:val="17"/>
          <w:color w:val="auto"/>
        </w:rPr>
        <w:t>inhibitor of fibroblast growth factor receptor 2, or FGFR2, for patients with advanced or metastatic FGFR2-altered solid tumors. In October 2021, we announced initial clinical data from this trial, which is discussed below in “Our Product Pipeline and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1020" w:right="20"/>
        <w:spacing w:after="0" w:line="271" w:lineRule="auto"/>
        <w:rPr>
          <w:sz w:val="20"/>
          <w:szCs w:val="20"/>
          <w:color w:val="auto"/>
        </w:rPr>
      </w:pPr>
      <w:r>
        <w:rPr>
          <w:rFonts w:ascii="Arial" w:cs="Arial" w:eastAsia="Arial" w:hAnsi="Arial"/>
          <w:sz w:val="16"/>
          <w:szCs w:val="16"/>
          <w:color w:val="auto"/>
        </w:rPr>
        <w:t>Programs—Our Clinical Stage Programs—RLY-4008, a selective inhibitor of FGFR—Interim clinical data.” We believe the interim clinical data as of the data cut-off date of September 9, 2021, or the Interim Data Cut-off Date, suggest robust inhibition of FGFR2 in the first 49 subjects that was not shown to be limited by off-target toxicities, including hyperphosphatemia and diarrhea. The initial pharmacokinetic and predicted receptor occupancy data suggest that all once daily dose levels above 30 mg of RLY-4008 administered to as of the Interim Cut-Off Date can achieve &gt;85% continuous inhibition of FGFR2. At those levels, acute toxicities that would limit dose intensity have generally not been observed as of the Interim Data Cut-off Date. Approximately 80% of all patients treated achieved reductions in tumor size as of the Interim Data Cut-off Date, which was observed across dose levels, tumor types and FGFR2 alterations and lines of treatment. In December 2021, we initiated expansion cohorts at a continuous 70 mg once-daily dose. In January 2022, the U.S. Food and Drug Administration, or FDA, granted orphan drug designation to RLY-4008 for the treatment of cholangiocarcinoma.</w:t>
      </w:r>
    </w:p>
    <w:p>
      <w:pPr>
        <w:spacing w:after="0" w:line="57" w:lineRule="exact"/>
        <w:rPr>
          <w:sz w:val="20"/>
          <w:szCs w:val="20"/>
          <w:color w:val="auto"/>
        </w:rPr>
      </w:pPr>
    </w:p>
    <w:p>
      <w:pPr>
        <w:ind w:left="1020" w:right="40" w:hanging="503"/>
        <w:spacing w:after="0" w:line="253"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RLY-2608. </w:t>
      </w:r>
      <w:r>
        <w:rPr>
          <w:rFonts w:ascii="Arial" w:cs="Arial" w:eastAsia="Arial" w:hAnsi="Arial"/>
          <w:sz w:val="17"/>
          <w:szCs w:val="17"/>
          <w:color w:val="auto"/>
        </w:rPr>
        <w:t>In December 2021, we dosed the first patient in a first-in-human clinical trial for RLY-2608, the first known allosteric, pan-mutant (H1047X, E542X and E545X) and isoform-selective phosphoinostide 3 kinase alpha, or PI3Kα, inhibitor in clinical development. RLY-2608 is the lead program of multiple efforts in our PI3Kα franchise to discover and develop mutant selective inhibitors of PI3Kα. In the fourth quarter of 2021, we announced preclinical data for RLY-2608, which is discussed below in “Our Product Pipeline and Programs—Our Clinical Stage Programs—RLY-2608, our lead mutant-PI3Kα inhibitor program —Our Solution, RLY-2608.” The data show that in preclinical models, RLY-2608 preferentially binds to mutant PI3Kα at a novel allosteric site discovered by the Dynamo platform. The data also suggest that projected clinically relevant doses of RLY-2608 achieved tumor regression in PIK3CA mutant in vivo xenograft mouse models representing H1047R and E545K mutations with significantly reduced impact on glucose metabolism compared to non-mutant selective active site inhibitors. The data further show that in preclinical models, RLY-2608 combined with standard of care therapies facilitated regressions in ER+/HER2- breast cancer.</w:t>
      </w:r>
    </w:p>
    <w:p>
      <w:pPr>
        <w:spacing w:after="0" w:line="72" w:lineRule="exact"/>
        <w:rPr>
          <w:rFonts w:ascii="Arial" w:cs="Arial" w:eastAsia="Arial" w:hAnsi="Arial"/>
          <w:sz w:val="17"/>
          <w:szCs w:val="17"/>
          <w:color w:val="auto"/>
        </w:rPr>
      </w:pPr>
    </w:p>
    <w:p>
      <w:pPr>
        <w:ind w:left="1020" w:right="160" w:hanging="503"/>
        <w:spacing w:after="0" w:line="242"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RLY</w:t>
      </w:r>
      <w:r>
        <w:rPr>
          <w:rFonts w:ascii="Arial" w:cs="Arial" w:eastAsia="Arial" w:hAnsi="Arial"/>
          <w:sz w:val="18"/>
          <w:szCs w:val="18"/>
          <w:color w:val="auto"/>
        </w:rPr>
        <w:t>-</w:t>
      </w:r>
      <w:r>
        <w:rPr>
          <w:rFonts w:ascii="Arial" w:cs="Arial" w:eastAsia="Arial" w:hAnsi="Arial"/>
          <w:sz w:val="18"/>
          <w:szCs w:val="18"/>
          <w:b w:val="1"/>
          <w:bCs w:val="1"/>
          <w:color w:val="auto"/>
        </w:rPr>
        <w:t xml:space="preserve">1971. </w:t>
      </w:r>
      <w:r>
        <w:rPr>
          <w:rFonts w:ascii="Arial" w:cs="Arial" w:eastAsia="Arial" w:hAnsi="Arial"/>
          <w:sz w:val="18"/>
          <w:szCs w:val="18"/>
          <w:color w:val="auto"/>
        </w:rPr>
        <w:t>We initiated a Phase 1 clinical trial for RLY-1971, our inhibitor of Src homology region 2 domain-containing phosphatase-2, or</w:t>
      </w:r>
      <w:r>
        <w:rPr>
          <w:rFonts w:ascii="Arial" w:cs="Arial" w:eastAsia="Arial" w:hAnsi="Arial"/>
          <w:sz w:val="18"/>
          <w:szCs w:val="18"/>
          <w:b w:val="1"/>
          <w:bCs w:val="1"/>
          <w:color w:val="auto"/>
        </w:rPr>
        <w:t xml:space="preserve"> </w:t>
      </w:r>
      <w:r>
        <w:rPr>
          <w:rFonts w:ascii="Arial" w:cs="Arial" w:eastAsia="Arial" w:hAnsi="Arial"/>
          <w:sz w:val="18"/>
          <w:szCs w:val="18"/>
          <w:color w:val="auto"/>
        </w:rPr>
        <w:t>SHP2, in patients with advanced solid tumors in the first quarter of 2020. In December 2020, we entered into a global collaboration and license agreement with Genentech, Inc., a member of the Roche Group, or Genentech, for the development and commercialization of RLY-1971, or the Genentech Agreement. In July 2021, Genentech initiated the cohort of RLY-1971 in combination with GDC-6036, its KRAS G12C inhibitor, in a Phase 1b trial.</w:t>
      </w:r>
    </w:p>
    <w:p>
      <w:pPr>
        <w:spacing w:after="0" w:line="21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addition to the three product candidates described above, we have over five discovery stage programs across both precision oncology and genetic disease indications. We are focused on using the novel insights derived from our approach to transform the lives of patients suffering from debilitating and life-threatening diseases through the discovery, development and commercialization of our therapies.</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Precision medicine emerged as an approach for disease treatment as the understanding of the link between genetic alterations, protein dysfunction and diseases evolved. Precision medicine aims to specifically and potently drug genetically validated target proteins (i.e., genetic variants potentially implicated in biology of disease). However, some target proteins thus far have been intractable or inadequately addressed using conventional drug discovery tools. While conventional approaches are well-suited to solving some drug discovery problems such as orthosteric site kinase inhibitors, their reliance on static images of protein fragments limit their ability to gain accurate insights into the dynamic behavior of proteins in their natural state, which in turn limits their ability to discover medicines with exquisite specificity. Our approach pivots the understanding of protein targets from the industry-standard, static view, to a novel paradigm based on fundamental insights into protein motion. We then apply these novel insights into protein motion to drug discovery and design, which we term Motion-Based Drug Design</w:t>
      </w:r>
      <w:r>
        <w:rPr>
          <w:rFonts w:ascii="Arial" w:cs="Arial" w:eastAsia="Arial" w:hAnsi="Arial"/>
          <w:sz w:val="23"/>
          <w:szCs w:val="23"/>
          <w:color w:val="auto"/>
          <w:vertAlign w:val="superscript"/>
        </w:rPr>
        <w:t>TM</w:t>
      </w:r>
      <w:r>
        <w:rPr>
          <w:rFonts w:ascii="Arial" w:cs="Arial" w:eastAsia="Arial" w:hAnsi="Arial"/>
          <w:sz w:val="17"/>
          <w:szCs w:val="17"/>
          <w:color w:val="auto"/>
        </w:rPr>
        <w:t>.</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confluence of three forces ¾ the proliferation of readily available genomic data, the evolution of experimental techniques, and advancements in computational power and speed ¾ led to the founding of Relay Therapeutics. We believe we are uniquely situated in our ability to consolidate these advances and, when combined with our world-class team of both experimental and computational experts and experience to-date, integrate these solutions into Motion-Based Drug Design to create medicines that will make a transformative difference for patients.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Our mission is to leverage unique insights into protein motion to transform the lives of patients suffering from debilitating and life-threatening diseases through the discovery, development and commercialization of small molecule therapies. We believe that, by placing protein motion at the heart of Motion-Based Drug Design discovery, our unique Dynamo platform has the potential to address previously intractable or inadequately addressed precision medicine targets. To accomplish this, we intend to continue building a team that shares our commitment to patients, continue to enhance our platform and rapidly advance our precision medicine pipeline of product candidates. The key elements of our strategy are to:</w:t>
      </w:r>
    </w:p>
    <w:p>
      <w:pPr>
        <w:spacing w:after="0" w:line="197" w:lineRule="exact"/>
        <w:rPr>
          <w:sz w:val="20"/>
          <w:szCs w:val="20"/>
          <w:color w:val="auto"/>
        </w:rPr>
      </w:pPr>
    </w:p>
    <w:p>
      <w:pPr>
        <w:ind w:right="40"/>
        <w:spacing w:after="0"/>
        <w:rPr>
          <w:sz w:val="20"/>
          <w:szCs w:val="20"/>
          <w:color w:val="auto"/>
        </w:rPr>
      </w:pPr>
      <w:r>
        <w:rPr>
          <w:rFonts w:ascii="Arial" w:cs="Arial" w:eastAsia="Arial" w:hAnsi="Arial"/>
          <w:sz w:val="18"/>
          <w:szCs w:val="18"/>
          <w:b w:val="1"/>
          <w:bCs w:val="1"/>
          <w:color w:val="auto"/>
        </w:rPr>
        <w:t xml:space="preserve">Continue to deepen and broaden precision medicine Innovator and Challenger portfolios. </w:t>
      </w:r>
      <w:r>
        <w:rPr>
          <w:rFonts w:ascii="Arial" w:cs="Arial" w:eastAsia="Arial" w:hAnsi="Arial"/>
          <w:sz w:val="18"/>
          <w:szCs w:val="18"/>
          <w:color w:val="auto"/>
        </w:rPr>
        <w:t>Our Innovator portfolio, which is our core focus, is</w:t>
      </w:r>
      <w:r>
        <w:rPr>
          <w:rFonts w:ascii="Arial" w:cs="Arial" w:eastAsia="Arial" w:hAnsi="Arial"/>
          <w:sz w:val="18"/>
          <w:szCs w:val="18"/>
          <w:b w:val="1"/>
          <w:bCs w:val="1"/>
          <w:color w:val="auto"/>
        </w:rPr>
        <w:t xml:space="preserve"> </w:t>
      </w:r>
      <w:r>
        <w:rPr>
          <w:rFonts w:ascii="Arial" w:cs="Arial" w:eastAsia="Arial" w:hAnsi="Arial"/>
          <w:sz w:val="18"/>
          <w:szCs w:val="18"/>
          <w:color w:val="auto"/>
        </w:rPr>
        <w:t>composed of programs that we believe target previously unsolved drug discovery challenges. Our Challenger portfolio is composed of programs that we believe target problems with “existing” answers, such as an approved therapy, for which we believe there is inadequate treatment and seek to rapidly create novel solutions. We believe that we can continue to build our data sets through the drug discovery process for our Challenger programs, which help to train our machine learning models and automated chemical design initiatives, thus augmenting our Dynamo platform while also providing upside value creation opportunities. We believe that working on Challenger programs will increase our effectiveness at discovering product candidates for our Innovator programs.</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color w:val="auto"/>
        </w:rPr>
        <w:t xml:space="preserve">Rapidly advance our lead precision oncology programs, RLY-4008 and RLY-2608, through clinical development and regulatory approval.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our lead precision oncology programs have the potential to treat a wide variety of cancers either as monotherapy or in combination regimens. RLY-4008 is currently being evaluated in a first-in-human clinical trial, or the RLY-4008-101 Trial. We announced interim clinical data for the RLY-4008-101 Trial in October 2021 and initiated expansion cohorts in December 2021. In the fourth quarter of 2021, we announced preclinical data for RLY-2608, and in December 2021, we dosed the first patient in a first-in-human clinical trial for RLY-2608, or the RLY-2608-101 Trial. RLY-2608 is the lead program in our emerging PI3Kα franchise, for which we continue to explore additional molecules to augment this foundation. We plan to conduct our clinical studies in genetically-defined patient populations. To potentially mitigate development risks, we will leverage learnings from recently approved precision oncology drugs to inform the clinical and regulatory pathways for our lead oncology programs. If we are successful in achieving clinically meaningful anti-tumor activity across solid tumor types, we plan to meet with regulatory authorities to discuss expedited regulatory approval strategies.</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b w:val="1"/>
          <w:bCs w:val="1"/>
          <w:color w:val="auto"/>
        </w:rPr>
        <w:t xml:space="preserve">Continue to enhance our unique drug-discovery platform. </w:t>
      </w:r>
      <w:r>
        <w:rPr>
          <w:rFonts w:ascii="Arial" w:cs="Arial" w:eastAsia="Arial" w:hAnsi="Arial"/>
          <w:sz w:val="17"/>
          <w:szCs w:val="17"/>
          <w:color w:val="auto"/>
        </w:rPr>
        <w:t>Our Dynamo platform uniquely integrates a broad range of leading-edge experimental and</w:t>
      </w:r>
      <w:r>
        <w:rPr>
          <w:rFonts w:ascii="Arial" w:cs="Arial" w:eastAsia="Arial" w:hAnsi="Arial"/>
          <w:sz w:val="17"/>
          <w:szCs w:val="17"/>
          <w:b w:val="1"/>
          <w:bCs w:val="1"/>
          <w:color w:val="auto"/>
        </w:rPr>
        <w:t xml:space="preserve"> </w:t>
      </w:r>
      <w:r>
        <w:rPr>
          <w:rFonts w:ascii="Arial" w:cs="Arial" w:eastAsia="Arial" w:hAnsi="Arial"/>
          <w:sz w:val="17"/>
          <w:szCs w:val="17"/>
          <w:color w:val="auto"/>
        </w:rPr>
        <w:t>computational technologies and tools, providing us with fundamental insights into the conformational dynamics of target proteins. We believe we have validated our Dynamo platform and approach with the encouraging initial clinical data for RLY-4008 that we announced in October 2021 and with two other precision medicine programs also currently in clinical development. We believe we have built significant advantage by accumulating extensive curated clean data sets across the continuum of drug discovery that span both computational and experimental domains. In April 2021, we acquired ZebiAI Therapeutics, Inc., or ZebiAI, to augment our platform with additional computational and machine learning capabilities as well as an extensive library of experimental DNA-encoded library, or DEL, data sets, consisting of billions of data points across a broad set of proteins, that have trained validated machine learning models deployed in hit finding and optimization of novel molecules. We are committed to continuously integrating new computational and experimental tools, technologies and capabilities to enhance the power of our Dynamo platform. We intend to do this through a combination of internal innovation, external collaboration and other strategic transactions.</w:t>
      </w:r>
    </w:p>
    <w:p>
      <w:pPr>
        <w:spacing w:after="0" w:line="207"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color w:val="auto"/>
        </w:rPr>
        <w:t xml:space="preserve">Harness the insights and data generated from our platform against intractable or inadequately addressed precision medicine targets, with current focus on oncology and genetic disease indications. </w:t>
      </w:r>
      <w:r>
        <w:rPr>
          <w:rFonts w:ascii="Arial" w:cs="Arial" w:eastAsia="Arial" w:hAnsi="Arial"/>
          <w:sz w:val="17"/>
          <w:szCs w:val="17"/>
          <w:color w:val="auto"/>
        </w:rPr>
        <w:t>We are committed to deploying our Dynamo platform against genetically validated targets, taking on</w:t>
      </w:r>
      <w:r>
        <w:rPr>
          <w:rFonts w:ascii="Arial" w:cs="Arial" w:eastAsia="Arial" w:hAnsi="Arial"/>
          <w:sz w:val="17"/>
          <w:szCs w:val="17"/>
          <w:b w:val="1"/>
          <w:bCs w:val="1"/>
          <w:color w:val="auto"/>
        </w:rPr>
        <w:t xml:space="preserve"> </w:t>
      </w:r>
      <w:r>
        <w:rPr>
          <w:rFonts w:ascii="Arial" w:cs="Arial" w:eastAsia="Arial" w:hAnsi="Arial"/>
          <w:sz w:val="17"/>
          <w:szCs w:val="17"/>
          <w:color w:val="auto"/>
        </w:rPr>
        <w:t>some of the toughest technical drug discovery challenges and creating novel medicines against those targets that can rapidly attain clinical proof-of-concept and address significant unmet medical needs. Our initial focus is on precision oncology where there are clear genetic driver alterations in the tumor genome, and genetic disease where the causal mutations are present at birth. However, we believe our platform also has potential to address targets in genetically-defined subpopulations of more common diseases in other therapeutic areas.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 xml:space="preserve">Selectively enter into strategic collaborations to maximize the value of our platform and pipeline. </w:t>
      </w:r>
      <w:r>
        <w:rPr>
          <w:rFonts w:ascii="Arial" w:cs="Arial" w:eastAsia="Arial" w:hAnsi="Arial"/>
          <w:sz w:val="18"/>
          <w:szCs w:val="18"/>
          <w:color w:val="auto"/>
        </w:rPr>
        <w:t>We intend to build a fully integrated</w:t>
      </w:r>
    </w:p>
    <w:p>
      <w:pPr>
        <w:spacing w:after="0" w:line="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biopharmaceutical company and independently pursue the development and commercialization of our key product candidates. Given our potential to generate novel product candidates addressing a wide variety of therapeutic indications, we may enter into strategic partnerships around certain targets, product candidates, disease areas or geographies if we believe these collaborations could accelerate the development and commercialization of our product candidates and allow us to realize additional potential in our product candidates and our platform. For example, in December 2020, we entered into the Genentech Agreement, a global collaboration and license agreement with Genentech for the development and commercialization of RLY-1971, part of our Challenger portfolio. In August 2021, we entered into a discovery collaboration agreement with EQRx, Inc., or EQRx, to discover, develop and commercialize novel medicines against validated oncology targets, and we are currently collaborating on an undisclosed program pursuant to this agreement. Outside of these two collaborations, we currently retain full development and commercialization rights to our current pipeline of precision medicine programs.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Dynamo Platform</w:t>
      </w:r>
      <w:r>
        <w:rPr>
          <w:rFonts w:ascii="Arial" w:cs="Arial" w:eastAsia="Arial" w:hAnsi="Arial"/>
          <w:sz w:val="24"/>
          <w:szCs w:val="24"/>
          <w:b w:val="1"/>
          <w:bCs w:val="1"/>
          <w:color w:val="auto"/>
          <w:vertAlign w:val="superscript"/>
        </w:rPr>
        <w:t>TM</w:t>
      </w:r>
    </w:p>
    <w:p>
      <w:pPr>
        <w:spacing w:after="0" w:line="4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continued and rapid development of new experimental techniques, such as cryo-electron microscopy, or Cryo-EM, and ambient-temperature crystallography, and computational techniques, such as molecular dynamics and machine learning, is now enabling the deep understanding of protein motion to discover new therapeutic agents. Dynamo was built to capitalize on these recent advances to develop medicines against protein targets with greater specificity and potency. Using our Dynamo platform, we pivot from industry standard approaches, which are based on static structures and often rely on incomplete protein fragments, to a novel drug-discovery paradigm based on fundamental insights into protein motion, which we term Motion-Based Drug Design. We leverage insights from our platform to develop novel, motion-based hypotheses for how to drug target proteins. We can then more rapidly identify and optimize effective lead compounds by integrating powerful experimental and computational tools to sample a much broader range of chemical space than is possible using conventional approaches, which are labor intensive and require significant experimental effort.</w:t>
      </w:r>
    </w:p>
    <w:p>
      <w:pPr>
        <w:spacing w:after="0" w:line="192" w:lineRule="exact"/>
        <w:rPr>
          <w:sz w:val="20"/>
          <w:szCs w:val="20"/>
          <w:color w:val="auto"/>
        </w:rPr>
      </w:pPr>
    </w:p>
    <w:p>
      <w:pPr>
        <w:jc w:val="both"/>
        <w:ind w:right="280"/>
        <w:spacing w:after="0" w:line="243" w:lineRule="auto"/>
        <w:rPr>
          <w:sz w:val="20"/>
          <w:szCs w:val="20"/>
          <w:color w:val="auto"/>
        </w:rPr>
      </w:pPr>
      <w:r>
        <w:rPr>
          <w:rFonts w:ascii="Arial" w:cs="Arial" w:eastAsia="Arial" w:hAnsi="Arial"/>
          <w:sz w:val="18"/>
          <w:szCs w:val="18"/>
          <w:color w:val="auto"/>
        </w:rPr>
        <w:t>In 2016, the confluence of three forces ¾ the proliferation of readily available genomic data, the evolution of experimental techniques, and advances in computational power and speed ¾ led to the founding of Relay Therapeutics. We believe we are uniquely positioned to consolidate these advances and, when combined with our world-class team of experimental and computational experts and experience to-date, integrate these solutions in Motion-Based Drug Design.</w:t>
      </w:r>
    </w:p>
    <w:p>
      <w:pPr>
        <w:spacing w:after="0" w:line="215" w:lineRule="exact"/>
        <w:rPr>
          <w:sz w:val="20"/>
          <w:szCs w:val="20"/>
          <w:color w:val="auto"/>
        </w:rPr>
      </w:pPr>
    </w:p>
    <w:p>
      <w:pPr>
        <w:jc w:val="both"/>
        <w:ind w:right="300"/>
        <w:spacing w:after="0" w:line="261" w:lineRule="auto"/>
        <w:rPr>
          <w:sz w:val="20"/>
          <w:szCs w:val="20"/>
          <w:color w:val="auto"/>
        </w:rPr>
      </w:pPr>
      <w:r>
        <w:rPr>
          <w:rFonts w:ascii="Arial" w:cs="Arial" w:eastAsia="Arial" w:hAnsi="Arial"/>
          <w:sz w:val="18"/>
          <w:szCs w:val="18"/>
          <w:color w:val="auto"/>
        </w:rPr>
        <w:t>Our platform integrates a broad and tailored array of leading-edge experimental and computational approaches to gain fundamental insights into protein function (</w:t>
      </w:r>
      <w:r>
        <w:rPr>
          <w:rFonts w:ascii="Arial" w:cs="Arial" w:eastAsia="Arial" w:hAnsi="Arial"/>
          <w:sz w:val="18"/>
          <w:szCs w:val="18"/>
          <w:b w:val="1"/>
          <w:bCs w:val="1"/>
          <w:color w:val="auto"/>
        </w:rPr>
        <w:t>Figure 1</w:t>
      </w:r>
      <w:r>
        <w:rPr>
          <w:rFonts w:ascii="Arial" w:cs="Arial" w:eastAsia="Arial" w:hAnsi="Arial"/>
          <w:sz w:val="18"/>
          <w:szCs w:val="18"/>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0" w:name="page11"/>
    <w:bookmarkEnd w:id="10"/>
    <w:p>
      <w:pPr>
        <w:ind w:right="520"/>
        <w:spacing w:after="0" w:line="266" w:lineRule="auto"/>
        <w:rPr>
          <w:sz w:val="20"/>
          <w:szCs w:val="20"/>
          <w:color w:val="auto"/>
        </w:rPr>
      </w:pPr>
      <w:r>
        <w:rPr>
          <w:rFonts w:ascii="Arial" w:cs="Arial" w:eastAsia="Arial" w:hAnsi="Arial"/>
          <w:sz w:val="18"/>
          <w:szCs w:val="18"/>
          <w:b w:val="1"/>
          <w:bCs w:val="1"/>
          <w:color w:val="auto"/>
        </w:rPr>
        <w:t>Figure 1: The Dynamo drug-discovery platform is the integration of people, techniques, and tools at the intersection of experimentation and computation.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132080</wp:posOffset>
            </wp:positionV>
            <wp:extent cx="5349240" cy="237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Drug Discovery Steps of our Dynamo Platform</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deploy the power of our Dynamo platform in three key phases of Motion-Based Drug Design discovery (</w:t>
      </w:r>
      <w:r>
        <w:rPr>
          <w:rFonts w:ascii="Arial" w:cs="Arial" w:eastAsia="Arial" w:hAnsi="Arial"/>
          <w:sz w:val="16"/>
          <w:szCs w:val="16"/>
          <w:b w:val="1"/>
          <w:bCs w:val="1"/>
          <w:color w:val="auto"/>
        </w:rPr>
        <w:t>Figure 2</w:t>
      </w:r>
      <w:r>
        <w:rPr>
          <w:rFonts w:ascii="Arial" w:cs="Arial" w:eastAsia="Arial" w:hAnsi="Arial"/>
          <w:sz w:val="16"/>
          <w:szCs w:val="16"/>
          <w:color w:val="auto"/>
        </w:rPr>
        <w:t>). We first understand how to drug the protein by developing a detailed mechanistic understanding of the dynamic behavior of the target protein and by identifying pockets where binding of a small molecule can impact protein function. Our platform then aids in the efficient identification of chemical starting points through an integrated system of experimental and virtual screens. This enables rapid optimization until a development candidate is selected by computationally prioritizing compounds for experimental evaluation. As each cycle generates new learnings for both our team and our underlying machine learning models, our successful iteration of this process continuously improves our understanding of protein motion which leads to a more effective and efficient drug discovery process.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 w:name="page12"/>
    <w:bookmarkEnd w:id="11"/>
    <w:p>
      <w:pPr>
        <w:ind w:right="700"/>
        <w:spacing w:after="0" w:line="266" w:lineRule="auto"/>
        <w:rPr>
          <w:sz w:val="20"/>
          <w:szCs w:val="20"/>
          <w:color w:val="auto"/>
        </w:rPr>
      </w:pPr>
      <w:r>
        <w:rPr>
          <w:rFonts w:ascii="Arial" w:cs="Arial" w:eastAsia="Arial" w:hAnsi="Arial"/>
          <w:sz w:val="18"/>
          <w:szCs w:val="18"/>
          <w:b w:val="1"/>
          <w:bCs w:val="1"/>
          <w:color w:val="auto"/>
        </w:rPr>
        <w:t>Figure 2: Dynamo can be deployed across the various stages of drug discovery to provide novel insights with the goal of accelerating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132080</wp:posOffset>
            </wp:positionV>
            <wp:extent cx="5349240" cy="2408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Understand How to Drug the Protein</w:t>
      </w:r>
    </w:p>
    <w:p>
      <w:pPr>
        <w:spacing w:after="0" w:line="10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first step is to understand how to drug our protein target of interest. For each target, the initial goal is to better understand the structure and conformational dynamics of all domains of a protein to generate a target modulation hypothesis. First, we synthesize full length proteins through our protein engineering expertise. Next, we use a range of protein visualization methods such as Cryo-EM and ambient temperature X-ray crystallography to generate a rich experimental understanding of the dynamic conformations of the target protein of interest. We then deploy these experimental data sets in our computational platform to generate virtual simulations (molecular dynamics) of the full-length protein moving over long, biologically relevant timescales. We use these insights to develop unique motion-based hypotheses for how best to modulate a protein’s behavior, and to identify potential novel allosteric binding sites for new therapeutic agents.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 a Chemical Starting Point</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Once we have identified potential binding pockets and established a target modulation hypothesis, we then transition into hit finding and lead generation to identify a chemical starting point. The integration of our computational and experimental capabilities affords a deeper functional understanding of our targets and enables the design of physiologically relevant activity-based, ligand-centric and computational screens. The data from these screens provides input for the machine learning components of the Dynamo platform, which enable us to rapidly identify starting points for our drug discovery programs. As an example of tools we deploy to identify these starting points, we have a proprietary capability, our machine learning powered DNA encoded library platform, what we term “REL-DEL” (Relay DEL). Our approach, focused on this integration of computation and experimentation, yields a larger number of chemical series and potential therapies to proceed into lead optimization.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Optimize Until Development Candidate is Selected</w:t>
      </w:r>
    </w:p>
    <w:p>
      <w:pPr>
        <w:spacing w:after="0" w:line="10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Once we have identified a chemical starting point and a lead compound, optimization is necessary to obtain a molecule that has the desired characteristics. Our Dynamo platform combines advanced machine learning models and molecular dynamics simulations in tight integration with our medicinal chemistry, structural biology, enzymology and biophysics capabilities to predict and design the compounds that will achieve the most desirable characteristics, including potency, selectivity, bioavailability and drug-like properties. We believe that this allows us to optimize molecules more rapidly and effectively. Due to the integration of computation and experimentation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2" w:name="page13"/>
    <w:bookmarkEnd w:id="12"/>
    <w:p>
      <w:pPr>
        <w:ind w:right="300"/>
        <w:spacing w:after="0" w:line="261" w:lineRule="auto"/>
        <w:rPr>
          <w:sz w:val="20"/>
          <w:szCs w:val="20"/>
          <w:color w:val="auto"/>
        </w:rPr>
      </w:pPr>
      <w:r>
        <w:rPr>
          <w:rFonts w:ascii="Arial" w:cs="Arial" w:eastAsia="Arial" w:hAnsi="Arial"/>
          <w:sz w:val="18"/>
          <w:szCs w:val="18"/>
          <w:color w:val="auto"/>
        </w:rPr>
        <w:t>unlike traditional drug discovery approaches, our approach is not wholly dependent on the conventional highly iterative process in the experimental wet laboratory, which is both time consuming and expensive.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 and Programs</w:t>
      </w:r>
    </w:p>
    <w:p>
      <w:pPr>
        <w:spacing w:after="0" w:line="108"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While our Dynamo platform could potentially be applied to a wide range of disease-associated protein targets, we focus on precision medicine targets, currently specifically in oncology and genetic disease indications, for which alterations in specific genes are known to cause disease. The genetic diseases we pursue include cancers with clear genetic driver alterations in the tumor genome, as well as monogenic diseases where the causal mutations are present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at birth</w:t>
      </w:r>
      <w:r>
        <w:rPr>
          <w:rFonts w:ascii="Arial" w:cs="Arial" w:eastAsia="Arial" w:hAnsi="Arial"/>
          <w:sz w:val="21"/>
          <w:szCs w:val="21"/>
          <w:color w:val="auto"/>
        </w:rPr>
        <w:t>.</w:t>
      </w:r>
    </w:p>
    <w:p>
      <w:pPr>
        <w:spacing w:after="0" w:line="23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are motivated to bringing multiple meaningful medicines to patients globally across both our Innovator programs, which we believe target previously unsolved drug discovery challenges, and our Challenger programs, which we believe are problems with “existing” answers, such as an approved therapy, for which we believe there is inadequate treatment and seek to rapidly create novel solutions. We believe that we can continue to build our data sets through the drug discovery process for our Challengers, which help to train our machine learning models and automated chemical design initiatives, thus augmenting our Dynamo platform while also providing upside value creation opportunities.</w:t>
      </w:r>
    </w:p>
    <w:p>
      <w:pPr>
        <w:spacing w:after="0" w:line="216" w:lineRule="exact"/>
        <w:rPr>
          <w:sz w:val="20"/>
          <w:szCs w:val="20"/>
          <w:color w:val="auto"/>
        </w:rPr>
      </w:pPr>
    </w:p>
    <w:p>
      <w:pPr>
        <w:ind w:right="460"/>
        <w:spacing w:after="0" w:line="294" w:lineRule="auto"/>
        <w:rPr>
          <w:sz w:val="20"/>
          <w:szCs w:val="20"/>
          <w:color w:val="auto"/>
        </w:rPr>
      </w:pPr>
      <w:r>
        <w:rPr>
          <w:rFonts w:ascii="Arial" w:cs="Arial" w:eastAsia="Arial" w:hAnsi="Arial"/>
          <w:sz w:val="16"/>
          <w:szCs w:val="16"/>
          <w:color w:val="auto"/>
        </w:rPr>
        <w:t>To date, we have only entered into strategic partnerships in connection with our Challengers, specifically our collaboration with Genentech for the development and commercialization of RLY-1971 and our collaboration with EQRx for the development of an undisclosed program. Other than these partnered programs, we retain full development and commercialization rights to the rest of our current pipeline of precision medicine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current portfolio of product candidates and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160655</wp:posOffset>
            </wp:positionV>
            <wp:extent cx="5349240" cy="2280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i w:val="1"/>
          <w:iCs w:val="1"/>
          <w:color w:val="auto"/>
        </w:rPr>
        <w:t>Source: Annual U.S. patient numbers refer to the total annual number of patients in the United States with the relevant cancer that may be amenable to treatment with our programs using deaths and incident as the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9030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left="300" w:hanging="292"/>
        <w:spacing w:after="0" w:line="234" w:lineRule="auto"/>
        <w:tabs>
          <w:tab w:leader="none" w:pos="3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RLY-2608 is intended to target H1047X, E542X and E545X mutations.</w:t>
      </w:r>
    </w:p>
    <w:p>
      <w:pPr>
        <w:ind w:left="300" w:right="300" w:hanging="292"/>
        <w:spacing w:after="0" w:line="243" w:lineRule="auto"/>
        <w:tabs>
          <w:tab w:leader="none" w:pos="3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addressable patient population for RLY-1971 includes lung cancer patients with KRAS G12C mutations, EGFR mutations and ALK fusions and colorectal cancer patients with KRAS G12C mutations.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Our Clinical Stage Programs</w:t>
      </w:r>
    </w:p>
    <w:p>
      <w:pPr>
        <w:spacing w:after="0" w:line="10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have three product candidates that are in the early clinical development stage: RLY-4008 and RLY-2608, which are part of our Innovator portfolio, and RLY-1971, which is part of our Challenger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RLY-4008, a selective inhibitor of FGFR2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10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RLY-4008 is a potent, selective and oral small molecule inhibitor of FGFR2, a receptor tyrosine kinase that is frequently altered in certain cancers. FGFR2 is one of four members of the FGFR family, a set of closely related proteins with highly similar protein sequences and properties. RLY-4008 is currently being evaluated in the RLY-4008-101 Trial in patients with FGFR2 altered tumors regardless of prior FGFRi treatment.</w:t>
      </w:r>
    </w:p>
    <w:p>
      <w:pPr>
        <w:spacing w:after="0" w:line="191"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In October 2021, we announced interim clinical data from the RLY-4008-101 Trial. We believe the interim clinical data as of the Interim Data Cut-off Date of September 9, 2021 suggest robust inhibition of FGFR2 in the first 49 subjects that was not shown to be limited by off-target toxicities, including hyperphosphatemia and diarrhea, which is discussed in further detail below in “—Interim clinical data”. In December 2021, the expansion cohorts for the RLY-4008-101 Trial were initiated at a continuous 70 mg once daily dose. In January 2022, the FDA granted orphan drug designation to RLY-4008 for the treatment of cholangiocarcinoma.</w:t>
      </w:r>
    </w:p>
    <w:p>
      <w:pPr>
        <w:spacing w:after="0" w:line="21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Consistent with the preclinical profile of RLY-4008, the early clinical data support our belief that RLY-4008 has broad therapeutic potential across FGFR2 alterations and tumor types.</w:t>
      </w:r>
    </w:p>
    <w:p>
      <w:pPr>
        <w:spacing w:after="0" w:line="198"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We believe FGFR2-mediated cancers affect approximately 8,000 late-line patients annually in the United States. In the future, if RLY-4008 advances to earlier lines of treatment, we believe it could potentially address approximately 20,000 patients annually in the United States.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Role of FGFR in cellular proliferation and differentiation</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Each of the FGFRs has an important role in normal physiology and the inhibition of FGFR2 is a well-validated pathway in disrupting cancer proliferation and growth. To our knowledge, to date, three non-selective FGFR inhibitors have been approved (erdafitinib, pemigatinib and infigratinib) and several are in clinical development. However, these inhibitors as a class cause several dose-limiting, FGFR2-unrelated toxicities in patients leading to dose reductions and altered dosing schedules. One of the most common dose-limiting toxicities of these agents is hyperphosphatemia (buildup of excess phosphate in the bloodstream), which causes soft tissue mineralization and requires active management. Hyperphosphatemia has been shown to be driven by inhibition of another member of the FGFR family known as FGFR1.</w:t>
      </w:r>
    </w:p>
    <w:p>
      <w:pPr>
        <w:spacing w:after="0" w:line="18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believe that the toxicity attributable to inhibition of other FGFR family members, and other closely related kinases, limits the ability of the non-selective FGFR inhibitors to achieve optimal and durable inhibition of FGFR2, limiting the efficacy of these agents in patients with FGFR2-altered tumors. In addition to the lack of selectivity, these inhibitors are unable to overcome on-target resistance, which has been observed in patients treated with non-selective FGFR inhibitors. Our belief is that a selective inhibitor of FGFR2 that retains activity against resistance mutations will enable improved clinical efficacy.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of current FGFR inhibitors</w:t>
      </w:r>
    </w:p>
    <w:p>
      <w:pPr>
        <w:spacing w:after="0" w:line="10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Non-selective FGFR inhibitors produced by other companies have demonstrated clinical proof-of-concept in patients with intrahepatic cholangiocarcinoma, or ICC, bearing FGFR2 gene fusions. These gene fusions result in a constitutively active FGFR2, which promotes oncogenic transformation. Genetic alterations in FGFR2, including gene fusions, amplifications, and point mutations, are also found in other solid tumor indications.</w:t>
      </w:r>
    </w:p>
    <w:p>
      <w:pPr>
        <w:spacing w:after="0" w:line="147"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Patients with genetic alterations in FGFR2, primarily gene fusions in ICC, have been treated with FGFR inhibitors in investigational clinical trials. To date, these trials provide support for the critical role of FGFR2 for tumor survival with a response rate of up to 42% (</w:t>
      </w:r>
      <w:r>
        <w:rPr>
          <w:rFonts w:ascii="Arial" w:cs="Arial" w:eastAsia="Arial" w:hAnsi="Arial"/>
          <w:sz w:val="18"/>
          <w:szCs w:val="18"/>
          <w:b w:val="1"/>
          <w:bCs w:val="1"/>
          <w:color w:val="auto"/>
        </w:rPr>
        <w:t>Figure 3)</w:t>
      </w:r>
      <w:r>
        <w:rPr>
          <w:rFonts w:ascii="Arial" w:cs="Arial" w:eastAsia="Arial" w:hAnsi="Arial"/>
          <w:sz w:val="18"/>
          <w:szCs w:val="18"/>
          <w:color w:val="auto"/>
        </w:rPr>
        <w:t>. A key limiting factor for existing FGFR therapies is that, as 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ind w:right="280"/>
        <w:spacing w:after="0" w:line="270" w:lineRule="auto"/>
        <w:rPr>
          <w:sz w:val="20"/>
          <w:szCs w:val="20"/>
          <w:color w:val="auto"/>
        </w:rPr>
      </w:pPr>
      <w:r>
        <w:rPr>
          <w:rFonts w:ascii="Arial" w:cs="Arial" w:eastAsia="Arial" w:hAnsi="Arial"/>
          <w:sz w:val="17"/>
          <w:szCs w:val="17"/>
          <w:color w:val="auto"/>
        </w:rPr>
        <w:t>class, they are associated with dose-limiting side effects such as hyperphosphatemia, which has been shown to be caused by FGFR1 inhibition, and diarrhea, which has been shown to be caused by FGFR4 inhibition. Additionally, we believe a selective inhibitor of FGFR2 with broad activity against acquired resistance mutations is necessary to address a significant unmet need in patients with FGFR2-altered tumors.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3: Hyperphosphatemia and diarrhea are dose-limiting adverse events associated with non-selective FGFR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163195</wp:posOffset>
            </wp:positionV>
            <wp:extent cx="5349240" cy="1971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80"/>
        <w:spacing w:after="0"/>
        <w:rPr>
          <w:sz w:val="20"/>
          <w:szCs w:val="20"/>
          <w:color w:val="auto"/>
        </w:rPr>
      </w:pPr>
      <w:r>
        <w:rPr>
          <w:rFonts w:ascii="Arial" w:cs="Arial" w:eastAsia="Arial" w:hAnsi="Arial"/>
          <w:sz w:val="18"/>
          <w:szCs w:val="18"/>
          <w:i w:val="1"/>
          <w:iCs w:val="1"/>
          <w:color w:val="auto"/>
        </w:rPr>
        <w:t>Source: Data on competitor programs were taken from the following sources:Pemigatinib – Prescribing information; Infigratinib – Prescribing information; Futibatinib/TAS-120 – AACR 2021 (diarrhea %s approximated from presentation); Erdafitinib – Prescribing information; FOLFOX – ABC-06 Publication in Lancet Oncology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903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left="300" w:hanging="292"/>
        <w:spacing w:after="0" w:line="237" w:lineRule="auto"/>
        <w:tabs>
          <w:tab w:leader="none" w:pos="3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As defined by increased serum phosphate; except for infigratinib which is not specified.</w:t>
      </w:r>
    </w:p>
    <w:p>
      <w:pPr>
        <w:ind w:left="300" w:hanging="292"/>
        <w:spacing w:after="0" w:line="234" w:lineRule="auto"/>
        <w:tabs>
          <w:tab w:leader="none" w:pos="3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Initial dose (8 mg QD) adjusted to 9 mg QD only in absence of hyperphosphatemia.</w:t>
      </w:r>
    </w:p>
    <w:p>
      <w:pPr>
        <w:ind w:left="300" w:hanging="292"/>
        <w:spacing w:after="0"/>
        <w:tabs>
          <w:tab w:leader="none" w:pos="3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Has accelerated approval as of the date of this annual report.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solution, RLY-4008</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RLY-4008 is an oral, small molecule inhibitor of FGFR2 designed to inhibit FGFR2 with high potency while minimizing inhibition of other FGFR family members. In our initial assessment of the challenge of obtaining a highly selective inhibitor of FGFR2, we determined that there is a high degree of structural similarity between FGFR1 and FGFR2 when comparing static X-ray crystal structures. This similarity precluded the development of a structure-based selectivity hypothesis using conventional approaches.</w:t>
      </w:r>
    </w:p>
    <w:p>
      <w:pPr>
        <w:spacing w:after="0" w:line="21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therefore set out to identify motion-based differences between FGFR2 and other FGFR family members by applying our expertise in computational modeling and experimental structural analyses. We discovered that there were segments of FGFR2 which displayed differential dynamics compared to the corresponding segments of FGFR1 (</w:t>
      </w:r>
      <w:r>
        <w:rPr>
          <w:rFonts w:ascii="Arial" w:cs="Arial" w:eastAsia="Arial" w:hAnsi="Arial"/>
          <w:sz w:val="16"/>
          <w:szCs w:val="16"/>
          <w:b w:val="1"/>
          <w:bCs w:val="1"/>
          <w:color w:val="auto"/>
        </w:rPr>
        <w:t>Figure 4</w:t>
      </w:r>
      <w:r>
        <w:rPr>
          <w:rFonts w:ascii="Arial" w:cs="Arial" w:eastAsia="Arial" w:hAnsi="Arial"/>
          <w:sz w:val="16"/>
          <w:szCs w:val="16"/>
          <w:color w:val="auto"/>
        </w:rPr>
        <w:t>). We predicted these dynamic differences could be exploited to achieve selective inhibition of FGFR2.</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15" w:name="page16"/>
    <w:bookmarkEnd w:id="15"/>
    <w:p>
      <w:pPr>
        <w:ind w:right="180"/>
        <w:spacing w:after="0" w:line="266" w:lineRule="auto"/>
        <w:rPr>
          <w:sz w:val="20"/>
          <w:szCs w:val="20"/>
          <w:color w:val="auto"/>
        </w:rPr>
      </w:pPr>
      <w:r>
        <w:rPr>
          <w:rFonts w:ascii="Arial" w:cs="Arial" w:eastAsia="Arial" w:hAnsi="Arial"/>
          <w:sz w:val="18"/>
          <w:szCs w:val="18"/>
          <w:b w:val="1"/>
          <w:bCs w:val="1"/>
          <w:color w:val="auto"/>
        </w:rPr>
        <w:t>Figure 4: Using MD simulations, we predicted that a segment in FGFR1 was more dynamic than FGFR2, as represented by the schematic below where the segment opens “Up” more frequently in FGFR1 compared to FGFR2.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132080</wp:posOffset>
            </wp:positionV>
            <wp:extent cx="5349240" cy="2400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540"/>
        <w:spacing w:after="0" w:line="294" w:lineRule="auto"/>
        <w:rPr>
          <w:sz w:val="20"/>
          <w:szCs w:val="20"/>
          <w:color w:val="auto"/>
        </w:rPr>
      </w:pPr>
      <w:r>
        <w:rPr>
          <w:rFonts w:ascii="Arial" w:cs="Arial" w:eastAsia="Arial" w:hAnsi="Arial"/>
          <w:sz w:val="16"/>
          <w:szCs w:val="16"/>
          <w:color w:val="auto"/>
        </w:rPr>
        <w:t>We embarked on a process using computational methods such as long timescale molecular dynamics simulations, virtual docking and specialized experimental techniques to design, select, synthesize, and evaluate inhibitors. Our discovery process culminated with the selection of RLY-4008 as a product candidate based on its ability to meet our predetermined criteria for potency, selectivity and activity in animal models.</w:t>
      </w:r>
    </w:p>
    <w:p>
      <w:pPr>
        <w:spacing w:after="0" w:line="17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preclinical studies have shown that RLY-4008 displayed selectivity not only within the FGFR family, but across the kinome generally, in contrast to the pan-FGFR inhibitors that are all equipotent against FGFR 1, 2 and 3 as well as many other off-target kinases which narrows their therapeutic window (</w:t>
      </w:r>
      <w:r>
        <w:rPr>
          <w:rFonts w:ascii="Arial" w:cs="Arial" w:eastAsia="Arial" w:hAnsi="Arial"/>
          <w:sz w:val="18"/>
          <w:szCs w:val="18"/>
          <w:b w:val="1"/>
          <w:bCs w:val="1"/>
          <w:color w:val="auto"/>
        </w:rPr>
        <w:t>Figure 5</w:t>
      </w:r>
      <w:r>
        <w:rPr>
          <w:rFonts w:ascii="Arial" w:cs="Arial" w:eastAsia="Arial" w:hAnsi="Arial"/>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b w:val="1"/>
          <w:bCs w:val="1"/>
          <w:color w:val="auto"/>
        </w:rPr>
        <w:t>Figure 5: RLY-4008 is highly selective across the kinome.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163195</wp:posOffset>
            </wp:positionV>
            <wp:extent cx="5349240" cy="22802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40"/>
        <w:spacing w:after="0" w:line="250" w:lineRule="auto"/>
        <w:rPr>
          <w:sz w:val="20"/>
          <w:szCs w:val="20"/>
          <w:color w:val="auto"/>
        </w:rPr>
      </w:pPr>
      <w:r>
        <w:rPr>
          <w:rFonts w:ascii="Arial" w:cs="Arial" w:eastAsia="Arial" w:hAnsi="Arial"/>
          <w:sz w:val="18"/>
          <w:szCs w:val="18"/>
          <w:i w:val="1"/>
          <w:iCs w:val="1"/>
          <w:color w:val="auto"/>
        </w:rPr>
        <w:t>These kinome scans are based on a single experiment that tested each compound run at 500nM against 468 targets in the absence of adenosine triphosphate (ATP) and without preincubation.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19030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KINOMEscan™ by Eurofins DiscoverX.</w:t>
      </w:r>
    </w:p>
    <w:p>
      <w:pPr>
        <w:spacing w:after="0" w:line="25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Another unique feature of RLY-4008 is that it was designed to exhibit broad coverage against the spectrum of FGFR2 resistance mutations, including the gatekeeper position at V565 and the molecular brake position at N550, some of which can also be de novo mutations. With respect to resistance mutations, these new mutations in FGFR2 arise during treatment, reducing the potency of non-selective FGFR inhibitors and making tumors resistant to treatment. In preclinical experiments, we have shown that RLY-4008 retains activity against a broad panel of mutations known to be associated with resistance to non-selective FGFR inhibitors (</w:t>
      </w:r>
      <w:r>
        <w:rPr>
          <w:rFonts w:ascii="Arial" w:cs="Arial" w:eastAsia="Arial" w:hAnsi="Arial"/>
          <w:sz w:val="18"/>
          <w:szCs w:val="18"/>
          <w:b w:val="1"/>
          <w:bCs w:val="1"/>
          <w:color w:val="auto"/>
        </w:rPr>
        <w:t>Figure 6)</w:t>
      </w:r>
      <w:r>
        <w:rPr>
          <w:rFonts w:ascii="Arial" w:cs="Arial" w:eastAsia="Arial" w:hAnsi="Arial"/>
          <w:sz w:val="18"/>
          <w:szCs w:val="18"/>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6: RLY-4008 retains potency against common FGFR2 resistance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163195</wp:posOffset>
            </wp:positionV>
            <wp:extent cx="4705985" cy="1628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0598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08" w:lineRule="exact"/>
        <w:rPr>
          <w:sz w:val="20"/>
          <w:szCs w:val="20"/>
          <w:color w:val="auto"/>
        </w:rPr>
      </w:pPr>
      <w:r>
        <w:rPr>
          <w:rFonts w:ascii="Arial" w:cs="Arial" w:eastAsia="Arial" w:hAnsi="Arial"/>
          <w:sz w:val="17"/>
          <w:szCs w:val="17"/>
          <w:i w:val="1"/>
          <w:iCs w:val="1"/>
          <w:color w:val="auto"/>
        </w:rPr>
        <w:t>This heatmap shows fold change in potency (IC50) on FGFR2 mutations compared to FGFR2 WT. FGFR2 WT or mutants were expressed in HEK-293 cells and potency on FGFR2 was determined using a pFGFR2 HTRF assay. Colors indicate the fold loss in potency for the mutant form vs wildtype. Gatekeeper mutations block access to the binding site of non-selective inhibitors. Molecular brake mutations disrupt an autoinhibitory conformation of FGFR2, resulting in kinase activation. Other mutations listed have various reported mechanisms of kinase activation. Numbering of mutant residues refers to the FGFR2 IIIb isoform. Fold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change of 1 indicates equivalent potency on FGFR2 WT and the indicated FGFR2 mutant.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19030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48" w:right="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Our clinical development plan</w:t>
      </w:r>
    </w:p>
    <w:p>
      <w:pPr>
        <w:spacing w:after="0" w:line="11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RLY-4008 clinical development plan seeks to leverage the unique potential for enhanced tolerability and broad FGFR2 mutational coverage to rapidly generate proof-of-concept in molecularly defined patient subsets.</w:t>
      </w:r>
    </w:p>
    <w:p>
      <w:pPr>
        <w:spacing w:after="0" w:line="19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initiated the RLY-4008-101 Trial enriched for patients with advanced solid tumors having oncogenic FGFR2 alterations in September 2020. The RLY-4008-101 Trial is designed to evaluate the safety, tolerability, pharmacokinetics and anti-tumor efficacy of RLY-4008 and to be conducted in two parts, a dose escalation (part 1) and a dose expansion (part 2). In December 2021, we initiated the dose expansion cohorts part of the trial (part 2) with a continuous once daily dose of 70 mg based on our findings from the dose escalation part of the trial (part 1).</w:t>
      </w:r>
    </w:p>
    <w:p>
      <w:pPr>
        <w:spacing w:after="0" w:line="199"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The dose expansion part of the RLY-4008-101 Trial has five cohorts planned to evaluate the following genetically defined populations: (1) ICC patients with an FGFR2 fusion previously treated with a pan-FGFR inhibitor; (2) ICC patients with an FGFR2 fusion not previously treated with a pan-FGFR inhibitor; (3) patients with an FGFR2 fusion and solid tumor other than ICC; (4) advanced, unresectable solid tumor patients with focal FGFR2 amplification; and (5) advanced, unresectable solid tumor patients with an oncogenic FGFR2 mutation. (</w:t>
      </w:r>
      <w:r>
        <w:rPr>
          <w:rFonts w:ascii="Arial" w:cs="Arial" w:eastAsia="Arial" w:hAnsi="Arial"/>
          <w:sz w:val="17"/>
          <w:szCs w:val="17"/>
          <w:b w:val="1"/>
          <w:bCs w:val="1"/>
          <w:color w:val="auto"/>
        </w:rPr>
        <w:t>Figure 7</w:t>
      </w:r>
      <w:r>
        <w:rPr>
          <w:rFonts w:ascii="Arial" w:cs="Arial" w:eastAsia="Arial" w:hAnsi="Arial"/>
          <w:sz w:val="17"/>
          <w:szCs w:val="17"/>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7: First-in-human clinical trial design for RLY-4008.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163195</wp:posOffset>
            </wp:positionV>
            <wp:extent cx="5349240" cy="1714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Development of RLY-4008 requires identification of appropriate patients for treatment with FGFR2 alterations using molecular diagnostic tests. In early phase clinical trials, patients have been identified using local testing performed at clinical trial sites, with retrospective centralized testing to confirm the tumor genetic status. In later phase trials, we have collaborated with diagnostic partners to identify patients for clinical trial enrollment using an analytically validated investigational molecular diagnostic. The tumor genetic contexts that we are considering for development of RLY-4008 (FGFR2 fusions, amplifications and mutations) can currently be detected using FDA-approved next generation sequencing based panel diagnostics (e.g. Foundation One, Guardant 360).</w:t>
      </w:r>
    </w:p>
    <w:p>
      <w:pPr>
        <w:spacing w:after="0" w:line="29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Interim clinical data</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On October 8, 2021, at the AACR-NCI-EORTC Molecular Targets Conference, we announced interim clinical data from the RLY-4008-101 Trial.</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believe the interim clinical data suggest robust inhibition of FGFR2 in the first 49 subjects that was not shown to be limited by off-target toxicities, including hyperphosphatemia and diarrhea. The initial pharmacokinetic and predicted receptor occupancy data suggest that all once daily dose levels above 30 mg of RLY-4008 administered as of the Interim Data Cut-off Date date can achieve &gt;85% continuous inhibition of FGFR2. At those levels, acute toxicities that would limit dose intensity were generally not observed as of the Interim Data Cut-off Date of September 9, 2021. The interim clinical data included results from FGFR2-altered solid tumors, with approximately 80% of all patients treated having achieved reductions in tumor size as of the Interim Data Cut-off Date. In pan-FGFR inhibitor treatment-naïve cholangiocarcinoma patients, RLY-4008 demonstrated tumor shrinkage in all six pan-FGFR treatment-naïve FGFR2 fusion positive cholangiocarcinoma patients, with three achieving confirmed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8" w:name="page19"/>
    <w:bookmarkEnd w:id="18"/>
    <w:p>
      <w:pPr>
        <w:ind w:right="20"/>
        <w:spacing w:after="0" w:line="261" w:lineRule="auto"/>
        <w:rPr>
          <w:sz w:val="20"/>
          <w:szCs w:val="20"/>
          <w:color w:val="auto"/>
        </w:rPr>
      </w:pPr>
      <w:r>
        <w:rPr>
          <w:rFonts w:ascii="Arial" w:cs="Arial" w:eastAsia="Arial" w:hAnsi="Arial"/>
          <w:sz w:val="18"/>
          <w:szCs w:val="18"/>
          <w:color w:val="auto"/>
        </w:rPr>
        <w:t>partial responses. Three of these six patients remain on study and a fourth patient went on to surgery with curative intent. In December 2021, the expansion cohorts for the RLY-4008-101 Trial were initiated at a continuous 70 mg once daily dose.</w:t>
      </w:r>
    </w:p>
    <w:p>
      <w:pPr>
        <w:spacing w:after="0" w:line="19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As of the Interim Data Cut-off Date, 48 of the 49 patients enrolled had a primary FGFR2 alteration, of which a majority were FGFR2 fusion cholangiocarcinoma. Most patients had high disease burden with multiple prior treatments including pan-FGFR inhibitors, and several had FGFR2 resistance mutations detected by circulating tumor DNA, or ctDNA, at baseline. Patients were treated at nine different once daily, or QD, or twice daily, or BID, dose levels, ranging from 20 mg QD to 70 mg QD and 20 mg BID to 100 mg BID. As of the Interim Data Cut-off Date, duration of treatment ranged from 4 to 45 weeks.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Initial safety analysis</w:t>
      </w:r>
    </w:p>
    <w:p>
      <w:pPr>
        <w:spacing w:after="0" w:line="10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interim clinical data of the RLY-4008-101 Trial indicate that RLY-4008 has generally been well tolerated in the 49 patients treated as of the Interim Data Cut-Off Date. With regard to dosing, the QD dosing schedule has been prioritized due to its preferable tolerability (as only one dose limiting toxicity, or DLT, was observed across all dose levels) and high target coverage (lowest dose of 20 mg exceeded 85% receptor occupancy). Within the BID dosing schedule there were five DLTs observed, and receptor occupancy ranged from 90% to 98% across the BID doses.</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Across all QD doses only 16% of patients, all Grade 1 or 2, experienced hyperphosphatemia, a toxicity that has been shown to limit dose intensity for pan-FGFR inhibitors in other studies. These data indicate that RLY-4008 had little or no FGFR1 inhibition at the examined dose levels. Additionally, little or no diarrhea was observed with RLY-4008 treatment suggesting minimal or no FGFR4 inhibition in treated patients as of the Interim Data Cut-Off Date across dose levels. Together, the interim data suggest that RLY-4008 is a highly selective FGFR2 inhibitor in humans.</w:t>
      </w:r>
    </w:p>
    <w:p>
      <w:pPr>
        <w:spacing w:after="0" w:line="19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Most treatment emergent adverse events were low-grade adverse events and manageable. There have been no Grade 4 or 5 adverse events. Given that retinal toxicity has been observed with FGFR inhibitor treatment, the RLY-4008-101 Trial is designed to assess retinopathy and retinal pigment epithelial dystrophy adverse events, which have been observed in seven patients (14%), three of which occurred in the QD dosing regimen. All seven of these events were Grade 1-2, which were self-limiting or resolved upon treatment interruption.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Initial efficacy analysis</w:t>
      </w:r>
    </w:p>
    <w:p>
      <w:pPr>
        <w:spacing w:after="0" w:line="10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interim clinical data of the RLY-4008-101 Trial indicate that RLY-4008 has the potential to provide tumor reduction across a number of FGFR2 alterations and lines of treatment. Key interim data include:</w:t>
      </w:r>
    </w:p>
    <w:p>
      <w:pPr>
        <w:spacing w:after="0" w:line="63" w:lineRule="exact"/>
        <w:rPr>
          <w:sz w:val="20"/>
          <w:szCs w:val="20"/>
          <w:color w:val="auto"/>
        </w:rPr>
      </w:pPr>
    </w:p>
    <w:p>
      <w:pPr>
        <w:ind w:left="1020" w:right="60" w:hanging="503"/>
        <w:spacing w:after="0" w:line="24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Promising early activity in FGFR inhibitor naïve cholangiocarcinoma FGFR2 fusion patients, with confirmed RECISTv1.1 partial responses observed in three out of six patients with deep tumor regressions (-56% to -83%) and three out of six patients continuing on treatment and a fourth who went on to surgery with curative intent.</w:t>
      </w:r>
    </w:p>
    <w:p>
      <w:pPr>
        <w:spacing w:after="0" w:line="73" w:lineRule="exact"/>
        <w:rPr>
          <w:rFonts w:ascii="Arial" w:cs="Arial" w:eastAsia="Arial" w:hAnsi="Arial"/>
          <w:sz w:val="18"/>
          <w:szCs w:val="18"/>
          <w:color w:val="auto"/>
        </w:rPr>
      </w:pPr>
    </w:p>
    <w:p>
      <w:pPr>
        <w:ind w:left="1020" w:right="240" w:hanging="503"/>
        <w:spacing w:after="0" w:line="24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Radiographic tumor shrinkage and complete clearance of ctDNA in 70% of patients with acquired resistance mutations (N=10), including molecular brake (N550) and gatekeeper (V565) mutations, suggesting the potential for RLY-4008 to treat or prevent on-target acquired resistance.</w:t>
      </w:r>
    </w:p>
    <w:p>
      <w:pPr>
        <w:spacing w:after="0" w:line="73" w:lineRule="exact"/>
        <w:rPr>
          <w:rFonts w:ascii="Arial" w:cs="Arial" w:eastAsia="Arial" w:hAnsi="Arial"/>
          <w:sz w:val="18"/>
          <w:szCs w:val="18"/>
          <w:color w:val="auto"/>
        </w:rPr>
      </w:pPr>
    </w:p>
    <w:p>
      <w:pPr>
        <w:ind w:left="1020" w:right="360" w:hanging="503"/>
        <w:spacing w:after="0" w:line="24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Early signs of activity observed outside of FGFR2 fusion positive cholangiocarcinoma, including tumor reduction in six out of eight evaluable patients with activating mutations (one confirmed partial response, or PR, one unconfirmed PR, and four stable disease, or SD (based on RECISTv1.1 criteria)) and three out of three patients with amplifications (all SD).</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80% of all patients treated achieved radiographic tumor regressions; this was observed across all dose levels, tumor types and FGFR2 alterations, and in patients with prior FGFR inhibitor treatment.</w:t>
      </w:r>
    </w:p>
    <w:p>
      <w:pPr>
        <w:spacing w:after="0" w:line="171" w:lineRule="exact"/>
        <w:rPr>
          <w:sz w:val="20"/>
          <w:szCs w:val="20"/>
          <w:color w:val="auto"/>
        </w:rPr>
      </w:pPr>
    </w:p>
    <w:p>
      <w:pPr>
        <w:ind w:right="480" w:firstLine="45"/>
        <w:spacing w:after="0" w:line="261" w:lineRule="auto"/>
        <w:rPr>
          <w:sz w:val="20"/>
          <w:szCs w:val="20"/>
          <w:color w:val="auto"/>
        </w:rPr>
      </w:pPr>
      <w:r>
        <w:rPr>
          <w:rFonts w:ascii="Arial" w:cs="Arial" w:eastAsia="Arial" w:hAnsi="Arial"/>
          <w:sz w:val="18"/>
          <w:szCs w:val="18"/>
          <w:color w:val="auto"/>
        </w:rPr>
        <w:t>Consistent with the preclinical profile of RLY-4008, these early clinical data support our belief that RLY-4008 has broad therapeutic potential across FGFR2 alterations and tumor types.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RLY-2608, our lead mutant-PI3K</w:t>
      </w:r>
      <w:r>
        <w:rPr>
          <w:rFonts w:ascii="Arial" w:cs="Arial" w:eastAsia="Arial" w:hAnsi="Arial"/>
          <w:sz w:val="18"/>
          <w:szCs w:val="18"/>
          <w:color w:val="auto"/>
        </w:rPr>
        <w:t>α</w:t>
      </w:r>
      <w:r>
        <w:rPr>
          <w:rFonts w:ascii="Arial" w:cs="Arial" w:eastAsia="Arial" w:hAnsi="Arial"/>
          <w:sz w:val="18"/>
          <w:szCs w:val="18"/>
          <w:i w:val="1"/>
          <w:iCs w:val="1"/>
          <w:color w:val="auto"/>
        </w:rPr>
        <w:t xml:space="preserve"> inhibitor program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RLY-2608 is the lead program of multiple efforts to discover and develop mutant selective inhibitors of PI3Kα. PI3Kα is the most frequently mutated kinase in all cancers, with oncogenic mutations detected in about 13% of patients with solid tumors. Traditionally, the development of PI3Kα inhibitors has focused on the active, or orthosteric, site. The therapeutic index of orthosteric inhibitors is limited by the lack of clinically meaningful selectivity for mutant versus wild-type PI3Kα and off-isoform activity. Toxicity related to inhibition of wild-type PI3Kα and other PI3K isoforms results in sub-optimal inhibition of mutant PI3Kα with reductions in dose intensity and frequent discontinuation. The Dynamo platform enabled the discovery of RLY-2608, what we believe to be the first known allosteric, pan-mutant (H1047X, E542X and E545X), and isoform-selective PI3Kα inhibitor designed to overcome these limitations. By solving the full-length Cryo-EM structure of PI3Kα and performing computational long time-scale molecular dynamic simulations to elucidate conformational differences between wild-type and mutant PI3Kα, we were able to leverage these insights to support the design of RLY-2608.</w:t>
      </w:r>
    </w:p>
    <w:p>
      <w:pPr>
        <w:spacing w:after="0" w:line="195"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In the fourth quarter of 2021, we announced preclinical data for RLY-2608. The preclinical data show that in preclinical models, RLY-2608 preferentially binds to mutant PI3Kα at a novel allosteric site discovered by our Dynamo platform, which is discussed in further detail below in “—Our solution, RLY-2608”. We dosed the first patient in the RLY-2608-101 Trial in December 2021.</w:t>
      </w:r>
    </w:p>
    <w:p>
      <w:pPr>
        <w:spacing w:after="0" w:line="209"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RLY-2608 has the potential to address approximately 50,000 to 156,000 patients per year in the United States, one of the largest patient populations for a precision oncology medicine (</w:t>
      </w:r>
      <w:r>
        <w:rPr>
          <w:rFonts w:ascii="Arial" w:cs="Arial" w:eastAsia="Arial" w:hAnsi="Arial"/>
          <w:sz w:val="18"/>
          <w:szCs w:val="18"/>
          <w:b w:val="1"/>
          <w:bCs w:val="1"/>
          <w:color w:val="auto"/>
        </w:rPr>
        <w:t>Figure 8</w:t>
      </w:r>
      <w:r>
        <w:rPr>
          <w:rFonts w:ascii="Arial" w:cs="Arial" w:eastAsia="Arial" w:hAnsi="Arial"/>
          <w:sz w:val="18"/>
          <w:szCs w:val="18"/>
          <w:color w:val="auto"/>
        </w:rPr>
        <w:t>). Selectivity for all three mutation hot spots (H1047X, E542X and E545X) has the potential to effectively double the addressable patient population compared to selectivity for only H1047X.</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8: PI3Kα addressable patient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163195</wp:posOffset>
            </wp:positionV>
            <wp:extent cx="5349240" cy="2143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FoundationInsights® database; SEER; Alpelisib – Prescribing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9030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ind w:left="300" w:hanging="292"/>
        <w:spacing w:after="0"/>
        <w:tabs>
          <w:tab w:leader="none" w:pos="30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Annual incidence of solid tumors with KRAS G12C, PI3K H1047R, PI3K H1047X, PI3K E542X + E545X alterations.</w:t>
      </w:r>
    </w:p>
    <w:p>
      <w:pPr>
        <w:ind w:left="300" w:hanging="292"/>
        <w:spacing w:after="0" w:line="234" w:lineRule="auto"/>
        <w:tabs>
          <w:tab w:leader="none" w:pos="30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Head &amp; Neck Squamous Cell Carcinoma.</w:t>
      </w:r>
    </w:p>
    <w:p>
      <w:pPr>
        <w:ind w:left="300" w:hanging="292"/>
        <w:spacing w:after="0"/>
        <w:tabs>
          <w:tab w:leader="none" w:pos="30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Clear Cell Ovarian Cancer.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Role of PI3Kα in cellular proliferation and differentiation</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Mutations at amino acid H1047 of PI3Kα are among the most common kinase mutations in cancer and are believed to be a primary driver of carcinogenesis. There are no approved therapies that selectively target mutant versions of PI3Kα. Inhibitors that are not mutant-selective are associated with dose-limiting toxicities resulting in frequent discontinuations that restrict their therapeutic potential. Additionally, these inhibitors can also inhibit other isoforms of PI3K, including PI3Kδ, which can result in further toxicity, such as gastrointestinal toxicity. Our belief is that selectively targeting mutant PI3Kα only could result in improved target inhibition and increased clinical efficacy.</w:t>
      </w:r>
    </w:p>
    <w:p>
      <w:pPr>
        <w:spacing w:after="0" w:line="21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Leveraging our structural biology capabilities, we solved what we believe to be the first full-length structure of PI3Kα using Cryo-EM and utilized a range of experimental techniques to understand both H1047R mutant and wild-type conformations. We used this rich experimental data set to power molecular dynamics simulations of H1047R mutant PI3Kα to identify a series of dynamic structural changes caused by the mutation, which were not elucidated by prior structural studies of either H1047R mutant or wild-type PI3Kα. RLY-2608 was designed to exploit these dynamic differences and bind to a novel allosteric site to achieve heightened mutant selectivity.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of current PI3Kα inhibitors</w:t>
      </w:r>
    </w:p>
    <w:p>
      <w:pPr>
        <w:spacing w:after="0" w:line="104"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Approximately 60%-70% of the mutations in PI3Kα cluster at three amino acids (H1047, E542, and E545). Traditionally, the development of PI3Kα inhibitors has focused on the active, or orthosteric site. This site and its location make selectivity for PI3Kα over other PI3K isoforms and for mutant PI3Kα over wild-type PI3Kα difficult, and they do not enable pan-mutant coverage. Though these existing inhibitors have shown clinical activity in breast cancer as both monotherapy and in combination with hormonal therapy, as well as anecdotal monotherapy responses in patients with PI3Kα mutations in other tumor types, the therapeutic index of such orthosteric inhibitors is limited by the lack of clinically meaningful selectivity for mutant versus wild-type PI3Kα and off-isoform activity. Toxicity related to inhibition of wild-type PI3Kα and other PI3K isoforms results in sub-optimal inhibition of mutant PI3Kα with reductions in dose intensity and frequent discontinuation (</w:t>
      </w:r>
      <w:r>
        <w:rPr>
          <w:rFonts w:ascii="Arial" w:cs="Arial" w:eastAsia="Arial" w:hAnsi="Arial"/>
          <w:sz w:val="16"/>
          <w:szCs w:val="16"/>
          <w:b w:val="1"/>
          <w:bCs w:val="1"/>
          <w:color w:val="auto"/>
        </w:rPr>
        <w:t>Figure 9</w:t>
      </w:r>
      <w:r>
        <w:rPr>
          <w:rFonts w:ascii="Arial" w:cs="Arial" w:eastAsia="Arial" w:hAnsi="Arial"/>
          <w:sz w:val="16"/>
          <w:szCs w:val="16"/>
          <w:color w:val="auto"/>
        </w:rPr>
        <w:t>). These agents are generally limited by high rates of severe hyperglycemia, which is an on-target toxicity, and by gastrointestinal toxicity, which may be related to inhibition of other PI3K family members, including PI3Kδ.</w:t>
      </w:r>
    </w:p>
    <w:p>
      <w:pPr>
        <w:spacing w:after="0" w:line="19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RLY-2608, what we believe to be the first known allosteric, pan-mutant (H1047X, E542X and E545X), and isoform-selective PI3Kα inhibitor, was designed to overcome these limitations.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Figure 9: Existing inhibitors establish proof-of-concept but could be limited in efficacy by their safety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163195</wp:posOffset>
            </wp:positionV>
            <wp:extent cx="5349240" cy="2194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80"/>
        <w:spacing w:after="0"/>
        <w:rPr>
          <w:sz w:val="20"/>
          <w:szCs w:val="20"/>
          <w:color w:val="auto"/>
        </w:rPr>
      </w:pPr>
      <w:r>
        <w:rPr>
          <w:rFonts w:ascii="Arial" w:cs="Arial" w:eastAsia="Arial" w:hAnsi="Arial"/>
          <w:sz w:val="18"/>
          <w:szCs w:val="18"/>
          <w:i w:val="1"/>
          <w:iCs w:val="1"/>
          <w:color w:val="auto"/>
        </w:rPr>
        <w:t>Source: Data on competitor programs were taken from the following sources: Alpelisib Monotherapy – Juric et al 2018; Alpelisib Combo – 2021 SABCS Presentation – BYLieve Cohort A; Inavolisib Monotherapy – SABCS 2019 Poster; Inavolisib Combo – SABCS 2020 Poster; Taselisib Monotherapy – Jhaveri et al 2020 (Roche); CYH33 – ESMO-TAT 2020 Presentation (Haihe).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9030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left="300" w:hanging="292"/>
        <w:spacing w:after="0" w:line="237" w:lineRule="auto"/>
        <w:tabs>
          <w:tab w:leader="none" w:pos="3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dose interruptions in addition to dose reductions and discontinuations.</w:t>
      </w:r>
    </w:p>
    <w:p>
      <w:pPr>
        <w:ind w:left="300" w:hanging="292"/>
        <w:spacing w:after="0"/>
        <w:tabs>
          <w:tab w:leader="none" w:pos="3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Dose reductions only; discontinuations not reported.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solution, RLY-2608</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Given the existence of mutations in PI3Kα with different biological mechanisms underlying aberrant activity, we believe there are multiple opportunities to develop inhibitors of PI3Kα, both “pan-mutant” inhibitors as well as distinct mutant selective inhibitors, which could lead to the opportunity for “double-drugging” certain PI3Kα mutations such as H1047R. Addressing the challenge of mutant selectivity required us to express and then solve the structure of the full-length PI3Kα protein. This structure, which to our knowledge had previously not been solved, represented a technical challenge because PI3Kα is a membrane-bound protein. This type of protein is typically difficult both to purify in large quantities and to crystallize. Nonetheless, we were able to obtain the structure of full-length PI3Kα using Cryo-EM. The three-dimensional structure of PI3Kα was determined by collecting data from two-dimensional electron microscopic projections of thin layers of protein. The resulting three-dimensional protein structure provided us with fundamental insights into the mechanism of activation of PI3Kα and the impact of mutations on its function. Through the integration of these structural insights with a combination of experimental and computational techniques, our aim is to develop a franchise of mutant selective PI3Kα inhibitors. RLY-2608 is the first lead molecule derived from these efforts and is the first known allosteric, pan-mutant (H1047X, E542X and E545X) and isoform-selective PI3Kα inhibitor in clinical development.</w:t>
      </w:r>
    </w:p>
    <w:p>
      <w:pPr>
        <w:spacing w:after="0" w:line="21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October 2021, we shared preclinical data at the virtual AACR-NCI-EORTC Molecular Targets Conference and in December 2021, we shared additional preclinical data at the San Antonio Breast Cancer Symposium and dosed the first patient in the RLY-2608-101 Trial.</w:t>
      </w:r>
    </w:p>
    <w:p>
      <w:pPr>
        <w:spacing w:after="0" w:line="19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preclinical data shared in 2021 show that in preclinical models, RLY-2608 preferentially binds to mutant PI3Kα at a novel allosteric site discovered by the Dynamo platform. The data also show that in biochemical and cellular assays, RLY-2608 inhibited the three major classes of PI3Kα oncogenic mutations (H1047X, E542X and E545X) while sparing wild-type PI3Kα, and in biochemical assays, RLY-2608 shows potency comparable to alpelisib on the three most commonly seen PI3K-alpha mutants, but unlike alpelisib and inavolisib, two other PI3Kα inhibitors, RLY-2608 is significantly less potent against wild-type PI3Kα. The data indicate RLY-2608 is also highly specific</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for PI3Kα, without residual activity on other PI3K family members which could contribute to the toxicity of non-selective PI3K inhibitors (</w:t>
      </w:r>
      <w:r>
        <w:rPr>
          <w:rFonts w:ascii="Arial" w:cs="Arial" w:eastAsia="Arial" w:hAnsi="Arial"/>
          <w:sz w:val="17"/>
          <w:szCs w:val="17"/>
          <w:b w:val="1"/>
          <w:bCs w:val="1"/>
          <w:color w:val="auto"/>
        </w:rPr>
        <w:t>Figure 10</w:t>
      </w:r>
      <w:r>
        <w:rPr>
          <w:rFonts w:ascii="Arial" w:cs="Arial" w:eastAsia="Arial" w:hAnsi="Arial"/>
          <w:sz w:val="17"/>
          <w:szCs w:val="17"/>
          <w:color w:val="auto"/>
        </w:rPr>
        <w: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10: RLY-2608 has shown mutant and isoform biochemical selectivity.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163195</wp:posOffset>
            </wp:positionV>
            <wp:extent cx="5349240" cy="2125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i w:val="1"/>
          <w:iCs w:val="1"/>
          <w:color w:val="auto"/>
        </w:rPr>
        <w:t>Biochemical inhibition of PI3K isoforms including hotspot mutants of PI3Kα by RLY-2608 and orthosteric inhibitors was assessed using the ADP-Glo assay (Promega). The readout measures the adenosine diphosphate generated upon phosphorylation of a soluble PIP2 surrogate substrate by PI3K in the presence of adenosine triphosphate with a 120-minute preincubation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19030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85"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The data further suggest that RLY-2608 is also highly selective against other PI3K family members and exquisitely selective across the kinome. (</w:t>
      </w:r>
      <w:r>
        <w:rPr>
          <w:rFonts w:ascii="Arial" w:cs="Arial" w:eastAsia="Arial" w:hAnsi="Arial"/>
          <w:sz w:val="18"/>
          <w:szCs w:val="18"/>
          <w:b w:val="1"/>
          <w:bCs w:val="1"/>
          <w:color w:val="auto"/>
        </w:rPr>
        <w:t>Figure</w:t>
      </w:r>
      <w:r>
        <w:rPr>
          <w:rFonts w:ascii="Arial" w:cs="Arial" w:eastAsia="Arial" w:hAnsi="Arial"/>
          <w:sz w:val="18"/>
          <w:szCs w:val="18"/>
          <w:color w:val="auto"/>
        </w:rPr>
        <w:t xml:space="preserve"> </w:t>
      </w:r>
      <w:r>
        <w:rPr>
          <w:rFonts w:ascii="Arial" w:cs="Arial" w:eastAsia="Arial" w:hAnsi="Arial"/>
          <w:sz w:val="18"/>
          <w:szCs w:val="18"/>
          <w:b w:val="1"/>
          <w:bCs w:val="1"/>
          <w:color w:val="auto"/>
        </w:rPr>
        <w:t>11</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11: RLY-2608 is selective across the kinome.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163195</wp:posOffset>
            </wp:positionV>
            <wp:extent cx="5349240" cy="2271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324" w:lineRule="auto"/>
        <w:rPr>
          <w:sz w:val="20"/>
          <w:szCs w:val="20"/>
          <w:color w:val="auto"/>
        </w:rPr>
      </w:pPr>
      <w:r>
        <w:rPr>
          <w:rFonts w:ascii="Arial" w:cs="Arial" w:eastAsia="Arial" w:hAnsi="Arial"/>
          <w:sz w:val="16"/>
          <w:szCs w:val="16"/>
          <w:i w:val="1"/>
          <w:iCs w:val="1"/>
          <w:color w:val="auto"/>
        </w:rPr>
        <w:t>RLY-2608 was evaluated against a panel of 321 human kinases and disease-relevant mutant variants in the Thermo Fisher Scientific SelectScreen Profiling Service fluorescence resonance energy transfer assays. The legend represents various degrees of inhibition at the test concentration of 10 μM.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19030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23" w:name="page24"/>
    <w:bookmarkEnd w:id="23"/>
    <w:p>
      <w:pPr>
        <w:spacing w:after="0" w:line="241" w:lineRule="auto"/>
        <w:rPr>
          <w:sz w:val="20"/>
          <w:szCs w:val="20"/>
          <w:color w:val="auto"/>
        </w:rPr>
      </w:pPr>
      <w:r>
        <w:rPr>
          <w:rFonts w:ascii="Arial" w:cs="Arial" w:eastAsia="Arial" w:hAnsi="Arial"/>
          <w:sz w:val="18"/>
          <w:szCs w:val="18"/>
          <w:color w:val="auto"/>
        </w:rPr>
        <w:t xml:space="preserve">The data suggest that projected clinically relevant doses of RLY-2608 achieved tumor regression in </w:t>
      </w:r>
      <w:r>
        <w:rPr>
          <w:rFonts w:ascii="Arial" w:cs="Arial" w:eastAsia="Arial" w:hAnsi="Arial"/>
          <w:sz w:val="18"/>
          <w:szCs w:val="18"/>
          <w:i w:val="1"/>
          <w:iCs w:val="1"/>
          <w:color w:val="auto"/>
        </w:rPr>
        <w:t>PIK3CA</w:t>
      </w:r>
      <w:r>
        <w:rPr>
          <w:rFonts w:ascii="Arial" w:cs="Arial" w:eastAsia="Arial" w:hAnsi="Arial"/>
          <w:sz w:val="18"/>
          <w:szCs w:val="18"/>
          <w:color w:val="auto"/>
        </w:rPr>
        <w:t xml:space="preserve"> mutant in vivo xenograft mouse models representing H1047R and E545K mutations with significantly reduced impact on glucose metabolism compared to non-mutant selective active site inhibitors. In higher species, dosing of RLY-2608 resulted in exposures exceeding 90% inhibition of mutant PI3Kα in cells without resulting in elevated glucose levels or histopathological changes associated with dysregulation of glucose metabolism that are seen with non-mutant selective inhibitors (</w:t>
      </w:r>
      <w:r>
        <w:rPr>
          <w:rFonts w:ascii="Arial" w:cs="Arial" w:eastAsia="Arial" w:hAnsi="Arial"/>
          <w:sz w:val="18"/>
          <w:szCs w:val="18"/>
          <w:b w:val="1"/>
          <w:bCs w:val="1"/>
          <w:color w:val="auto"/>
        </w:rPr>
        <w:t>Figure</w:t>
      </w:r>
      <w:r>
        <w:rPr>
          <w:rFonts w:ascii="Arial" w:cs="Arial" w:eastAsia="Arial" w:hAnsi="Arial"/>
          <w:sz w:val="18"/>
          <w:szCs w:val="18"/>
          <w:color w:val="auto"/>
        </w:rPr>
        <w:t xml:space="preserve"> </w:t>
      </w:r>
      <w:r>
        <w:rPr>
          <w:rFonts w:ascii="Arial" w:cs="Arial" w:eastAsia="Arial" w:hAnsi="Arial"/>
          <w:sz w:val="18"/>
          <w:szCs w:val="18"/>
          <w:b w:val="1"/>
          <w:bCs w:val="1"/>
          <w:color w:val="auto"/>
        </w:rPr>
        <w:t>12</w:t>
      </w:r>
      <w:r>
        <w:rPr>
          <w:rFonts w:ascii="Arial" w:cs="Arial" w:eastAsia="Arial" w:hAnsi="Arial"/>
          <w:sz w:val="18"/>
          <w:szCs w:val="18"/>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12: In vivo regressions across both mutation hotpots.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163195</wp:posOffset>
            </wp:positionV>
            <wp:extent cx="5349240" cy="22371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right="140"/>
        <w:spacing w:after="0"/>
        <w:rPr>
          <w:sz w:val="20"/>
          <w:szCs w:val="20"/>
          <w:color w:val="auto"/>
        </w:rPr>
      </w:pPr>
      <w:r>
        <w:rPr>
          <w:rFonts w:ascii="Arial" w:cs="Arial" w:eastAsia="Arial" w:hAnsi="Arial"/>
          <w:sz w:val="18"/>
          <w:szCs w:val="18"/>
          <w:i w:val="1"/>
          <w:iCs w:val="1"/>
          <w:color w:val="auto"/>
        </w:rPr>
        <w:t>Activity of RLY-2608 and orthosteric inhibitors in xenograft models harboring PIK3CA hotspot mutations. RLY-2608 was administered orally once a day (QD) or twice a day (BID) for the duration of the study as indicated on the x-axis (n=8). At end of study, serum samples were collected at two timepoints and evaluated by ELISA for insulin levels. All models were grown in Balb/c nude female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9030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ind w:left="300" w:hanging="292"/>
        <w:spacing w:after="0" w:line="237" w:lineRule="auto"/>
        <w:tabs>
          <w:tab w:leader="none" w:pos="3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This model also carries a second mutation at K567R.</w:t>
      </w:r>
    </w:p>
    <w:p>
      <w:pPr>
        <w:ind w:left="300" w:hanging="292"/>
        <w:spacing w:after="0" w:line="234" w:lineRule="auto"/>
        <w:tabs>
          <w:tab w:leader="none" w:pos="3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HSC2 model, 24 days.</w:t>
      </w:r>
    </w:p>
    <w:p>
      <w:pPr>
        <w:ind w:left="300" w:hanging="292"/>
        <w:spacing w:after="0"/>
        <w:tabs>
          <w:tab w:leader="none" w:pos="3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Similar results observed in the same background strain at 1hr timepoint in the MCF7 (E545K) model.</w:t>
      </w:r>
    </w:p>
    <w:p>
      <w:pPr>
        <w:spacing w:after="0" w:line="19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data show RLY-2608 is active as monotherapy in patient-derived xenograft breast cancer models, including both H1047R and E542K-mutant tumors. The data further indicate RLY-2608 also synergizes with fulvestrant (an estrogen receptor inhibitor) and abemaciclib (a CDK4/6 inhibitor), which are standard of care therapies in breast cancer, in cell viability assays in PIK3CAmut/ER+/HER2- cell lines. Oral administration of RLY-2608 in combination with fulvestrant or abemaciclib led to improved activity compared to either agent alone in ER+/HER2- xenograft models representing the most commonly observed PIK3CA mutations in breast cancer (H1047R, E542K, E545K). The triple combination of all three agents resulted in deep regressions across all models. Additionally, the combination models had similar tolerability to monotherapy models. (</w:t>
      </w:r>
      <w:r>
        <w:rPr>
          <w:rFonts w:ascii="Arial" w:cs="Arial" w:eastAsia="Arial" w:hAnsi="Arial"/>
          <w:sz w:val="17"/>
          <w:szCs w:val="17"/>
          <w:b w:val="1"/>
          <w:bCs w:val="1"/>
          <w:color w:val="auto"/>
        </w:rPr>
        <w:t>Figure 13</w:t>
      </w:r>
      <w:r>
        <w:rPr>
          <w:rFonts w:ascii="Arial" w:cs="Arial" w:eastAsia="Arial" w:hAnsi="Arial"/>
          <w:sz w:val="17"/>
          <w:szCs w:val="17"/>
          <w:color w:val="auto"/>
        </w:rPr>
        <w:t>)</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Figure 13: RLY-2608 combined with standard of care therapies facilitated regressions in ER+/HER2- breast cancer models</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168910</wp:posOffset>
            </wp:positionV>
            <wp:extent cx="5349240" cy="19970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i w:val="1"/>
          <w:iCs w:val="1"/>
          <w:color w:val="auto"/>
        </w:rPr>
        <w:t>Combination efficacy of RLY-2608 and fulvestrant and abemaciclib in ER+/HER2- patient derived xenograft models mutant for PIK3CA. RLY-2608 was administered orally twice daily (BID) at 25 mg/kg, a quarter of the full efficacious dose either alone or in combination with fulvestrant (subcutaneous injection of 5mg/mouse, weekly) and/or abemaciclib (daily oral administration of 25 mg/kg). Each bar in the waterfall plot represents an individual tumor response (percent change relative to initial tumor volume) at end of study. All mice were supplemented with estradiol to enable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19030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These results support advancement of RLY-2608 into clinical development as a differentiated mechanism of mutant PI3Kα inhibition.</w:t>
      </w:r>
    </w:p>
    <w:p>
      <w:pPr>
        <w:spacing w:after="0" w:line="239"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RLY-2608 has the potential to address approximately 50,000 to 156,000 patients per year in the United States, one of the largest patient populations for a precision oncology medicine. Selectivity for all three mutation hot spots (H1047X, E542X and E545X) has the potential to effectively double the addressable patient population compared to selectivity for only H1047X.</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clinical development plan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RLY-2608-101 Trial is designed to evaluate the safety, tolerability, pharmacokinetics, pharmacodynamics and preliminary antitumor activity, and will consist of two separate arms (</w:t>
      </w:r>
      <w:r>
        <w:rPr>
          <w:rFonts w:ascii="Arial" w:cs="Arial" w:eastAsia="Arial" w:hAnsi="Arial"/>
          <w:sz w:val="17"/>
          <w:szCs w:val="17"/>
          <w:b w:val="1"/>
          <w:bCs w:val="1"/>
          <w:color w:val="auto"/>
        </w:rPr>
        <w:t>Figure 14</w:t>
      </w:r>
      <w:r>
        <w:rPr>
          <w:rFonts w:ascii="Arial" w:cs="Arial" w:eastAsia="Arial" w:hAnsi="Arial"/>
          <w:sz w:val="17"/>
          <w:szCs w:val="17"/>
          <w:color w:val="auto"/>
        </w:rPr>
        <w:t>). The first arm will assess RLY-2608 as a single agent for patients with unresectable or metastatic solid tumors with PI3Kα mutation, while the second arm will evaluate RLY-2608 in combination with fulvestrant for patients with PI3Kα-mutant, HR+, HER2– locally advanced or metastatic breast cancer. Each arm will have two parts, a dose escalation (part 1) to determine the maximum tolerated dose and/or recommended Phase 2 dose, followed by a dose expansion (part 2) to evaluate RLY-2608 in genomically defined populations.</w:t>
      </w:r>
    </w:p>
    <w:p>
      <w:pPr>
        <w:spacing w:after="0" w:line="201"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In the dose expansion part of the trial for RLY-2608 as a single agent, patients with the following unresectable or metastatic solid tumors with a PI3Kα mutation per local assessment will be enrolled in the following groups: (1) clear cell ovarian cancer; (2) head and neck squamous cell carcinoma; (3) cervical cancer; (4) other solid tumors; and (5) unresectable or metastatic solid tumors with PIK3CA double mutations defined as major (E542X, E545X, or H1047X), plus ≥1 additional PI3Kα mutations. In the dose expansion part of the trial for RLY-2608 in combination with fulvestrant, men or postmenopausal women with HR+, HER2– advanced or metastatic breast cancer patients with PI3Kα mutations will be enrolled in the following groups:</w:t>
      </w:r>
    </w:p>
    <w:p>
      <w:pPr>
        <w:spacing w:after="0" w:line="1" w:lineRule="exact"/>
        <w:rPr>
          <w:sz w:val="20"/>
          <w:szCs w:val="20"/>
          <w:color w:val="auto"/>
        </w:rPr>
      </w:pPr>
    </w:p>
    <w:p>
      <w:pPr>
        <w:ind w:right="80" w:firstLine="8"/>
        <w:spacing w:after="0" w:line="243"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patients who have not received prior treatment with a PI3Kα inhibitor; and (2) patients who are intolerant to PI3Kα inhibitors. The RLY-2608-101 Trial is designed to enroll approximately 190 patients between both arms.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5" w:right="339"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b w:val="1"/>
          <w:bCs w:val="1"/>
          <w:color w:val="auto"/>
        </w:rPr>
        <w:t>Figure 14: RLY-2608-101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163195</wp:posOffset>
            </wp:positionV>
            <wp:extent cx="5349240" cy="1929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Excludes PIK3CAmut clear cell OvCA, HNSCC, and Cervical cancer patients.</w:t>
      </w:r>
    </w:p>
    <w:p>
      <w:pPr>
        <w:spacing w:after="0" w:line="11" w:lineRule="exact"/>
        <w:rPr>
          <w:rFonts w:ascii="Arial" w:cs="Arial" w:eastAsia="Arial" w:hAnsi="Arial"/>
          <w:sz w:val="18"/>
          <w:szCs w:val="18"/>
          <w:i w:val="1"/>
          <w:iCs w:val="1"/>
          <w:color w:val="auto"/>
        </w:rPr>
      </w:pPr>
    </w:p>
    <w:p>
      <w:pPr>
        <w:ind w:left="300" w:hanging="292"/>
        <w:spacing w:after="0"/>
        <w:tabs>
          <w:tab w:leader="none" w:pos="30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Double mutation defined as one major PIK3CA mutation (E542X, E545X, H1047X) + ≥1 additional PI3KCA mutation per local assessment.</w:t>
      </w:r>
    </w:p>
    <w:p>
      <w:pPr>
        <w:spacing w:after="0" w:line="7" w:lineRule="exact"/>
        <w:rPr>
          <w:rFonts w:ascii="Arial" w:cs="Arial" w:eastAsia="Arial" w:hAnsi="Arial"/>
          <w:sz w:val="17"/>
          <w:szCs w:val="17"/>
          <w:i w:val="1"/>
          <w:iCs w:val="1"/>
          <w:color w:val="auto"/>
        </w:rPr>
      </w:pPr>
    </w:p>
    <w:p>
      <w:pPr>
        <w:ind w:left="300" w:right="300" w:hanging="292"/>
        <w:spacing w:after="0" w:line="303" w:lineRule="auto"/>
        <w:tabs>
          <w:tab w:leader="none" w:pos="30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Intolerance to PI3Kα inhibitors is defined as treatment discontinuation due to treatment-related adverse event (e.g., hyperglycemia, rash, diarrhea, stomatitis) other than severe hypersensitivity reaction and/or life-threatening reactions, such as anaphylaxis and Stevens-Johnson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19030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RLY-1971, an inhibitor of SHP2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RLY-1971 is an oral, small molecule inhibitor of the protein tyrosine phosphatase SHP2 that binds and stabilizes SHP2 in its inactive conformation. SHP2 promotes cancer cell survival and growth through the RAS pathway by transducing signals downstream from RTKs. Additionally, activating SHP2 mutations result in enhanced signaling in the absence of ligand stimulation and has been identified as oncogenic drivers in a range of tumors. As a critical signaling node and regulator, SHP2 drives cancer cell proliferation and plays a key role in the way cancer cells develop resistance to targeted therapies. We believe that inhibition of SHP2 could block a common path that cancer cells exploit to avoid killing by other antitumor agents, thus overcoming or delaying the onset of resistance to those therapies. We are currently evaluating the safety and tolerability of RLY-1971 in a Phase 1 dose escalation study in patients with advanced or metastatic solid tumors. In December 2020, we entered into the Genentech Agreement, a global collaboration and license agreement with Genentech for the clinical development and commercialization of RLY-1971. In July 2021, Genentech initiated the cohort of RLY-1971 in combination with GDC-6036, its KRAS G12C inhibitor, in a Phase 1b trial. Given the range of cancers that are related to SHP2 dependence, we believe RLY-1971 has the potential to serve as a combination backbone therapy.</w:t>
      </w:r>
    </w:p>
    <w:p>
      <w:pPr>
        <w:spacing w:after="0" w:line="20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estimate there are approximately 38,000 patients annually in the United States with advanced lung cancer or colorectal cancer who might benefit from a combination of RLY-1971 with another targeted inhibitor. In the future, if RLY-1971 advances to earlier lines of combination treatment for lung cancer or colorectal cancer, we believe it could be applied in the treatment of approximately 70,000 patients annually in the United States. The subset of patients with KRAS G12C mutations in lung cancer and colorectal cancer who could potentially benefit from the combination of RLY-1971 with GDC-6036 is approximately 17,000 to 32,000 annually in the United States.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SHP2: A central regulator of cell signaling</w:t>
      </w:r>
    </w:p>
    <w:p>
      <w:pPr>
        <w:spacing w:after="0" w:line="10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SHP2 is a protein tyrosine phosphatase that plays a critical role in the transduction of intracellular signals downstream from RTKs, promoting cell survival and growth through the RAS pathway. SHP2 was the first phosphatase identified as a recurrently mutated oncogene, providing genetic support for the importance of SHP2 activation in promoting cancer. In addition to the central role of SHP2 in RTK signaling, some alterations in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26" w:name="page27"/>
    <w:bookmarkEnd w:id="26"/>
    <w:p>
      <w:pPr>
        <w:ind w:right="120"/>
        <w:spacing w:after="0" w:line="324" w:lineRule="auto"/>
        <w:rPr>
          <w:sz w:val="20"/>
          <w:szCs w:val="20"/>
          <w:color w:val="auto"/>
        </w:rPr>
      </w:pPr>
      <w:r>
        <w:rPr>
          <w:rFonts w:ascii="Arial" w:cs="Arial" w:eastAsia="Arial" w:hAnsi="Arial"/>
          <w:sz w:val="16"/>
          <w:szCs w:val="16"/>
          <w:color w:val="auto"/>
        </w:rPr>
        <w:t>RAS signaling pathway amplify signals transmitted by SHP2 and can therefore be suppressed by SHP2 inhibition. These include specific mutant forms of RAS (KRAS G12C and KRAS G12A), genomic amplification of wild-type KRAS, loss-of-function mutations in NF1, and class 3 mutations in BRAF.</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 key feature of SHP2 as an oncology target is its ability to regulate cell signaling that arises from multiple RTKs (</w:t>
      </w:r>
      <w:r>
        <w:rPr>
          <w:rFonts w:ascii="Arial" w:cs="Arial" w:eastAsia="Arial" w:hAnsi="Arial"/>
          <w:sz w:val="17"/>
          <w:szCs w:val="17"/>
          <w:b w:val="1"/>
          <w:bCs w:val="1"/>
          <w:color w:val="auto"/>
        </w:rPr>
        <w:t>Figure 15</w:t>
      </w:r>
      <w:r>
        <w:rPr>
          <w:rFonts w:ascii="Arial" w:cs="Arial" w:eastAsia="Arial" w:hAnsi="Arial"/>
          <w:sz w:val="17"/>
          <w:szCs w:val="17"/>
          <w:color w:val="auto"/>
        </w:rPr>
        <w:t>). Therapies targeted to these RTKs, and therapies targeting downstream nodes such as PI3K, KRAS and MEK, are often unable to durably inhibit tumor growth because these tumors are able to bypass the targeted RTK and shift growth factor signaling to an alternate RTK, rendering them less sensitive to the targeted therapy. This is generally referred to as bypass resistance. Because SHP2 regulates the activity of multiple RTKs, inhibition of SHP2 is an effective way to overcome bypass resistance as confirmed by cellular and animal model experiments. Indeed, added benefit of SHP2 inhibition has been demonstrated pre-clinically in combination with multiple agents, such as those targeting MEK, KRAS G12C, EGFR, and ALK. We believe our SHP2 inhibitor has the potential to become a commonly used combination partner with multiple targeted therapies including those in our own pipeline.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15: SHP2 regulates the activity of multiple receptor tyrosine kinases (RTKs).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163195</wp:posOffset>
            </wp:positionV>
            <wp:extent cx="4620260" cy="2186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62026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solution, RLY-1971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RLY-1971 is a small molecule inhibitor of SHP2 that binds and stabilizes SHP2 in its inactive conformation.</w:t>
      </w:r>
    </w:p>
    <w:p>
      <w:pPr>
        <w:spacing w:after="0" w:line="212" w:lineRule="exact"/>
        <w:rPr>
          <w:sz w:val="20"/>
          <w:szCs w:val="20"/>
          <w:color w:val="auto"/>
        </w:rPr>
      </w:pPr>
    </w:p>
    <w:p>
      <w:pPr>
        <w:ind w:right="400"/>
        <w:spacing w:after="0" w:line="243" w:lineRule="auto"/>
        <w:rPr>
          <w:sz w:val="20"/>
          <w:szCs w:val="20"/>
          <w:color w:val="auto"/>
        </w:rPr>
      </w:pPr>
      <w:r>
        <w:rPr>
          <w:rFonts w:ascii="Arial" w:cs="Arial" w:eastAsia="Arial" w:hAnsi="Arial"/>
          <w:sz w:val="18"/>
          <w:szCs w:val="18"/>
          <w:color w:val="auto"/>
        </w:rPr>
        <w:t xml:space="preserve">Our preclinical data for RLY-1971 showed minimal inhibition of targets other than SHP2. RLY-1971 has bioavailability suitable for oral dosing, was metabolically stable, and demonstrated favorable pharmacokinetic properties in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We do not predict that RLY-1971 will have significant drug-drug interactions based on weak inhibition of drug metabolizing enzymes. It is readily synthesized in bulk, can be formulated for oral delivery, and was well-tolerated in animal models.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key differentiating features of RLY-1971 from other SHP2 inhibitors in clinical development are:</w:t>
      </w:r>
    </w:p>
    <w:p>
      <w:pPr>
        <w:spacing w:after="0" w:line="104"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Chemical distinctiveness: it is chemically distinct from other SHP2 inhibitors in clinical development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Potency: demonstrated 750 pM IC</w:t>
      </w:r>
      <w:r>
        <w:rPr>
          <w:rFonts w:ascii="Arial" w:cs="Arial" w:eastAsia="Arial" w:hAnsi="Arial"/>
          <w:sz w:val="12"/>
          <w:szCs w:val="12"/>
          <w:color w:val="auto"/>
        </w:rPr>
        <w:t>50</w:t>
      </w:r>
      <w:r>
        <w:rPr>
          <w:rFonts w:ascii="Arial" w:cs="Arial" w:eastAsia="Arial" w:hAnsi="Arial"/>
          <w:sz w:val="18"/>
          <w:szCs w:val="18"/>
          <w:color w:val="auto"/>
        </w:rPr>
        <w:t xml:space="preserve"> inhibition of SHP2 phosphatase in biochemical assays</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Dosing potential: projections of human pharmacokinetics suggest RLY-1971 will be amenable to continuous once daily dosing at relatively low active doses</w:t>
      </w:r>
    </w:p>
    <w:p>
      <w:pPr>
        <w:spacing w:after="0" w:line="198"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Given the role of SHP2 in mediating bypass resistance, we believe that SHP2 inhibitors have significant therapeutic potential when given in combination with other targeted therapies. Due to the increased potency and broader mutational coverage of next-generation targeted therapies, lower rates of on-target resistance have been observed in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7" w:name="page28"/>
    <w:bookmarkEnd w:id="27"/>
    <w:p>
      <w:pPr>
        <w:spacing w:after="0" w:line="243" w:lineRule="auto"/>
        <w:rPr>
          <w:sz w:val="20"/>
          <w:szCs w:val="20"/>
          <w:color w:val="auto"/>
        </w:rPr>
      </w:pPr>
      <w:r>
        <w:rPr>
          <w:rFonts w:ascii="Arial" w:cs="Arial" w:eastAsia="Arial" w:hAnsi="Arial"/>
          <w:sz w:val="18"/>
          <w:szCs w:val="18"/>
          <w:color w:val="auto"/>
        </w:rPr>
        <w:t>the clinic, with a greater number of patients progressing due to bypass resistance. An example of this is seen with EGFR inhibitors, where first-generation inhibitors (erlotinib and gefinitib) have greater on-target resistance compared to a third-generation inhibitor (osimertinib). As SHP2 is involved in signaling for numerous oncogenes, including EGFR, KRAS G12C, ALK and MET, combination therapy with RLY-1971 represents a potential significant therapeutic opportunity.</w:t>
      </w:r>
    </w:p>
    <w:p>
      <w:pPr>
        <w:spacing w:after="0" w:line="21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Consistent with the role of SHP2 in RTK signaling in NSCLC, in our pre-clinical experiments, RLY-1971 demonstrated combination benefit in cell culture experiments when co-administered with inhibitors of MEK, ALK, or EGFR.</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To demonstrate combination benefit with our SHP2 inhibitor in vivo, we combined RLY-1971 with the ALK inhibitor alectinib in an ALK-translocated NSCLC xenograft mouse model (NCIH3122) that was derived in vitro to have reduced sensitivity to ALK inhibition (</w:t>
      </w:r>
      <w:r>
        <w:rPr>
          <w:rFonts w:ascii="Arial" w:cs="Arial" w:eastAsia="Arial" w:hAnsi="Arial"/>
          <w:sz w:val="18"/>
          <w:szCs w:val="18"/>
          <w:b w:val="1"/>
          <w:bCs w:val="1"/>
          <w:color w:val="auto"/>
        </w:rPr>
        <w:t>Figure 16</w:t>
      </w:r>
      <w:r>
        <w:rPr>
          <w:rFonts w:ascii="Arial" w:cs="Arial" w:eastAsia="Arial" w:hAnsi="Arial"/>
          <w:sz w:val="18"/>
          <w:szCs w:val="18"/>
          <w:color w:val="auto"/>
        </w:rPr>
        <w:t>). DNA sequencing did not reveal new ALK mutations in the cell line. Therefore, these cells likely have reduced sensitivity due to a bypass mechanism. The combination of RLY-1971 with alectinib resulted in tumor regressions in all treated animals.</w:t>
      </w:r>
    </w:p>
    <w:p>
      <w:pPr>
        <w:spacing w:after="0" w:line="29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Figure 16: Anti-tumor activity of RLY-1971 and the ALK inhibitor alectinib as single agents or in combination in an ALK translocated NSCLC xenograft mouse model (NCI-H3122) derived in vitro to have reduced sensitivity to ALK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132080</wp:posOffset>
            </wp:positionV>
            <wp:extent cx="4414520" cy="2040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41452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i w:val="1"/>
          <w:iCs w:val="1"/>
          <w:color w:val="auto"/>
        </w:rPr>
        <w:t>Oral administration of RLY-1971 at 30mpk BID in combination with alectinib at 10mpk QD (green) resulted in increased activity compared to alectinib at 10mpk QD (red) or RLY-1971 at 30mpk BID (orange) alone in an ALK translocated NSCLC xenograft model (NCI-H3122) derived in vitro to be less sensitive to ALK inhibition. Data represent waterfall plots of individual end of study tumors, with tumor volume expressed as percent change relative to initial tumor volume. Each animal is represented as a separate bar (number of mice per group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19030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7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to RTK inhibitors, combination benefit for SHP2 inhibition has been demonstrated with other targeted agents including MEK inhibitors and KRAS G12C inhibitors in cancer xenograft models harboring KRAS G12C mutations or KRAS amplifications. The efficacy of direct KRAS G12C inhibition may be limited by adaptive feedback reactivation of the RAS-MAPK pathway through upregulation of multiple RTKs. Activation of these RTKs leads to compensatory activation of wild-type RAS isoforms, which cannot be inhibited by KRAS G12C-specific inhibitors, thus leading to resistance. SHP2 is unique in that it transmits signals from multiple RTKs and is therefore critical in mediating feedback reactivation of the RAS pathway during KRAS G12C inhibition.</w:t>
      </w:r>
    </w:p>
    <w:p>
      <w:pPr>
        <w:spacing w:after="0" w:line="216" w:lineRule="exact"/>
        <w:rPr>
          <w:sz w:val="20"/>
          <w:szCs w:val="20"/>
          <w:color w:val="auto"/>
        </w:rPr>
      </w:pPr>
    </w:p>
    <w:p>
      <w:pPr>
        <w:jc w:val="both"/>
        <w:ind w:right="220"/>
        <w:spacing w:after="0" w:line="294" w:lineRule="auto"/>
        <w:rPr>
          <w:sz w:val="20"/>
          <w:szCs w:val="20"/>
          <w:color w:val="auto"/>
        </w:rPr>
      </w:pPr>
      <w:r>
        <w:rPr>
          <w:rFonts w:ascii="Arial" w:cs="Arial" w:eastAsia="Arial" w:hAnsi="Arial"/>
          <w:sz w:val="16"/>
          <w:szCs w:val="16"/>
          <w:color w:val="auto"/>
        </w:rPr>
        <w:t>Consistent with these observations, RLY-1971 demonstrated in vivo combination benefit with the KRAS G12C specific inhibitor AMG-510 in a KRAS G12C lung cancer xenograft model (</w:t>
      </w:r>
      <w:r>
        <w:rPr>
          <w:rFonts w:ascii="Arial" w:cs="Arial" w:eastAsia="Arial" w:hAnsi="Arial"/>
          <w:sz w:val="16"/>
          <w:szCs w:val="16"/>
          <w:b w:val="1"/>
          <w:bCs w:val="1"/>
          <w:color w:val="auto"/>
        </w:rPr>
        <w:t>Figure 17</w:t>
      </w:r>
      <w:r>
        <w:rPr>
          <w:rFonts w:ascii="Arial" w:cs="Arial" w:eastAsia="Arial" w:hAnsi="Arial"/>
          <w:sz w:val="16"/>
          <w:szCs w:val="16"/>
          <w:color w:val="auto"/>
        </w:rPr>
        <w:t>). Specifically, the combination resulted in regression in all animals, whereas each single agent resulted in more modest activity at the doses that were tested. These results suggest that SHP2 inhibition abrogates compensatory RAS-MAPK pathway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8" w:name="page29"/>
    <w:bookmarkEnd w:id="28"/>
    <w:p>
      <w:pPr>
        <w:ind w:right="100"/>
        <w:spacing w:after="0" w:line="262" w:lineRule="auto"/>
        <w:rPr>
          <w:sz w:val="20"/>
          <w:szCs w:val="20"/>
          <w:color w:val="auto"/>
        </w:rPr>
      </w:pPr>
      <w:r>
        <w:rPr>
          <w:rFonts w:ascii="Arial" w:cs="Arial" w:eastAsia="Arial" w:hAnsi="Arial"/>
          <w:sz w:val="17"/>
          <w:szCs w:val="17"/>
          <w:color w:val="auto"/>
        </w:rPr>
        <w:t>activation during KRAS G12C inhibition. Molecular characterization of phosphorylated-ERK, or pERK, a downstream marker of RAS-MAPK pathway activity, supports this conclusion. In vitro, the combination of RLY-1971 and the KRAS G12C -specific inhibitor ARS-1620 was able to fully suppress pERK in this model, while each inhibitor individually only partially suppressed pERK. Based on these data, we believe that the combination of RLY-1971 with KRAS G12C -specific inhibitors warrants clinical studies in patients with tumors harboring KRAS G12C mutations.</w:t>
      </w:r>
    </w:p>
    <w:p>
      <w:pPr>
        <w:spacing w:after="0" w:line="27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Figure 17: RLY-1971 and the KRAS G12C-specific inhibitor AMG-510 demonstrated synergy when used in combination in the KRAS G12C NCI-H358 lung cancer cell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132080</wp:posOffset>
            </wp:positionV>
            <wp:extent cx="2880360" cy="254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8036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In vivo combination benefit of RLY-1971 and the KRAS G12C-specific inhibitor AMG-510. Anti-tumor activity of the SHP2 inhibitor RLY-1971 dosed twice daily (BID) by oral administration at 30 mpk and the KRAS G12C inhibitor AMG-510 dosed once daily (QD) by oral administration at 10 mpk in the KRAS G12C mutant NSCLC xenograft model NCIH358. Treatment with the combination resulted in regression in all animals. Data represent waterfall plots of individual end of study tumors, with tumor volume expressed as percentage change relative to initial tumor volume. Each animal is represented as a separate bar (number of mice per group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19030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6" w:lineRule="exact"/>
        <w:rPr>
          <w:sz w:val="20"/>
          <w:szCs w:val="20"/>
          <w:color w:val="auto"/>
        </w:rPr>
      </w:pPr>
    </w:p>
    <w:p>
      <w:pPr>
        <w:ind w:right="780"/>
        <w:spacing w:after="0" w:line="291" w:lineRule="auto"/>
        <w:rPr>
          <w:sz w:val="20"/>
          <w:szCs w:val="20"/>
          <w:color w:val="auto"/>
        </w:rPr>
      </w:pPr>
      <w:r>
        <w:rPr>
          <w:rFonts w:ascii="Arial" w:cs="Arial" w:eastAsia="Arial" w:hAnsi="Arial"/>
          <w:sz w:val="17"/>
          <w:szCs w:val="17"/>
          <w:color w:val="auto"/>
        </w:rPr>
        <w:t>In addition to the therapeutic opportunity associated with combining with other targeted therapies, we believe RLY-1971 has the potential to be a combination partner with the product candidates in our own precision oncology portfolio, RLY-4008 and RLY-2608.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clinical development plan</w:t>
      </w:r>
    </w:p>
    <w:p>
      <w:pPr>
        <w:spacing w:after="0" w:line="104"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We initiated a Phase 1 clinical trial for RLY-1971 in patients with advanced solid tumors in the first quarter of 2020 with the primary objectives being to determine the maximum tolerated dose (MTD)/recommended Phase 2 dose (RP2D), and to define the overall safety profile of RLY-1971. The secondary objectives were to assess the pharmacokinetics, pharmacodynamics, and to explore preliminary anti-tumor activity of RLY-1971. Patients received RLY-1971 administered orally, once daily. Once daily oral dosing was selected based on projected human pharmacokinetics and exposures calculated from multi-species pharmacokinetics and allometric scaling.</w:t>
      </w:r>
    </w:p>
    <w:p>
      <w:pPr>
        <w:spacing w:after="0" w:line="21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December 2020, we entered into the Genentech Agreement with Genentech for the development and commercialization of RLY-1971. Pursuant to the Genentech Agreement, development for RLY-1971 is governed by a joint development team between us and Genentech. In July 2021, Genentech initiated the cohort of RLY-1971 in combination with GDC-6036, its KRAS G12C inhibitor, in a Phase 1b trial.</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Our Discovery Programs</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are deploying our Dynamo platform to advance three additional discovery-stage precision oncology programs. As with our lead programs, these programs leverage insights into protein conformational dynamics to address high-value, genetically validated oncogenes that previously have been intractable to, or inadequately addressed by, conventional drug-discovery approaches. We are also leveraging the power of our Dynamo platform to address genetically validated targets in monogenic diseases with two discovery-stage programs, where genetic alterations lead to disease-causing defects in protein conformational dynamics. We have also started work on an undisclosed program pursuant to our discovery collaboration agreement with EQRx to discover, develop, and commercialize novel medicines against validated oncology targets.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The biotechnology and pharmaceutical industries are characterized by rapid innovation of new technologies, fierce competition and strong defense of intellectual property. While we believe that our platform and our knowledge, experience and scientific resources provide us with competitive advantages, we face competition from major pharmaceutical and biotechnology companies, academic institutions, governmental agencies and public and private research institutions, among others.</w:t>
      </w:r>
    </w:p>
    <w:p>
      <w:pPr>
        <w:spacing w:after="0" w:line="215"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We compete in the segments of the pharmaceutical, biotechnology, and other related markets that address experimentally and computationally driven structure-based drug design in cancer and genetic diseases. There are other companies focusing on structure-based drug design to develop therapies in the fields of cancer and other diseases. These companies include divisions of large pharmaceutical companies and biotechnology companies of various sizes. Any product candidates that we successfully develop and commercialize will compete with currently approved therapies and new therapies that may become available in the future from segments of the pharmaceutical, biotechnology and other related markets that pursue precision medicines. Key product features that would affect our ability to effectively compete with other therapeutics include the efficacy, safety and convenience of our products.</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believe principal competitive factors to our business include, among other things, the rich protein structural data sets we are able to generate, the power and accuracy of our computations and predictions, ability to integrate experimental and computational capabilities, ability to successfully transition research programs into clinical development, ability to raise capital, and the scalability of the platform, pipeline, and business.</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While there are many pharmaceutical and biotechnology companies that use some of the same tools that we use in our platform, we believe we compete favorably on the basis of these factors. The effort and investment required to develop a highly integrated experimental and computational platform similar to ours will hinder new entrants that are unable to invest the necessary capital and time and lack the breadth and depth of technical expertise required to develop competing capabilities. Our ability to remain competitive will largely depend on our ability to continue to augment our integrated experimental and computational platform and demonstrate success in our drug discovery efforts.</w:t>
      </w:r>
    </w:p>
    <w:p>
      <w:pPr>
        <w:spacing w:after="0" w:line="20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we will need to develop our product candidates in collaboration with diagnostic companies, and we will face competition from other companies in establishing these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21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Furthermore, we also face competition more broadly across the market for cost-effective and reimbursable cancer treatments. The most common methods of treating patients with cancer are surgery, radiation and drug therapy,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0" w:name="page31"/>
    <w:bookmarkEnd w:id="30"/>
    <w:p>
      <w:pPr>
        <w:ind w:right="40"/>
        <w:spacing w:after="0" w:line="253" w:lineRule="auto"/>
        <w:rPr>
          <w:sz w:val="20"/>
          <w:szCs w:val="20"/>
          <w:color w:val="auto"/>
        </w:rPr>
      </w:pPr>
      <w:r>
        <w:rPr>
          <w:rFonts w:ascii="Arial" w:cs="Arial" w:eastAsia="Arial" w:hAnsi="Arial"/>
          <w:sz w:val="17"/>
          <w:szCs w:val="17"/>
          <w:color w:val="auto"/>
        </w:rPr>
        <w:t>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RLY-4008</w:t>
      </w:r>
    </w:p>
    <w:p>
      <w:pPr>
        <w:spacing w:after="0" w:line="104"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While there are currently no approved products that selectively target FGFR2, we are aware of other companies developing therapeutics that selectively target FGFR2, including, but not limited to, Five Prime Therapeutics and Russian Pharmaceutical Technologies. Specifically, we expect RLY-4008 to compete with approved development stage non-selective inhibitors of the FGFR receptor family that are being tested in patients with FGFR2 alterations, including but not limited to, Incyte Corporation (pemigatinib), QED Therapeutics &amp; Helsinn Group (infigratinib), Basilea Pharmaceutica AG (derazantinib), Janssen Pharmaceuticals, Inc. (erdafitinib), Otsuka Holdings Co., Ltd. through its subsidiary Taiho Pharmaceutical Co., Ltd. (futibatinib), Debiopharm Group (zoligratinib), Eisai Co., Ltd. (tasurgratinib), InnoCare Pharma Limited (gunagratinib), and Kinnate BioPharma (KIN-3248).</w:t>
      </w:r>
    </w:p>
    <w:p>
      <w:pPr>
        <w:spacing w:after="0" w:line="18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development of RLY-4008 focuses on solid tumor patients with FGFR2 alterations, including ICC patients harboring FGFR2 gene fusions. While there are no approved systemic therapies for ICC, the current standard of care for unresectable or metastatic patients is first-line gemcitabine/cisplatin chemotherapy. In addition, there are other companies developing potentially competitive drug candidates in ICC including, but not limited to, Merck &amp; Co, Astrazeneca plc, Merck KGaA, and NuCana plc.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RLY-2608 and Mutant-PI3K</w:t>
      </w:r>
      <w:r>
        <w:rPr>
          <w:rFonts w:ascii="Arial" w:cs="Arial" w:eastAsia="Arial" w:hAnsi="Arial"/>
          <w:sz w:val="18"/>
          <w:szCs w:val="18"/>
          <w:b w:val="1"/>
          <w:bCs w:val="1"/>
          <w:color w:val="auto"/>
        </w:rPr>
        <w:t>α</w:t>
      </w:r>
      <w:r>
        <w:rPr>
          <w:rFonts w:ascii="Arial" w:cs="Arial" w:eastAsia="Arial" w:hAnsi="Arial"/>
          <w:sz w:val="18"/>
          <w:szCs w:val="18"/>
          <w:b w:val="1"/>
          <w:bCs w:val="1"/>
          <w:i w:val="1"/>
          <w:iCs w:val="1"/>
          <w:color w:val="auto"/>
        </w:rPr>
        <w:t xml:space="preserve"> Inhibitor Program</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expect that RLY-2608, and our mutant-selective PI3Kα inhibitor program generally, will compete against an approved drug, Piqray (alpelisib), a non-selective PI3Kα inhibitor marketed by Novartis for the treatment of PI3Kα mutated breast cancer. We are aware of other companies developing therapeutics that target both wild-type and mutant PI3Kα, including, but not limited to, Roche Holding AG through its subsidiary Genentech, Menarini Group, Luoxin Pharma and Shanghai HaiHe Pharma Co. Loxo Oncology, a subsidiary of Eli Lilly and Company, as well as Scorpion Therapeutics, also have a preclinical development program for mutant-selective PI3Kα inhibitors.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RLY-1971</w:t>
      </w:r>
    </w:p>
    <w:p>
      <w:pPr>
        <w:spacing w:after="0" w:line="10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While there are currently no approved products targeting SHP2, we are aware of other companies in clinical trials developing therapeutics that target SHP2, including, but not limited to, Revolution Medicines in partnership with Sanofi S.A., Novartis International AG, Navire Pharma, Inc., Erasca, Inc. Jacobio Pharmaceuticals, Inc. in partnership with AbbVie Inc, Erasca Inc, Pfizer Inc, and InnoCare Pharma Limited.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License Agreements and Strategic Collaborations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License Agreement with D. E. Shaw Research, LLC</w:t>
      </w:r>
    </w:p>
    <w:p>
      <w:pPr>
        <w:spacing w:after="0" w:line="104"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Our key computational collaboration is with D. E. Shaw Research, LLC, or D. E. Shaw Research, a computational biochemistry research firm operating under the scientific leadership of Dr. David E. Shaw, which has developed proprietary software and hardware to perform long timescale molecular dynamics simulations. Through an affiliate, D. E. Shaw Research is also one of our investors. We collaborate with D. E. Shaw Research scientists to research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 w:name="page32"/>
    <w:bookmarkEnd w:id="31"/>
    <w:p>
      <w:pPr>
        <w:ind w:right="300"/>
        <w:spacing w:after="0" w:line="262" w:lineRule="auto"/>
        <w:rPr>
          <w:sz w:val="20"/>
          <w:szCs w:val="20"/>
          <w:color w:val="auto"/>
        </w:rPr>
      </w:pPr>
      <w:r>
        <w:rPr>
          <w:rFonts w:ascii="Arial" w:cs="Arial" w:eastAsia="Arial" w:hAnsi="Arial"/>
          <w:sz w:val="17"/>
          <w:szCs w:val="17"/>
          <w:color w:val="auto"/>
        </w:rPr>
        <w:t>certain protein targets on an exclusive basis, with a focus on the dynamic behavior of proteins, through the use of D. E. Shaw Research’s computational modeling capabilities, such as the Anton 2 supercomputer and proprietary algorithms and software developed specifically by D. E. Shaw Research for processing long timescale molecular dynamics simulations. Our scientists work closely with D. E. Shaw Research scientists on each of our programs, especially in the discovery stage as we develop motion-based hypotheses and identify lead compounds.</w:t>
      </w:r>
    </w:p>
    <w:p>
      <w:pPr>
        <w:spacing w:after="0" w:line="172"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On June 15, 2020, we entered into an Amended and Restated Collaboration and License Agreement with D. E. Shaw Research, extending the term and otherwise modifying the terms of a Collaboration and License Agreement originally entered into on August 17, 2016, as amended. We refer to this amended and restated agreement as the DESRES Agreement. Under the DESRES Agreement, we agreed to collaborate with D. E. Shaw Research to research certain biological targets through the use of D. E. Shaw Research computational modeling capabilities focused on analysis of protein motion, with an aim to develop and commercialize compounds and products directed to such targets. After completing the computational modeling with D. E. Shaw Research and naming a compound development candidate, we develop and commercialize such compounds and products. D. E. Shaw Research has no involvement with the clinical development or potential commercialization of these compounds and products, regardless of any co-ownership rights pursuant to the terms of the DESRES Agreement, and instead receives solely milestone and royalty payments as described below.</w:t>
      </w:r>
    </w:p>
    <w:p>
      <w:pPr>
        <w:spacing w:after="0" w:line="168"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Under the DESRES Agreement, there are three categories of targets: Category 1 Targets, Category 2 Targets and Category 3 Targets. We and D. E. Shaw Research agreed on a list of Category 1 Targets and Category 2 Targets as part of the DESRES Agreement. Category 1 Targets are targets that, among other things, we collaborate on with D. E. Shaw Research, D. E. Shaw Research has exclusivity obligations with respect to, and we may owe royalties on; Category 2 Targets are targets in connection with the potential re-categorization of which into a Category 1 Target, we may, among other things, perform in vitro non-clinical research and development (but not in vivo non-clinical development, clinical development or commercialization), and Category 3 Targets are all targets other than Category 1 Targets and Category 2 Targets. There are mechanisms for re-categorizing targets, and we and D. E. Shaw Research have re-categorized a number of targets since we entered into the collaboration. Our rights and obligations, and D. E. Shaw Research’s rights and obligations, with respect to targets vary by the category of each target. However, the parties only conduct collaborative activities together for Category 1 Targets, and we are limited to a maximum of thirteen Category 1 Targets in the current collaboration year (with such number potentially changing from year to year, with any increase in such number of targets subject to the collaboration in each collaboration year capped at four more than the highest number of such targets in the previous year). The sum of the number of Category 1 Targets and the number of Category 2 Targets is capped at twenty, in any event. The targets associated with all of our current programs in clinical development are Category 1 Targets under the DESRES Agreement.</w:t>
      </w:r>
    </w:p>
    <w:p>
      <w:pPr>
        <w:spacing w:after="0" w:line="171"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Work product that is jointly developed with D. E. Shaw Research is initially co-owned with them. Specifically, intellectual property rights covering the composition of matter for RLY-1971 are currently co-owned by D. E. Shaw Research and us under this arrangement. We have the right to have patents claiming certain product candidates (including one claiming RLY-1971) assigned to us upon issuance of those patents. Although other compounds in our FGFR2 and PI3Kα programs were jointly conceived with D. E. Shaw Research, RLY-4008 and RLY-2608 were conceived solely by Relay Therapeutics inventors. For each Category 1 Target there is a limit of up to 10 core compounds and a total of 500 compounds including derivatives of those core compounds that can be designated as solely owned by us, provided that if D. E. Shaw Research provides us with notice that certain compounds cannot be designated as solely owned by us due to concerns in respect of a Category 3 Target, then the limit on Category 1 Target core compounds will increase by one and the limit on total compounds will increase by fifty, but subject to a maximum of 15 and 750, respectively, for each Category 1 Target. Each of we and D. E. Shaw Research grants to the other a perpetual, irrevocable, non-exclusive license for jointly held intellectual property, subject to certain exclusions.</w:t>
      </w:r>
    </w:p>
    <w:p>
      <w:pPr>
        <w:spacing w:after="0" w:line="18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During the initial research term, which is expected to last until August 2025, unless extended by mutual agreement, D. E. Shaw Research will not, and will cause its subsidiaries not to, research any Category 1 Target (or grant certain rights with respect to such target) with the aim of pursuing any compound designed to interact with or bind to such Category 1 Target, subject to some exceptions. Following the end of the initial research term, D. E. Shaw Research will not, and will cause its subsidiaries not to, research a Category 1 Target (or grant certain rights with respect to such target) with the aim of pursuing any compound designed to interact with or bind to any target that was 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2" w:name="page33"/>
    <w:bookmarkEnd w:id="32"/>
    <w:p>
      <w:pPr>
        <w:ind w:right="60"/>
        <w:spacing w:after="0" w:line="259" w:lineRule="auto"/>
        <w:rPr>
          <w:sz w:val="20"/>
          <w:szCs w:val="20"/>
          <w:color w:val="auto"/>
        </w:rPr>
      </w:pPr>
      <w:r>
        <w:rPr>
          <w:rFonts w:ascii="Arial" w:cs="Arial" w:eastAsia="Arial" w:hAnsi="Arial"/>
          <w:sz w:val="17"/>
          <w:szCs w:val="17"/>
          <w:color w:val="auto"/>
        </w:rPr>
        <w:t>Category 1 Target at the end of the initial research term, subject to some exceptions. D. E. Shaw Research will not be bound by such exclusivity provisions with respect to a particular Category 1 Target if we, and parties acting on our behalf, stop using commercially reasonable efforts to research, develop or commercialize any products against such Category 1 Target. Further, D. E. Shaw Research will be released from such exclusivity obligations with respect to a particular Category 1 Target if, at least 24 months after the end of the initial research term, D. E. Shaw Research informs us that D. E. Shaw Research will forgo all future payments with respect to such Category 1 Target.</w:t>
      </w:r>
    </w:p>
    <w:p>
      <w:pPr>
        <w:spacing w:after="0" w:line="174"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During the initial research term, neither D. E. Shaw Research nor we will, and we will each cause our subsidiaries not to, research a Category 2 Target (or grant certain rights with respect to such target) with the aim of pursuing any compound designed to interact with or bind to such Category 2 Target, subject to some exceptions. These exclusivity restrictions do not extend past the initial research term.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There is no exclusivity with respect to Category 3 Targets.</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Through December 31, 2021, we have made cash payments to D. E. Shaw Research totaling $24.2 million in the aggregate. On a product-by-product basis, we have also agreed to pay D. E. Shaw Research milestone payments upon the achievement of certain development and regulatory milestone events for products we develop under the DESRES Agreement that are directed to a Category 1 Target or any target that was a Category 1 Target. Our SHP2, FGFR2 and PI3K programs are each directed to Category 1 Targets. Such payments for achievement of development and regulatory milestones total up to $7.3 million in the aggregate for each of the first three products we develop, and up to $6.3 million in the aggregate for each product we develop after the first three.</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Additionally, we have agreed to pay D. E. Shaw Research, on a product-by-product basis, with respect to products directed to Category 1 Targets or any target that was a Category 1 Target, royalties in the low single digits on worldwide net sales of products that we commercialize directed to the targets selected for development under the DESRES Agreement, subject to certain reductions. Royalties are payable on a product-by-product and country-by-country basis until the later of twelve years after first commercial sale in such country or the expiration of all applicable regulatory exclusivities in such country. On a product-by-product basis, we also agreed to pay D. E. Shaw Research sales milestone payments up to $36.0 million in the aggregate based on sales of each product directed to a Category 1 Target or any target that was a Category 1 Target. Further, if we enter into transactions granting third parties</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rights to a Category 1 Target or a compound or product directed to a Category 1 Target or any target that was a Category 1 Target. such as our collaboration with Genentech for RLY-1971 discussed below, but subject to certain exclusions, we will share with D. E. Shaw Research a percentage of the proceeds of such transactions ranging from the low- to high-single digits, depending on the stage of development of compounds or products directed to such target at the time we enter into such transaction. We also initially agreed to pay D. E. Shaw Research an annual collaboration fee of $7.9 million in August of each year during the initial research term, and such fee was increased by mutual agreement of the parties to $9.9 million in May of 2021. Such increased fee is payable each year between 2021 and 2025.</w:t>
      </w:r>
    </w:p>
    <w:p>
      <w:pPr>
        <w:spacing w:after="0" w:line="186"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Unless earlier terminated, the DESRES Agreement will continue at least until the end of the initial research term and thereafter on a target-by-target basis until all payment obligations have expired. D. E. Shaw Research has the right to terminate the DESRES Agreement due to non-payment. We and D. E. Shaw Research each have the right to terminate the DESRES Agreement due to an uncured material breach by the other party, or in the event the other party becomes insolvent or enters into bankruptcy or dissolution proceedings. Our payment obligations to D. E. Shaw Research survive termination of the DESRES Agreement. If D. E. Shaw Research terminates the DESRES Agreement, the exclusivity obligations will terminate. If we terminate the DESRES Agreement, D. E. Shaw Research remains bound by its exclusivity obligations with respect to certain targets until, on a target-by-target basis, there are no further payment obligations due to D. E. Shaw Research in respect of such targets.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License Agreement with Genentech</w:t>
      </w:r>
    </w:p>
    <w:p>
      <w:pPr>
        <w:spacing w:after="0" w:line="10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On December 11, 2020, we entered into a Collaboration and License Agreement with Genentech, Inc. and F. Hoffmann-La Roche Ltd, collectively referred to as Genentech. We refer to this agreement as the Genentech Agreement. Pursuant to the Genentech Agreement, we and Genentech will collaborate on the development and commercialization of RLY-1971.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3" w:name="page34"/>
    <w:bookmarkEnd w:id="33"/>
    <w:p>
      <w:pPr>
        <w:ind w:right="180"/>
        <w:spacing w:after="0" w:line="243" w:lineRule="auto"/>
        <w:rPr>
          <w:sz w:val="20"/>
          <w:szCs w:val="20"/>
          <w:color w:val="auto"/>
        </w:rPr>
      </w:pPr>
      <w:r>
        <w:rPr>
          <w:rFonts w:ascii="Arial" w:cs="Arial" w:eastAsia="Arial" w:hAnsi="Arial"/>
          <w:sz w:val="18"/>
          <w:szCs w:val="18"/>
          <w:color w:val="auto"/>
        </w:rPr>
        <w:t>Unless Genentech elects to exercise its option to conduct the remainder of the ongoing Phase 1a clinical trial for RLY-1971, we will complete this trial. Genentech will be responsible for conducting all subsequent clinical development of RLY-1971, including in any combination trials with Genentech’s compound, GDC-6036, that directly binds to and inhibits KRAS G12C, or other compounds. In July 2021, Genentech initiated the cohort of RLY-1971 in combination with GDC-6036 in a Phase 1b trial.</w:t>
      </w:r>
    </w:p>
    <w:p>
      <w:pPr>
        <w:spacing w:after="0" w:line="188"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color w:val="auto"/>
        </w:rPr>
        <w:t>We retain the right to develop RLY-1971 or certain other small molecule inhibitors of SHP2 developed under the Genentech Agreement, or a Licensed Candidate, or pharmaceutical product containing a Licensed Candidate, or a Licensed Product, in combination with any of our compounds targeting FGFR2, including RLY-4008, or PI3Kα, including RLY-2608, which we refer to as a Relay Combination Product. If we opt into the Profit/Cost Share described below, Genentech may share the development costs of any clinical trial for a Relay Combination Product.</w:t>
      </w:r>
    </w:p>
    <w:p>
      <w:pPr>
        <w:spacing w:after="0" w:line="17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Genentech has the sole right and responsibility to commercialize Licensed Products, in any and all combinations, except that we have the right to co-promote a Licensed Product solely as part of our commercialization of Relay Combination Products. Genentech will be solely responsible for all regulatory matters for all Licensed Candidates and Licensed Products after the assignment by us to Genentech of all related regulatory materials, including the investigational new drug, or IND, application for the Phase 1a Trial, other than with respect to Relay Combination Products.</w:t>
      </w:r>
    </w:p>
    <w:p>
      <w:pPr>
        <w:spacing w:after="0" w:line="17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Under the terms of the Genentech Agreement, we have received $75.0 million in an upfront payment, $20.0 million in milestone payments and are eligible to receive $5.0 million in additional near-term payments.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have the option, exercisable one time in our sole discretion, to fund half of the development costs of RLY-1971 in the United States and share half of the net profits or net loss of commercializing RLY-1971 in the United States, which we refer to as the Profit/Cost Share. If we opt into the Profit/Cost Share, we will also be eligible to receive up to an aggregate of an additional $410.0 million upon the achievement of specified commercialization and sales-based milestones for RLY-1971 outside of the United States and tiered royalties ranging from low-to-mid teens on annual net sales of RLY-1971 outside of the United States, on a country-by-country basis, subject to reduction in certain circumstances. At any time prior to the third anniversary of the first commercial sale of RLY-1971 in the United States, we may elect to opt-out of further participation in the Profit/Cost Share. If we elect to opt-out, then Genentech’s milestone and royalty payment obligations will revert to the financial terms that would be applicable if we had not opted into the Profit/Cost Share as described below as of the effective opt-out date, with certain adjustments.</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If we do not opt into the Profit/Cost Share, Genentech will be responsible for all development costs of RLY-1971 other than the costs incurred by us for the ongoing Phase 1a trial of RLY-1971, and we will be eligible to receive up to an aggregate of an additional $695.0 million upon the achievement of specified development, commercialization and sales-based milestones for RLY-1971 worldwide. We will also be eligible to receive tiered royalties ranging from low-to-mid teens on annual worldwide net sales of RLY-1971, on a country-by-country basis, subject to reduction in certain circumstances.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regulatory approval of both RLY-1971 and GDC-6036 in combination, we are eligible to receive additional royalties.</w:t>
      </w:r>
    </w:p>
    <w:p>
      <w:pPr>
        <w:spacing w:after="0" w:line="21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Under the Genentech Agreement, we granted an exclusive, worldwide, royalty-bearing license to Genentech, with the right to sublicense, to develop and commercialize RLY-1971. Between the parties, Genentech has the first right, but not the obligation, to file, prosecute and maintain any patents licensed to it pursuant to the Genentech Agreement, as well as to enforce infringement of or defend claims against such patents that relate to Licensed Candidates and Licensed Products. The parties will share any liabilities or damages arising from the enforcement of such patents or any third-party patent claims.</w:t>
      </w:r>
    </w:p>
    <w:p>
      <w:pPr>
        <w:spacing w:after="0" w:line="15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Other than with respect to Relay Combination Products and other activities in accordance with the Genentech Agreement, we may not, directly or indirectly, conduct any activities related to the research, development, manufacture or commercialization of any SHP2 inhibitor. During the first three years of the term of the Genentech Agreement, Genentech will cause its research and early development organization not to sponsor or conduct a registrational trial for a SHP2 inhibitor other than a Licensed Product.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spacing w:after="0" w:line="239" w:lineRule="auto"/>
        <w:rPr>
          <w:sz w:val="20"/>
          <w:szCs w:val="20"/>
          <w:color w:val="auto"/>
        </w:rPr>
      </w:pPr>
      <w:r>
        <w:rPr>
          <w:rFonts w:ascii="Arial" w:cs="Arial" w:eastAsia="Arial" w:hAnsi="Arial"/>
          <w:sz w:val="18"/>
          <w:szCs w:val="18"/>
          <w:color w:val="auto"/>
        </w:rPr>
        <w:t>Unless earlier terminated, the Genentech Agreement will remain in effect until the later of the date on which Genentech is no longer developing or commercializing RLY-1971 in the United States if we have opted into the Profit/Cost Share and have not subsequently opted-out, or the expiration of all Genentech’s royalty payment obligations to us. The parties may terminate the Genentech Agreement for the other party’s material breach or insolvency or, on a country-by-country basis, the failure to obtain merger control under applicable antitrust laws. Additionally, Genentech may terminate the Genentech Agreement for convenience, and we may terminate the Genentech Agreement for certain patent challenges by Genentech or if Genentech has not conducted any research, development, manufacturing or commercialization activities with respect to any Licensed Candidate or Licensed Product for a specified period.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Collaborations</w:t>
      </w:r>
    </w:p>
    <w:p>
      <w:pPr>
        <w:spacing w:after="0" w:line="30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While we have invested extensively in our in-house capabilities and know-how, we selectively work with key collaborators and field experts on certain emerging experimental and computational tools and techniques we use in our drug discovery process. Most of our experimental collaborations are focused on the technologies we use to visualize protein structure at the atomic level.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seek to protect the intellectual property and proprietary technology that we consider important to our business, including by pursuing patent applications that cover our product candidates and methods of using the same, as well as any other relevant inventions and improvements that we believe to be commercially important to the development of our business. We also rely on trade secrets, know-how and continuing technological innovation to develop and maintain our proprietary and intellectual property position. Our commercial success depends, in part, on our ability to obtain, maintain, enforce and protect our intellectual property and other proprietary rights for the technology, inventions and improvements we consider important to our business, and to defend any patents we may own or in-license in the future, prevent others from infringing any patents we may own or in-license in the future, preserve the confidentiality of our trade secrets, and operate without infringing, misappropriating or otherwise violating the valid and enforceable patents and proprietary rights of third parties.</w:t>
      </w:r>
    </w:p>
    <w:p>
      <w:pPr>
        <w:spacing w:after="0" w:line="1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with other biotechnology and pharmaceutical companies, our ability to maintain and solidify our proprietary and intellectual property position for our product candidates and technologies will depend on our success in obtaining effective patent claims and enforcing those claims if granted. However, our pending provisional and PCT patent applications, and any patent applications that we may in the future file or license from third parties, may not result in the issuance of patents and any issued patents we may obtain do not guarantee us the right to practice our technology or commercialize our product candidates. We also cannot predict the breadth of claims that may be allowed or enforced in any patents we may own or in-license in the future. Any issued patents that we currently own or may own or in-license in the future may be challenged, invalidated, circumvented or have the scope of their claims narrowed.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the protection such patent would afford the respective product and any competitive advantage such patent may provide.</w:t>
      </w:r>
    </w:p>
    <w:p>
      <w:pPr>
        <w:spacing w:after="0" w:line="188"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term of individual patents depends upon the date of filing of the patent application, the date of patent issuance and the legal term of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expiring patent. The term of a patent claiming a new drug product may also be eligible for a limited patent term extension when FDA approval is granted, provided statutory and regulatory requirements are met.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The restoration period cannot be longer than five years, and the restoration period may not extend the patent term beyond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spacing w:after="0" w:line="270" w:lineRule="auto"/>
        <w:rPr>
          <w:sz w:val="20"/>
          <w:szCs w:val="20"/>
          <w:color w:val="auto"/>
        </w:rPr>
      </w:pPr>
      <w:r>
        <w:rPr>
          <w:rFonts w:ascii="Arial" w:cs="Arial" w:eastAsia="Arial" w:hAnsi="Arial"/>
          <w:sz w:val="16"/>
          <w:szCs w:val="16"/>
          <w:color w:val="auto"/>
        </w:rPr>
        <w:t>14 years from the date of FDA approval.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 In the future, if our product candidates receive approval by the FDA, we expect to apply for patent term extensions on one issued patent covering each of those products, depending upon the length of the clinical studies for each product and other factors. There can be no assurance that patents will issue from our current or future pending patent applications, or that we will benefit from any patent term extension or favorable adjustments to the terms of any patents we may own or in-license in the future. In addition,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The patent term may be inadequate to protect our competitive position on our products for an adequate amount of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RLY-4008</w:t>
      </w:r>
    </w:p>
    <w:p>
      <w:pPr>
        <w:spacing w:after="0" w:line="104"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As of December 31, 2021, we co-owned with D. E. Shaw Research pending U.S. and foreign patent applications, which relate to our FGFR2 inhibitors. Any U.S. or foreign patents that may issue from this patent family, if granted and all appropriate maintenance fees paid, would be scheduled to expire in 2040, excluding any additional term for patent term adjustment or patent term extension, if applicable.</w:t>
      </w:r>
    </w:p>
    <w:p>
      <w:pPr>
        <w:spacing w:after="0" w:line="18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As of December 31, 2021, we wholly owned a pending U.S. patent application, a pending PCT patent application, and a pending foreign patent application, relating to RLY-4008 salts composition of matter, methods of treatment, solid forms and methods of manufacture. Any U.S. or foreign patents that may issue from this patent family, if granted and all appropriate maintenance fees paid, would be scheduled to expire in 2041, excluding any additional term for patent term adjustment or patent term extension, if applicable.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RLY-2608</w:t>
      </w:r>
    </w:p>
    <w:p>
      <w:pPr>
        <w:spacing w:after="0" w:line="104"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As of December 31, 2021, we co-owned with D.E. Shaw Research a pending PCT application, and pending foreign patent applications, covering our PI3K program, which are directed to the composition of matter for the drug candidates of the program, analogs thereof, as well as methods of making and using these compounds. Any U.S. or foreign patents that may issue from this patent family, if granted and all appropriate maintenance fees paid, would be scheduled to expire in 2041, excluding any additional term for patent term adjustment or patent term extension, if applicable.</w:t>
      </w:r>
    </w:p>
    <w:p>
      <w:pPr>
        <w:spacing w:after="0" w:line="199"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As of December 31, 2021, we wholly owned a pending U.S. provisional application and a foreign priority patent application relating to RLY-2608 salts composition of matter, methods of treatment, solid forms and methods of manufacture. Any U.S. or foreign patents that may issue from this patent family, if granted and all appropriate maintenance fees paid, would be scheduled to expire in 2042, excluding any additional term for patent term adjustment or patent term extension, if applicable.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RLY-1971</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As of December 31, 2021, we wholly own a U.S. patent which relates to RLY-1971 composition of matter, that, if all appropriate maintenance fees are paid, is scheduled to expire in 2039, excluding any additional term for patent term adjustment or patent term extension, if applicable. As of December 31, 2021, we co-owned with D.E. Shaw Research pending U.S. and foreign patent applications covering our SHP2 program, which are directed to the composition of matter for drug candidates of the program, analogs thereof, as well as methods of making and using these compounds. Any U.S. or foreign patents that may issue from this patent family, if granted and all appropriate maintenance fees paid, would be scheduled to expire in 2039, excluding any additional term for patent term adjustment or patent term extension, if applicable. As of December 31, 2021, we wholly owned pending non-provisional patent applications which relate to RLY-1971, solid forms and methods of manufacture. Any U.S.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spacing w:after="0" w:line="261" w:lineRule="auto"/>
        <w:rPr>
          <w:sz w:val="20"/>
          <w:szCs w:val="20"/>
          <w:color w:val="auto"/>
        </w:rPr>
      </w:pPr>
      <w:r>
        <w:rPr>
          <w:rFonts w:ascii="Arial" w:cs="Arial" w:eastAsia="Arial" w:hAnsi="Arial"/>
          <w:sz w:val="18"/>
          <w:szCs w:val="18"/>
          <w:color w:val="auto"/>
        </w:rPr>
        <w:t>foreign patent that may issue from these patent applications would be scheduled to expire in 2040, excluding any additional term for patent term adjustment or patent term extension, if applicable.</w:t>
      </w:r>
    </w:p>
    <w:p>
      <w:pPr>
        <w:spacing w:after="0" w:line="19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Pursuant to the Genentech Agreement, we have granted an exclusive, worldwide, royalty-bearing license to Genentech, with the right to sublicense, develop and commercialize RLY-1971 and any other SHP2 inhibitors developed under the Genentech Agreement. Genentech has the first right, but not the obligation, to file, prosecute and maintain any patents licensed to it, as well as to enforce infringement of or defend claims against such patents that relate to RLY-1971 or other SHP2 inhibitors. See “—Our Collaborations—License Agreements and Strategic Collaborations—Genentech Collaboration and License Agreement” for more information on the Genentech Agreement.</w:t>
      </w:r>
    </w:p>
    <w:p>
      <w:pPr>
        <w:spacing w:after="0" w:line="216"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Patent prosecution is a lengthy process, during which the scope of the claims initially submitted for examination by the USPTO or other foreign jurisdiction are often significantly narrowed by the time they issue, if they issue at all. Any U.S. or foreign patent issuing from these provisional, PCT, or foreign patent applications (assuming they are timely converted into non-provisional applications, and such non-provisional applications are granted as issued patents) would be scheduled to expire twenty years from their earliest non-provisional priority filing date, excluding any additional term for patent term adjustment or patent term extension, and assuming national phase entries are timely made based upon the pending PCT application, and payment of all applicable maintenance or annuity fees. Any of our pending PCT patent applications are not eligible to become issued patents until, among other things, we file national stage patent applications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Our provisional patent applications may never result in issued patents and are not eligible to become issued patents until, among other things, we file a non-provisional patent application and/or PCT patent application within 12 months of filing the related provisional patent application. If we do not timely file non-provisional patent applications, we may lose our priority date with respect to our provisional patent applications and any patent protection on the inventions disclosed in our provisional patent applications. While we intend to timely file non-provisional and national stage patent applications relating to our provisional and PCT patent applications, we cannot predict whether any of our current or future patent applications for any of our product candidates or technology, will issue as patents. If we do not successfully obtain patent protection, or, even if we do obtain patent protection, if the scope of the patent protection we, Genentech, or our potential licensors, obtain with respect to any of our product candidates or technology is not sufficiently broad, we will be unable to prevent others from using our technology or from developing or commercializing technology and products similar or identical to ours or other competing products and technologies.</w:t>
      </w:r>
    </w:p>
    <w:p>
      <w:pPr>
        <w:spacing w:after="0" w:line="206"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In addition to patent applications, we rely on unpatented trade secrets, know-how and continuing technological innovation to develop and maintain our competitive position. However, trade secrets and confidential know-how are difficult to protect. In particular, we anticipate that with respect to the building of our compound library, our trade secrets and know-how will over time be disseminated within the industry through independent development and public presentations describing the methodology.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consultants,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that we will have executed such agreements with all applicable employees and contractors, or that these agreements will afford us adequate protection of our intellectual property and proprietary information rights. In addition, our trade secrets and/or confidential know-how may become known or be independently developed by a third party or misused by any collaborator to whom we disclose such information. These agreements may also be breached, and we may not have an adequate remedy for any such breach.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For more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information regarding the risks related to our intellectual property, please see “Risk Factors—Risks Related to our Intellectual Property.”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0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Subject to receiving marketing approvals, we expect to commence commercialization activities by building a focused sales and marketing organization in the United States to sell our products. We believe that such an organization will be able to address the community of oncologists who are the key specialists in treating the patient populations for which our product candidates are being developed. Outside the United States, we expect to enter into distribution and other marketing arrangements with third parties for any of our product candidates that obtain marketing approval.</w:t>
      </w:r>
    </w:p>
    <w:p>
      <w:pPr>
        <w:spacing w:after="0" w:line="1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8"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We do not have any manufacturing facilities or personnel. We currently rely, and expect to continue to rely, on third parties for the manufacture of our product candidates undergoing preclinical testing, as well as for clinical testing and commercial manufacture if our product candidates receive marketing approval.</w:t>
      </w:r>
    </w:p>
    <w:p>
      <w:pPr>
        <w:spacing w:after="0" w:line="18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All of our drug candidates are small molecules and are manufactured in synthetic processes from available starting materials. The chemistry appears amenable to scale-up and does not currently require unusual equipment in the manufacturing process. We expect to continue to develop product candidates that can be produced cost-effectively at contract manufacturing facilities.</w:t>
      </w:r>
    </w:p>
    <w:p>
      <w:pPr>
        <w:spacing w:after="0" w:line="182"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We, along with our vendors, contract research organizations and contract manufacturers,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In the United States, where we are initially focusing our drug development, the FDA regulates drug products under the Federal Food, Drug, and Cosmetic Act, or FD&amp;C Act, as amended, its implementing regulations and other laws.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8" w:name="page39"/>
    <w:bookmarkEnd w:id="38"/>
    <w:p>
      <w:pPr>
        <w:ind w:right="20"/>
        <w:spacing w:after="0" w:line="261" w:lineRule="auto"/>
        <w:rPr>
          <w:sz w:val="20"/>
          <w:szCs w:val="20"/>
          <w:color w:val="auto"/>
        </w:rPr>
      </w:pPr>
      <w:r>
        <w:rPr>
          <w:rFonts w:ascii="Arial" w:cs="Arial" w:eastAsia="Arial" w:hAnsi="Arial"/>
          <w:sz w:val="18"/>
          <w:szCs w:val="18"/>
          <w:color w:val="auto"/>
        </w:rPr>
        <w:t>The process required by the FDA before our product candidates are approved as drugs for therapeutic indications and may be marketed in the United States generally involves the following:</w:t>
      </w:r>
    </w:p>
    <w:p>
      <w:pPr>
        <w:spacing w:after="0" w:line="63" w:lineRule="exact"/>
        <w:rPr>
          <w:sz w:val="20"/>
          <w:szCs w:val="20"/>
          <w:color w:val="auto"/>
        </w:rPr>
      </w:pPr>
    </w:p>
    <w:p>
      <w:pPr>
        <w:ind w:left="780" w:right="440" w:hanging="390"/>
        <w:spacing w:after="0" w:line="261"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or GLP, requirements;</w:t>
      </w:r>
    </w:p>
    <w:p>
      <w:pPr>
        <w:spacing w:after="0" w:line="62" w:lineRule="exact"/>
        <w:rPr>
          <w:rFonts w:ascii="Arial" w:cs="Arial" w:eastAsia="Arial" w:hAnsi="Arial"/>
          <w:sz w:val="18"/>
          <w:szCs w:val="18"/>
          <w:color w:val="auto"/>
        </w:rPr>
      </w:pPr>
    </w:p>
    <w:p>
      <w:pPr>
        <w:ind w:left="780" w:right="140" w:hanging="390"/>
        <w:spacing w:after="0" w:line="261"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62" w:lineRule="exact"/>
        <w:rPr>
          <w:rFonts w:ascii="Arial" w:cs="Arial" w:eastAsia="Arial" w:hAnsi="Arial"/>
          <w:sz w:val="18"/>
          <w:szCs w:val="18"/>
          <w:color w:val="auto"/>
        </w:rPr>
      </w:pPr>
    </w:p>
    <w:p>
      <w:pPr>
        <w:ind w:left="780" w:hanging="390"/>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or IND, which must become effective before clinical trials may begin;</w:t>
      </w:r>
    </w:p>
    <w:p>
      <w:pPr>
        <w:spacing w:after="0" w:line="115" w:lineRule="exact"/>
        <w:rPr>
          <w:rFonts w:ascii="Arial" w:cs="Arial" w:eastAsia="Arial" w:hAnsi="Arial"/>
          <w:sz w:val="17"/>
          <w:szCs w:val="17"/>
          <w:color w:val="auto"/>
        </w:rPr>
      </w:pPr>
    </w:p>
    <w:p>
      <w:pPr>
        <w:ind w:left="780" w:hanging="390"/>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approval by an institutional review board, or IRB, or independent ethics committee at each clinical trial site before each trial may be initiated;</w:t>
      </w:r>
    </w:p>
    <w:p>
      <w:pPr>
        <w:spacing w:after="0" w:line="126" w:lineRule="exact"/>
        <w:rPr>
          <w:rFonts w:ascii="Arial" w:cs="Arial" w:eastAsia="Arial" w:hAnsi="Arial"/>
          <w:sz w:val="16"/>
          <w:szCs w:val="16"/>
          <w:color w:val="auto"/>
        </w:rPr>
      </w:pPr>
    </w:p>
    <w:p>
      <w:pPr>
        <w:ind w:left="780" w:right="460" w:hanging="390"/>
        <w:spacing w:after="0" w:line="24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73" w:lineRule="exact"/>
        <w:rPr>
          <w:rFonts w:ascii="Arial" w:cs="Arial" w:eastAsia="Arial" w:hAnsi="Arial"/>
          <w:sz w:val="18"/>
          <w:szCs w:val="18"/>
          <w:color w:val="auto"/>
        </w:rPr>
      </w:pPr>
    </w:p>
    <w:p>
      <w:pPr>
        <w:ind w:left="780" w:hanging="390"/>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NDA;</w:t>
      </w:r>
    </w:p>
    <w:p>
      <w:pPr>
        <w:spacing w:after="0" w:line="103" w:lineRule="exact"/>
        <w:rPr>
          <w:rFonts w:ascii="Arial" w:cs="Arial" w:eastAsia="Arial" w:hAnsi="Arial"/>
          <w:sz w:val="18"/>
          <w:szCs w:val="18"/>
          <w:color w:val="auto"/>
        </w:rPr>
      </w:pPr>
    </w:p>
    <w:p>
      <w:pPr>
        <w:ind w:left="780" w:hanging="390"/>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accept the filing for review;</w:t>
      </w:r>
    </w:p>
    <w:p>
      <w:pPr>
        <w:spacing w:after="0" w:line="103" w:lineRule="exact"/>
        <w:rPr>
          <w:rFonts w:ascii="Arial" w:cs="Arial" w:eastAsia="Arial" w:hAnsi="Arial"/>
          <w:sz w:val="18"/>
          <w:szCs w:val="18"/>
          <w:color w:val="auto"/>
        </w:rPr>
      </w:pPr>
    </w:p>
    <w:p>
      <w:pPr>
        <w:ind w:left="780" w:right="80" w:hanging="390"/>
        <w:spacing w:after="0" w:line="24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73" w:lineRule="exact"/>
        <w:rPr>
          <w:rFonts w:ascii="Arial" w:cs="Arial" w:eastAsia="Arial" w:hAnsi="Arial"/>
          <w:sz w:val="18"/>
          <w:szCs w:val="18"/>
          <w:color w:val="auto"/>
        </w:rPr>
      </w:pPr>
    </w:p>
    <w:p>
      <w:pPr>
        <w:ind w:left="780" w:hanging="390"/>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satisfactory completion of FDA audit of the clinical trial sites that generated the data in support of the NDA;</w:t>
      </w:r>
    </w:p>
    <w:p>
      <w:pPr>
        <w:spacing w:after="0" w:line="103" w:lineRule="exact"/>
        <w:rPr>
          <w:rFonts w:ascii="Arial" w:cs="Arial" w:eastAsia="Arial" w:hAnsi="Arial"/>
          <w:sz w:val="18"/>
          <w:szCs w:val="18"/>
          <w:color w:val="auto"/>
        </w:rPr>
      </w:pPr>
    </w:p>
    <w:p>
      <w:pPr>
        <w:ind w:left="780" w:hanging="390"/>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 of user fees for FDA review of the NDA; and</w:t>
      </w:r>
    </w:p>
    <w:p>
      <w:pPr>
        <w:spacing w:after="0" w:line="103" w:lineRule="exact"/>
        <w:rPr>
          <w:rFonts w:ascii="Arial" w:cs="Arial" w:eastAsia="Arial" w:hAnsi="Arial"/>
          <w:sz w:val="18"/>
          <w:szCs w:val="18"/>
          <w:color w:val="auto"/>
        </w:rPr>
      </w:pPr>
    </w:p>
    <w:p>
      <w:pPr>
        <w:ind w:left="780" w:hanging="390"/>
        <w:spacing w:after="0" w:line="261"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review and approval of the NDA, including consideration of the views of any FDA advisory committee, prior to any commercial marketing or sale of the drug in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 and clinical trials for drugs</w:t>
      </w:r>
    </w:p>
    <w:p>
      <w:pPr>
        <w:spacing w:after="0" w:line="10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 xml:space="preserve">Before testing any drug in humans, the product candidate must undergo rigorous preclinical testing. Preclinical studies include laboratory evaluations of drug chemistry, formulation and stability, as well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safety and in some cases to establish the rationale for therapeutic use. The conduct of preclinical studies is subject to federal and state regulation, including GLP requirements for safety/toxicology studies. The results of the preclinical studies, together with manufacturing information and analytical data, must be submitted to the FDA as part of an IND. An IND is a request for authorization from the FDA to administer an investigational product to humans and must become effective before clinical trials may begin.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FDA are corrected.</w:t>
      </w:r>
    </w:p>
    <w:p>
      <w:pPr>
        <w:spacing w:after="0" w:line="167"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9" w:name="page40"/>
    <w:bookmarkEnd w:id="39"/>
    <w:p>
      <w:pPr>
        <w:spacing w:after="0" w:line="254" w:lineRule="auto"/>
        <w:rPr>
          <w:sz w:val="20"/>
          <w:szCs w:val="20"/>
          <w:color w:val="auto"/>
        </w:rPr>
      </w:pPr>
      <w:r>
        <w:rPr>
          <w:rFonts w:ascii="Arial" w:cs="Arial" w:eastAsia="Arial" w:hAnsi="Arial"/>
          <w:sz w:val="17"/>
          <w:szCs w:val="17"/>
          <w:color w:val="auto"/>
        </w:rPr>
        <w:t>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www.ClinicalTrials.gov, a clinical trials database maintained by the National Institutes of Health.</w:t>
      </w:r>
    </w:p>
    <w:p>
      <w:pPr>
        <w:spacing w:after="0" w:line="18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if the study was conducted in accordance with GCP requirements, and the FDA is able to validate the data through an onsite inspection if deemed necessary.</w:t>
      </w:r>
    </w:p>
    <w:p>
      <w:pPr>
        <w:spacing w:after="0" w:line="14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Clinical trials to evaluate therapeutic indications to support NDAs for marketing approval are typically conducted in three sequential phases, which may overlap.</w:t>
      </w:r>
    </w:p>
    <w:p>
      <w:pPr>
        <w:spacing w:after="0" w:line="63" w:lineRule="exact"/>
        <w:rPr>
          <w:sz w:val="20"/>
          <w:szCs w:val="20"/>
          <w:color w:val="auto"/>
        </w:rPr>
      </w:pPr>
    </w:p>
    <w:p>
      <w:pPr>
        <w:ind w:left="780" w:right="240" w:hanging="390"/>
        <w:spacing w:after="0" w:line="243"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—Phase 1 clinical trials involve initial introduction of the investigational product into healthy human volunteers or patients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79" w:lineRule="exact"/>
        <w:rPr>
          <w:rFonts w:ascii="Arial" w:cs="Arial" w:eastAsia="Arial" w:hAnsi="Arial"/>
          <w:sz w:val="18"/>
          <w:szCs w:val="18"/>
          <w:color w:val="auto"/>
        </w:rPr>
      </w:pPr>
    </w:p>
    <w:p>
      <w:pPr>
        <w:ind w:left="780" w:right="280" w:hanging="390"/>
        <w:spacing w:after="0" w:line="24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—Phase 2 clinical trials typically involve administration of the investigational product to a limited patient population with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or condition to evaluate the drug’s potential efficacy, to determine the optimal dosages and dosing schedule and to identify possible adverse side effects and safety risks.</w:t>
      </w:r>
    </w:p>
    <w:p>
      <w:pPr>
        <w:spacing w:after="0" w:line="73" w:lineRule="exact"/>
        <w:rPr>
          <w:rFonts w:ascii="Arial" w:cs="Arial" w:eastAsia="Arial" w:hAnsi="Arial"/>
          <w:sz w:val="18"/>
          <w:szCs w:val="18"/>
          <w:color w:val="auto"/>
        </w:rPr>
      </w:pPr>
    </w:p>
    <w:p>
      <w:pPr>
        <w:ind w:left="780" w:right="20" w:hanging="390"/>
        <w:spacing w:after="0" w:line="243"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—Phase 3 clinical trials typically involve administration of the investigational product to an expanded patient population to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August 2018, the FDA released a draft guidance entitled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 costs and time.</w:t>
      </w:r>
    </w:p>
    <w:p>
      <w:pPr>
        <w:spacing w:after="0" w:line="17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approval.</w:t>
      </w:r>
    </w:p>
    <w:p>
      <w:pPr>
        <w:spacing w:after="0" w:line="188"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ind w:right="660"/>
        <w:spacing w:after="0" w:line="261" w:lineRule="auto"/>
        <w:rPr>
          <w:sz w:val="20"/>
          <w:szCs w:val="20"/>
          <w:color w:val="auto"/>
        </w:rPr>
      </w:pPr>
      <w:r>
        <w:rPr>
          <w:rFonts w:ascii="Arial" w:cs="Arial" w:eastAsia="Arial" w:hAnsi="Arial"/>
          <w:sz w:val="18"/>
          <w:szCs w:val="18"/>
          <w:color w:val="auto"/>
        </w:rPr>
        <w:t>life-threatening suspected adverse reaction as soon as possible but in no case later than seven calendar days after the sponsor’s initial receipt of the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marketing approval for drugs</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package requesting approval to market the product for one or more indications. An NDA is a request for approval to market a new drug for one or more specified indications and must contain proof of the drug’s safety and efficacy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must approve an NDA before a drug may be marketed in the United States.</w:t>
      </w:r>
    </w:p>
    <w:p>
      <w:pPr>
        <w:spacing w:after="0" w:line="18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FDA reviews all submitted NDAs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drug is safe and effective for the indications sought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Further, under PDUFA, as amended, each NDA must be accompanied by a substantial user fee. The FDA adjusts the PDUFA user fees on an annual basis.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Fee waivers or reductions are available in certain circumstances, including a waiver of the application fee for the first application filed by a small business.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Additionally, no user fees are assessed on NDAs for products designated as orphan drugs, unless the product also includes a non-orphan indication.</w:t>
      </w:r>
    </w:p>
    <w:p>
      <w:pPr>
        <w:spacing w:after="0" w:line="20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or other risk-minimization tools.</w:t>
      </w:r>
    </w:p>
    <w:p>
      <w:pPr>
        <w:spacing w:after="0" w:line="188"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1" w:name="page42"/>
    <w:bookmarkEnd w:id="41"/>
    <w:p>
      <w:pPr>
        <w:ind w:right="40"/>
        <w:spacing w:after="0" w:line="262" w:lineRule="auto"/>
        <w:rPr>
          <w:sz w:val="20"/>
          <w:szCs w:val="20"/>
          <w:color w:val="auto"/>
        </w:rPr>
      </w:pPr>
      <w:r>
        <w:rPr>
          <w:rFonts w:ascii="Arial" w:cs="Arial" w:eastAsia="Arial" w:hAnsi="Arial"/>
          <w:sz w:val="17"/>
          <w:szCs w:val="17"/>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17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91"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which is a disease or condition that affects fewer than 200,000 individuals in the United States, or if it affects 200,000 or more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an NDA.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189"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Expedited development and review programs for drugs</w:t>
      </w:r>
    </w:p>
    <w:p>
      <w:pPr>
        <w:spacing w:after="0" w:line="10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more quickly than standard FDA review timelines typically permit.</w:t>
      </w:r>
    </w:p>
    <w:p>
      <w:pPr>
        <w:spacing w:after="0" w:line="188"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A new drug is eligible for Fast Track designation if it is intended to treat a serious or life-threatening disease or condition and demonstrates the potential to address unmet medical needs for such disease or condition. Fast Track designation provides increased opportunities for sponsor interactions with the FDA during preclinical and clinical development, in addition to the potential for rolling review once a marketing application is filed. Rolling review means that the agency may review portions of the marketing application before the sponsor submits the complete application. In addition, a new drug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spacing w:after="0" w:line="16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or BLA is submitted, if the drug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Accelerated Approval is usually contingent on a sponsor’s agreement to conduct additional post-approval studies to verify and describe the product’s clinical benefit. The FDA may withdraw approval of a drug or an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w:t>
      </w:r>
    </w:p>
    <w:p>
      <w:pPr>
        <w:spacing w:after="0" w:line="17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 and pediatric exclusivity</w:t>
      </w:r>
    </w:p>
    <w:p>
      <w:pPr>
        <w:spacing w:after="0" w:line="10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Under the Pediatric Research Equity Act, or PREA, as amended, certain NDAs and NDA supplements must contain data that can be used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drug that includes a new active ingredient, new indication, new dosage form, new dosing regimen or new route of administration submit an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43" w:name="page44"/>
    <w:bookmarkEnd w:id="43"/>
    <w:p>
      <w:pPr>
        <w:ind w:right="20"/>
        <w:spacing w:after="0" w:line="239" w:lineRule="auto"/>
        <w:rPr>
          <w:sz w:val="20"/>
          <w:szCs w:val="20"/>
          <w:color w:val="auto"/>
        </w:rPr>
      </w:pPr>
      <w:r>
        <w:rPr>
          <w:rFonts w:ascii="Arial" w:cs="Arial" w:eastAsia="Arial" w:hAnsi="Arial"/>
          <w:sz w:val="18"/>
          <w:szCs w:val="18"/>
          <w:color w:val="auto"/>
        </w:rPr>
        <w:t>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9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 drug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post-approval requirements for drugs</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Manufacturers and other parties involved in the drug supply chain for prescription drug products must also comply with product tracking and tracing requirements and are responsible for notifying the FDA of counterfeit, diverted, stolen and intentionally adulterated products or products that are otherwise unfit for distribution in the United States.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80"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80" w:lineRule="exact"/>
        <w:rPr>
          <w:sz w:val="20"/>
          <w:szCs w:val="20"/>
          <w:color w:val="auto"/>
        </w:rPr>
      </w:pPr>
    </w:p>
    <w:p>
      <w:pPr>
        <w:ind w:left="780" w:hanging="390"/>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15" w:lineRule="exact"/>
        <w:rPr>
          <w:rFonts w:ascii="Arial" w:cs="Arial" w:eastAsia="Arial" w:hAnsi="Arial"/>
          <w:sz w:val="17"/>
          <w:szCs w:val="17"/>
          <w:color w:val="auto"/>
        </w:rPr>
      </w:pPr>
    </w:p>
    <w:p>
      <w:pPr>
        <w:ind w:left="780" w:right="560" w:hanging="390"/>
        <w:spacing w:after="0" w:line="261"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or other communications containing warnings or other safety information about the product;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ind w:left="780" w:hanging="390"/>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03" w:lineRule="exact"/>
        <w:rPr>
          <w:rFonts w:ascii="Arial" w:cs="Arial" w:eastAsia="Arial" w:hAnsi="Arial"/>
          <w:sz w:val="18"/>
          <w:szCs w:val="18"/>
          <w:color w:val="auto"/>
        </w:rPr>
      </w:pPr>
    </w:p>
    <w:p>
      <w:pPr>
        <w:ind w:left="780" w:hanging="390"/>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refusal of the FDA to approve applications or supplements to approved applications, or suspension or revocation of product approvals;</w:t>
      </w:r>
    </w:p>
    <w:p>
      <w:pPr>
        <w:spacing w:after="0" w:line="115" w:lineRule="exact"/>
        <w:rPr>
          <w:rFonts w:ascii="Arial" w:cs="Arial" w:eastAsia="Arial" w:hAnsi="Arial"/>
          <w:sz w:val="17"/>
          <w:szCs w:val="17"/>
          <w:color w:val="auto"/>
        </w:rPr>
      </w:pPr>
    </w:p>
    <w:p>
      <w:pPr>
        <w:ind w:left="780" w:hanging="390"/>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03" w:lineRule="exact"/>
        <w:rPr>
          <w:rFonts w:ascii="Arial" w:cs="Arial" w:eastAsia="Arial" w:hAnsi="Arial"/>
          <w:sz w:val="18"/>
          <w:szCs w:val="18"/>
          <w:color w:val="auto"/>
        </w:rPr>
      </w:pPr>
    </w:p>
    <w:p>
      <w:pPr>
        <w:ind w:left="780" w:hanging="390"/>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103" w:lineRule="exact"/>
        <w:rPr>
          <w:rFonts w:ascii="Arial" w:cs="Arial" w:eastAsia="Arial" w:hAnsi="Arial"/>
          <w:sz w:val="18"/>
          <w:szCs w:val="18"/>
          <w:color w:val="auto"/>
        </w:rPr>
      </w:pPr>
    </w:p>
    <w:p>
      <w:pPr>
        <w:ind w:left="780" w:right="620" w:hanging="390"/>
        <w:spacing w:after="0" w:line="261"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 or mandated modification of promotional materials and labeling and issuance of corrective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companion diagnostics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Companion diagnostics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approval of a premarket approval application, or PMA.</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 submission of a PMA. In making a determination that the device is substantially equivalent to a predicate device, the FDA compares the proposed device to the predicate device and assesses whether the subject device is comparable to the predicate device with respect to intended use, technology, design and other features which could affect safety and effectiveness. If the FDA determines that the subject device is substantially equivalent to the predicate device, the subject device may be cleared for marketing. The 510(k) premarket notification pathway generally takes from three to twelve months from the date the application is completed, but can take significantly longer.</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 PMA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The FDA’s review of an initial PMA is required by statute to take between six to ten months, although the process typically takes longer, and may require several years to complete. If the FDA evaluations of both the PMA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w:t>
      </w:r>
    </w:p>
    <w:p>
      <w:pPr>
        <w:spacing w:after="0" w:line="16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On July 31, 2014, the FDA issued a final guidance document addressing the development and approval process for “In Vitro Companion Diagnostic Devices.” According to the guidance document, for novel therapeutic products that depend on the use of a diagnostic test and where the diagnostic device could be essential for the safe and effective</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45" w:name="page46"/>
    <w:bookmarkEnd w:id="45"/>
    <w:p>
      <w:pPr>
        <w:ind w:right="20"/>
        <w:spacing w:after="0" w:line="257" w:lineRule="auto"/>
        <w:rPr>
          <w:sz w:val="20"/>
          <w:szCs w:val="20"/>
          <w:color w:val="auto"/>
        </w:rPr>
      </w:pPr>
      <w:r>
        <w:rPr>
          <w:rFonts w:ascii="Arial" w:cs="Arial" w:eastAsia="Arial" w:hAnsi="Arial"/>
          <w:sz w:val="17"/>
          <w:szCs w:val="17"/>
          <w:color w:val="auto"/>
        </w:rPr>
        <w:t>use of the corresponding therapeutic product, the companion diagnostic device should be developed and approved or cleared contemporaneously with the therapeutic, although the FDA recognizes that there may be cases when contemporaneous development may not be possible. However, in cases where a drug cannot be used safely or effectively without the companion diagnostic, the FDA’s guidance indicates it will generally not approve the drug without the approval or clearance of the diagnostic device. The FDA also issued a draft guidance in July 2016 setting forth the principles for co-development of an in vitro companion diagnostic device with a therapeutic product. The draft guidance describes principles to guide the development and contemporaneous marketing authorization for the therapeutic product and its corresponding in vitro companion diagnostic.</w:t>
      </w:r>
    </w:p>
    <w:p>
      <w:pPr>
        <w:spacing w:after="0" w:line="17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Once cleared or approved, the companion diagnostic device must adhere to post-marketing requirements including the requirements of the FDA’s QSR, adverse event reporting, recalls and corrections along with product marketing requirements and limitations. Like drug makers, companion diagnostic makers are subject to unannounced FDA inspections at any time during which the FDA will conduct an audit of the product(s) and the company’s facilities for compliance with its authorities.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04"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4"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coverage and reimbursement</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6" w:name="page47"/>
    <w:bookmarkEnd w:id="46"/>
    <w:p>
      <w:pPr>
        <w:ind w:right="680"/>
        <w:spacing w:after="0" w:line="261" w:lineRule="auto"/>
        <w:rPr>
          <w:sz w:val="20"/>
          <w:szCs w:val="20"/>
          <w:color w:val="auto"/>
        </w:rPr>
      </w:pPr>
      <w:r>
        <w:rPr>
          <w:rFonts w:ascii="Arial" w:cs="Arial" w:eastAsia="Arial" w:hAnsi="Arial"/>
          <w:sz w:val="18"/>
          <w:szCs w:val="18"/>
          <w:color w:val="auto"/>
        </w:rPr>
        <w:t>coverage to specific products on an approved list, also known as a formulary, which might not include all of the approved products for a particular indication.</w:t>
      </w:r>
    </w:p>
    <w:p>
      <w:pPr>
        <w:spacing w:after="0" w:line="17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9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and future healthcare reform legislation</w:t>
      </w:r>
    </w:p>
    <w:p>
      <w:pPr>
        <w:spacing w:after="0" w:line="10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Affordable Care Act, or ACA, which, among other things, includes changes to the coverage and payment for products under government health care programs. The ACA includes provisions of importance to our potential product candidates that:</w:t>
      </w:r>
    </w:p>
    <w:p>
      <w:pPr>
        <w:spacing w:after="0" w:line="81" w:lineRule="exact"/>
        <w:rPr>
          <w:sz w:val="20"/>
          <w:szCs w:val="20"/>
          <w:color w:val="auto"/>
        </w:rPr>
      </w:pPr>
    </w:p>
    <w:p>
      <w:pPr>
        <w:ind w:left="760" w:right="420" w:hanging="378"/>
        <w:spacing w:after="0" w:line="291" w:lineRule="auto"/>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38" w:lineRule="exact"/>
        <w:rPr>
          <w:rFonts w:ascii="Arial" w:cs="Arial" w:eastAsia="Arial" w:hAnsi="Arial"/>
          <w:sz w:val="17"/>
          <w:szCs w:val="17"/>
          <w:color w:val="auto"/>
        </w:rPr>
      </w:pPr>
    </w:p>
    <w:p>
      <w:pPr>
        <w:ind w:left="760" w:hanging="378"/>
        <w:spacing w:after="0" w:line="291" w:lineRule="auto"/>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38" w:lineRule="exact"/>
        <w:rPr>
          <w:rFonts w:ascii="Arial" w:cs="Arial" w:eastAsia="Arial" w:hAnsi="Arial"/>
          <w:sz w:val="17"/>
          <w:szCs w:val="17"/>
          <w:color w:val="auto"/>
        </w:rPr>
      </w:pPr>
    </w:p>
    <w:p>
      <w:pPr>
        <w:ind w:left="760" w:right="440" w:hanging="378"/>
        <w:spacing w:after="0" w:line="24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73" w:lineRule="exact"/>
        <w:rPr>
          <w:rFonts w:ascii="Arial" w:cs="Arial" w:eastAsia="Arial" w:hAnsi="Arial"/>
          <w:sz w:val="18"/>
          <w:szCs w:val="18"/>
          <w:color w:val="auto"/>
        </w:rPr>
      </w:pPr>
    </w:p>
    <w:p>
      <w:pPr>
        <w:ind w:left="760" w:right="18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03" w:lineRule="exact"/>
        <w:rPr>
          <w:rFonts w:ascii="Arial" w:cs="Arial" w:eastAsia="Arial" w:hAnsi="Arial"/>
          <w:sz w:val="18"/>
          <w:szCs w:val="18"/>
          <w:color w:val="auto"/>
        </w:rPr>
      </w:pPr>
    </w:p>
    <w:p>
      <w:pPr>
        <w:jc w:val="both"/>
        <w:ind w:left="760" w:hanging="378"/>
        <w:spacing w:after="0" w:line="24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73" w:lineRule="exact"/>
        <w:rPr>
          <w:rFonts w:ascii="Arial" w:cs="Arial" w:eastAsia="Arial" w:hAnsi="Arial"/>
          <w:sz w:val="18"/>
          <w:szCs w:val="18"/>
          <w:color w:val="auto"/>
        </w:rPr>
      </w:pPr>
    </w:p>
    <w:p>
      <w:pPr>
        <w:ind w:left="760" w:right="34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created a new Patient-Centered Outcomes Research Institute to oversee, identify priorities in, and conduct comparative clinical effectiveness research, along with funding for such research.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7" w:name="page48"/>
    <w:bookmarkEnd w:id="47"/>
    <w:p>
      <w:pPr>
        <w:ind w:right="20" w:firstLine="45"/>
        <w:spacing w:after="0" w:line="253"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and we expect there will be additional challenges and amendments to the ACA in the future.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21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included aggregate reductions of Medicare payments to providers of 2% per fiscal year, which went into effect in April 2013 and, due to subsequent legislative amendments to the statute, will remain in effect through 2030 unless additional Congressional action is taken. The Coronavirus Aid, Relief and Economic Security Act, or CARES Act, which was signed into law in March 2020, and subsequent legislation, suspended these reductions from May 1, 2020 through March 31, 2021. A 1% payment reduction will occur beginning April 1, 2022 through June 30, 2022, and the 2% payment reduction will resume on July 1, 2022.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208"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21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21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the European Union, or EU,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Member States, can further reduce prices. There can be no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 w:name="page49"/>
    <w:bookmarkEnd w:id="48"/>
    <w:p>
      <w:pPr>
        <w:spacing w:after="0" w:line="261" w:lineRule="auto"/>
        <w:rPr>
          <w:sz w:val="20"/>
          <w:szCs w:val="20"/>
          <w:color w:val="auto"/>
        </w:rPr>
      </w:pPr>
      <w:r>
        <w:rPr>
          <w:rFonts w:ascii="Arial" w:cs="Arial" w:eastAsia="Arial" w:hAnsi="Arial"/>
          <w:sz w:val="18"/>
          <w:szCs w:val="18"/>
          <w:color w:val="auto"/>
        </w:rPr>
        <w:t>assurance that any country that has price controls or reimbursement limitations for pharmaceutical products will allow favorable reimbursement and pricing arrangements for any products, if approved in those countries.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other federal and state laws or requirements; changing legal requirements</w:t>
      </w:r>
    </w:p>
    <w:p>
      <w:pPr>
        <w:spacing w:after="0" w:line="10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If any products that we may develop are made available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which we may be subject.</w:t>
      </w:r>
    </w:p>
    <w:p>
      <w:pPr>
        <w:spacing w:after="0" w:line="17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19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environmental, health and safety laws and regulations</w:t>
      </w:r>
    </w:p>
    <w:p>
      <w:pPr>
        <w:spacing w:after="0" w:line="104"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0"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8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of drugs outside of the United States</w:t>
      </w:r>
    </w:p>
    <w:p>
      <w:pPr>
        <w:spacing w:after="0" w:line="10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To market any product outside of the United States, we would need to comply with numerous and varying regulatory requirements of other countries regarding safety and efficacy and governing, among other things, clinical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trials, marketing authorization or identification of an alternate regulatory pathway, manufacturing, commercial sales and distribution of our products.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approval</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April 2014, the EU adopted the new Clinical Trials Regulation, (EU) No 536/2014 (Clinical Trials Regulation) which replaced the current Clinical Trials Directive 2001/20/EC on 31 January 2022. The Clinical Trials Regulation is directly applicable in all the EU Member States (meaning no national implementing legislation is required). The new Clinical Trials Regulation aims to simplify and streamline the approval of clinical trials in the EU. The main characteristics of the regulation include: a streamlined application procedure via a single-entry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are defined by the Clinical Trials Regulation.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Review and Approval</w:t>
      </w:r>
    </w:p>
    <w:p>
      <w:pPr>
        <w:spacing w:after="0" w:line="104"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In the EU, medicinal products must be authorized for marketing by using either the centralized authorization procedure or national authorization procedures.</w:t>
      </w:r>
    </w:p>
    <w:p>
      <w:pPr>
        <w:spacing w:after="0" w:line="63" w:lineRule="exact"/>
        <w:rPr>
          <w:sz w:val="20"/>
          <w:szCs w:val="20"/>
          <w:color w:val="auto"/>
        </w:rPr>
      </w:pPr>
    </w:p>
    <w:p>
      <w:pPr>
        <w:ind w:left="1020" w:hanging="503"/>
        <w:spacing w:after="0" w:line="267"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Centralized procedure</w:t>
      </w:r>
      <w:r>
        <w:rPr>
          <w:rFonts w:ascii="Arial" w:cs="Arial" w:eastAsia="Arial" w:hAnsi="Arial"/>
          <w:sz w:val="16"/>
          <w:szCs w:val="16"/>
          <w:color w:val="auto"/>
        </w:rPr>
        <w:t>—If pursuing marketing authorization of a product candidate for a therapeutic indication under the centralized</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 following the opining of the EMA’s Committee for Medicinal Products for Human Use, or, CHMP, the European Commission issues a single marketing authorization valid across the EU and in the additional Member States of the European Economic Area (Iceland, Liechtenstein and Norway). The centralized procedure is compulsory for human medicines derived from biotechnology processes, advanced therapy medicinal products (i.e. gene therapy, somatic cell therapy and tissue engineered products), products that contain a new active substance indicated for the treatment of certain diseases, such as HIV/AIDS, cancer, neurodegenerative disorders, diabetes, autoimmune diseases and other immune dysfunctions and viral diseases, and products designated as orphan medicines. For medicines that do not fall within these categories, an applicant has the option of submitting an application for a centralized marketing authorization to the EMA, as long as the medicine concerned contains a new active substance not yet authorized in the EU, is a significant therapeutic, scientific or technical innovation, or if its authorization would be in the interest of public health in the EU.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CHMP. Where the CHMP gives a positive opinion, it provides the opinion together with supporting documentation to the European Commission, who makes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can revert to the standard time limit for the centralized procedure if it considers that it is no longer appropriate to conduct an accelerated assessment.</w:t>
      </w:r>
    </w:p>
    <w:p>
      <w:pPr>
        <w:spacing w:after="0" w:line="68" w:lineRule="exact"/>
        <w:rPr>
          <w:rFonts w:ascii="Arial" w:cs="Arial" w:eastAsia="Arial" w:hAnsi="Arial"/>
          <w:sz w:val="16"/>
          <w:szCs w:val="16"/>
          <w:color w:val="auto"/>
        </w:rPr>
      </w:pPr>
    </w:p>
    <w:p>
      <w:pPr>
        <w:ind w:left="1020" w:right="44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National authorization procedures</w:t>
      </w:r>
      <w:r>
        <w:rPr>
          <w:rFonts w:ascii="Arial" w:cs="Arial" w:eastAsia="Arial" w:hAnsi="Arial"/>
          <w:sz w:val="18"/>
          <w:szCs w:val="18"/>
          <w:color w:val="auto"/>
        </w:rPr>
        <w:t>—There are also two other possible routes to authorize products for therapeutic indications in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which are available for products that fall outside the scope of the centralized procedure:</w:t>
      </w:r>
    </w:p>
    <w:p>
      <w:pPr>
        <w:spacing w:after="0" w:line="62" w:lineRule="exact"/>
        <w:rPr>
          <w:rFonts w:ascii="Arial" w:cs="Arial" w:eastAsia="Arial" w:hAnsi="Arial"/>
          <w:sz w:val="18"/>
          <w:szCs w:val="18"/>
          <w:color w:val="auto"/>
        </w:rPr>
      </w:pPr>
    </w:p>
    <w:p>
      <w:pPr>
        <w:ind w:left="1020" w:right="240" w:hanging="503"/>
        <w:spacing w:after="0" w:line="248"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Decentralized procedure</w:t>
      </w:r>
      <w:r>
        <w:rPr>
          <w:rFonts w:ascii="Arial" w:cs="Arial" w:eastAsia="Arial" w:hAnsi="Arial"/>
          <w:sz w:val="18"/>
          <w:szCs w:val="18"/>
          <w:color w:val="auto"/>
        </w:rPr>
        <w:t>—Using the decentralized procedure, an applicant may apply for simultaneous authorization in more than one EU</w:t>
      </w:r>
      <w:r>
        <w:rPr>
          <w:rFonts w:ascii="Arial" w:cs="Arial" w:eastAsia="Arial" w:hAnsi="Arial"/>
          <w:sz w:val="18"/>
          <w:szCs w:val="18"/>
          <w:i w:val="1"/>
          <w:iCs w:val="1"/>
          <w:color w:val="auto"/>
        </w:rPr>
        <w:t xml:space="preserve"> </w:t>
      </w:r>
      <w:r>
        <w:rPr>
          <w:rFonts w:ascii="Arial" w:cs="Arial" w:eastAsia="Arial" w:hAnsi="Arial"/>
          <w:sz w:val="18"/>
          <w:szCs w:val="18"/>
          <w:color w:val="auto"/>
        </w:rPr>
        <w:t>country of medicinal products that have not yet been authorized in any EU country and that do not fall within the mandatory scope of the centralized procedure.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jc w:val="both"/>
        <w:ind w:left="1020" w:right="160" w:hanging="503"/>
        <w:spacing w:after="0" w:line="270"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Mutual recognition procedure</w:t>
      </w:r>
      <w:r>
        <w:rPr>
          <w:rFonts w:ascii="Arial" w:cs="Arial" w:eastAsia="Arial" w:hAnsi="Arial"/>
          <w:sz w:val="17"/>
          <w:szCs w:val="17"/>
          <w:color w:val="auto"/>
        </w:rPr>
        <w:t>—In the mutual recognition procedure, a medicine is first authorized in one EU Member State,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national procedures of that country. Following this, additional marketing authorizations can be sought from other EU countries in a procedure whereby the countries concerned recognize the validity of the original, national marketing authorization.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0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 authorized product. Once subsequently definitively renewed, the marketing authorization shall be valid for an unlimited period, unless the European Commission or the national competent authority decides, on justified grounds relating to pharmacovigilance, to proceed with one additional five-year renewal period. Any authorization which is not followed by the actual placing of the medicinal product on the EU market (in the case of the centralized procedure) or on the market of the authorizing EU Member State for a nationally authorized product within three years after authorization, ceases to be valid (the so-called sunset clause).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and market exclusivity</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the EU, innovative products for therapeutic indications that are authorized for marketing (i.e., reference products) qualify for eight years of data exclusivity and an additional two years of market exclusivity upon marketing authorization. The data exclusivity period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Prior to obtaining a marketing authorization in the EU, applicants must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or SPC, provided an application for such extension is made at the same time as filing the SPC application for the product, or at any point up to 2 years before the SPC expires, even where the trial results are negative. In the case of orphan medicinal products, a two year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1" w:name="page52"/>
    <w:bookmarkEnd w:id="51"/>
    <w:p>
      <w:pPr>
        <w:ind w:right="60"/>
        <w:spacing w:after="0" w:line="261" w:lineRule="auto"/>
        <w:rPr>
          <w:sz w:val="20"/>
          <w:szCs w:val="20"/>
          <w:color w:val="auto"/>
        </w:rPr>
      </w:pPr>
      <w:r>
        <w:rPr>
          <w:rFonts w:ascii="Arial" w:cs="Arial" w:eastAsia="Arial" w:hAnsi="Arial"/>
          <w:sz w:val="18"/>
          <w:szCs w:val="18"/>
          <w:color w:val="auto"/>
        </w:rPr>
        <w:t>extension of the orphan market exclusivity may be available. This pediatric reward is subject to specific conditions and is not automatically available when data in compliance with the PIP are developed and submitted.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criteria for designating an “orphan medicinal product” in the EU are similar in principle to those in the United States. In the EU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An orphan product can also obtain an additional two years of market exclusivity in the EU for pediatric studies.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Similar to the United States, the various phases of non-clinical and clinical research in the EU are subject to significant regulatory controls.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9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75" w:lineRule="exact"/>
        <w:rPr>
          <w:sz w:val="20"/>
          <w:szCs w:val="20"/>
          <w:color w:val="auto"/>
        </w:rPr>
      </w:pPr>
    </w:p>
    <w:p>
      <w:pPr>
        <w:ind w:left="1020" w:right="1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62" w:lineRule="exact"/>
        <w:rPr>
          <w:rFonts w:ascii="Arial" w:cs="Arial" w:eastAsia="Arial" w:hAnsi="Arial"/>
          <w:sz w:val="18"/>
          <w:szCs w:val="18"/>
          <w:color w:val="auto"/>
        </w:rPr>
      </w:pPr>
    </w:p>
    <w:p>
      <w:pPr>
        <w:ind w:left="1020" w:right="40" w:hanging="503"/>
        <w:spacing w:after="0" w:line="279"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51" w:lineRule="exact"/>
        <w:rPr>
          <w:rFonts w:ascii="Arial" w:cs="Arial" w:eastAsia="Arial" w:hAnsi="Arial"/>
          <w:sz w:val="16"/>
          <w:szCs w:val="16"/>
          <w:color w:val="auto"/>
        </w:rPr>
      </w:pPr>
    </w:p>
    <w:p>
      <w:pPr>
        <w:ind w:left="1020" w:right="400" w:hanging="503"/>
        <w:spacing w:after="0" w:line="24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marketing and promotion of authorized drugs, including industry-sponsored continuing medical education and advertising directed toward the prescribers of drugs and/or the general public, are strictly regulated in the EU. Direct-to-consumer advertising of prescription medicines is prohibited across the EU.</w:t>
      </w:r>
    </w:p>
    <w:p>
      <w:pPr>
        <w:spacing w:after="0" w:line="168"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aforementioned EU rules are generally applicable in the European Economic Area, or EEA, which consists of the EU Member States, plus Norway, Liechtenstein and Iceland.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9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On June 23, 2016, the electorate in the United Kingdom, or UK, voted in favor of leaving the EU, commonly referred to as Brexit, and the UK formally left the EU on January 31, 2020. There was a transition period during which EU pharmaceutical laws continued to apply to the UK, which expired on December 31, 2020. However,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with EU regulations, however it is possible that these regimes will diverge in future now that Great Britain’s regulatory system is independent from the EU and the TCA does not provide for mutual recognition of UK and EU pharmaceutical legislation.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of the processing of personal data collected outside of the United States</w:t>
      </w:r>
    </w:p>
    <w:p>
      <w:pPr>
        <w:spacing w:after="0" w:line="10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the event we conduct clinical trials in the EEA, we will be subject to additional data protection restrictions. The collection and use of personal data in the EEA, is governed by the General Data Protection Regulation, or the GDPR, which became effective on May 25, 2018. The GDPR applies to the processing of personal data of data subjects in the EEA by any company established in the EEA and to companies established outside the EEA to the extent they process personal data in connection with the offering of goods or services to data subjects in the EEA or the monitoring of the behavior of data subjects in the EEA. The GDPR sets forth data protection obligations for data controllers of personal data, including stringent requirements relating to notifying data subjects, about how personal data is used, requirements to conduct privacy impact assessments for certain “high risk” processing, limitations on retention of personal data, mandatory data breach notification in certain circumstances, and “privacy by design” requirements, and also creates direct obligations on service providers acting as data processors. The GDPR also imposes strict rules on the transfer of personal data outside of the EEA to countries that do not ensure an adequate level of protection. Failure to comply with the requirements of the GDPR and the related national data protection laws of the EEA, which may deviate slightly from the GDPR, may result in fines of up to 4% of a company’s global revenues for the preceding financial year, or €20,000,000, whichever is greater. Moreover, the GDPR grants data subjects the right to claim material and non-material damages resulting from infringement of the GDPR. Given the breadth and depth of changes in data protection obligations, maintaining compliance with the GDPR will require significant time, resources and expense, and we may be required to put in place additional controls and processes ensuring compliance with the new data protection rules. In addition, further to the UK’s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forth the UK’s data protection regime, which is independent from but aligned to the EU’s GDPR.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08"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As of December 31, 2021, we had 245 full-time employees. 108 of our employees have M.D. or Ph.D. degrees. Within our workforce, 183 employees are engaged in research and development and 62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53" w:name="page54"/>
    <w:bookmarkEnd w:id="53"/>
    <w:p>
      <w:pPr>
        <w:ind w:right="60"/>
        <w:spacing w:after="0" w:line="279" w:lineRule="auto"/>
        <w:rPr>
          <w:sz w:val="20"/>
          <w:szCs w:val="20"/>
          <w:color w:val="auto"/>
        </w:rPr>
      </w:pPr>
      <w:r>
        <w:rPr>
          <w:rFonts w:ascii="Arial" w:cs="Arial" w:eastAsia="Arial" w:hAnsi="Arial"/>
          <w:sz w:val="16"/>
          <w:szCs w:val="16"/>
          <w:color w:val="auto"/>
        </w:rPr>
        <w:t>We believe that our people are among our greatest assets and that a diverse and inclusive organization is more innovative and higher performing. We are committed to increasing representation of under-represented populations at our company, particularly in leadership roles. As of December 31, 2021, among our employees, 44% were female and 56% were male. Among our leadership (which we define as employees at the vice president level and above), approximately 18% were female. As of December 31, 2021, 28% of our employees and 14% of our leadership identify as being from diverse racial and ethnic groups. On our Board of Directors, four of our seven directors are women and/or from a diverse racial and ethnic group.</w:t>
      </w:r>
    </w:p>
    <w:p>
      <w:pPr>
        <w:spacing w:after="0" w:line="159"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As part of our efforts to create a diverse and equitable workplace, our Diversity, Equity, Belonging and Inclusion Council, which is made up of a mix of employees from various functions and positions, provides strategic guidance, senior leader support and an operating budget to fund initiatives related to diversity, equity and inclusion. In 2021, we deepened our commitment to diversity, equity, belonging and inclusion by delivering programming focused on unconscious bias, race awareness and bystander intervention specifically in response to violence against the Asian American and Pacific Islander community. Our employee resource group led several volunteer and fundraising engagements in support of the communities in and surrounding Cambridge, Massachusetts, where our primary office and laboratory space is located.</w:t>
      </w:r>
    </w:p>
    <w:p>
      <w:pPr>
        <w:spacing w:after="0" w:line="17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our workforce grows, we’re not only focused on recruiting top talent from a diverse range of backgrounds, industries and experiences, but also focused on retaining, developing and promoting our current employees. As of December 31, 2021, our company turnover rate is lower than the industry average. While the competition for talent remains strong as the number of biotechnology and pharmaceutical companies in the Cambridge area increases, we believe we can attract and retain the talent we need to be successful. We conduct periodic talent reviews to identify high performing and high potential talent within the organization. This data is used to inform specific development opportunities for current and future leaders, create custom leadership training, drive meaningful development conversations and enable succession planning for key roles. Additionally, all employees have access to a dedicated career coach to help foster continuous growth.</w:t>
      </w:r>
    </w:p>
    <w:p>
      <w:pPr>
        <w:spacing w:after="0" w:line="19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regularly host company-wide sessions (virtual and onsite) where our employees brainstorm ideas, provide feedback on corporate initiatives, share scientific breakthroughs and recognize each other’s contributions and accomplishments. We conduct an employee survey to measure employee engagement and to inform future talent initiatives. We also rolled out technology which enables employees to provide anonymous real-time feedback.</w:t>
      </w:r>
    </w:p>
    <w:p>
      <w:pPr>
        <w:spacing w:after="0" w:line="147"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In response to the ongoing COVID-19 pandemic, we implemented significant measures for the health and safety of our workforce and to ensure continuity of our operations. We regularly updated our safety protocols, taking into consideration national and local public health guidelines and input from our employees. We adopted a vaccination policy and provided employees with regular onsite COVID-19 testing, health screening, robust contact tracing and personal protective equipment such as masks. Throughout the pandemic, we enabled our workforce to work remotely and maintain a flexible schedule wherever possible. We leveraged remote hiring supported by virtual processes through which we provided a high level of interpersonal engagement and continued to expand our robust onboarding program to ensure all new hires are grounded in our business and culture.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We were incorporated under the laws of the State of Delaware on May 4, 2015 under the name Allostery, Inc. In December 2015, we changed our name to Relay Therapeutics, Inc. Our principal corporate office is located at 399 Binney Street, 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Floor, Cambridge, MA 02139, and our telephone number is</w:t>
      </w:r>
    </w:p>
    <w:p>
      <w:pPr>
        <w:spacing w:after="0" w:line="1" w:lineRule="exact"/>
        <w:rPr>
          <w:sz w:val="20"/>
          <w:szCs w:val="20"/>
          <w:color w:val="auto"/>
        </w:rPr>
      </w:pPr>
    </w:p>
    <w:p>
      <w:pPr>
        <w:ind w:right="100" w:firstLine="8"/>
        <w:spacing w:after="0" w:line="243" w:lineRule="auto"/>
        <w:tabs>
          <w:tab w:leader="none" w:pos="4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370-8837. Our website address is www.relaytx.com. Our website and the information contained on, or that can be accessed through, the website will not be deemed to be incorporated by reference in, and are not considered part of, this Annual Report on Form 10-K.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jc w:val="both"/>
        <w:ind w:right="200"/>
        <w:spacing w:after="0" w:line="294" w:lineRule="auto"/>
        <w:rPr>
          <w:sz w:val="20"/>
          <w:szCs w:val="20"/>
          <w:color w:val="auto"/>
        </w:rPr>
      </w:pPr>
      <w:r>
        <w:rPr>
          <w:rFonts w:ascii="Arial" w:cs="Arial" w:eastAsia="Arial" w:hAnsi="Arial"/>
          <w:sz w:val="16"/>
          <w:szCs w:val="16"/>
          <w:color w:val="auto"/>
        </w:rPr>
        <w:t>Our website address is www.relaytx.com. 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&amp; Media” portion of our website free of charge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as soon as reasonably practicable after we electronically file such material with, or furnish it to, the SEC. Information on our website is not part of this Annual Report on Form 10-K or any of our other filings with the SEC unless specifically incorporated herein by reference. In addition, our filings with the SEC may be accessed through the SEC’s Interactive Data Electronic Applications system at www.sec.gov. All statements made in any of our filings with the SEC or documents available on our website,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89"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color w:val="auto"/>
        </w:rPr>
        <w:t>Our code of conduct, corporate governance guidelines and the charters of our Audit Committee, Research and Development Committee, Compensation Committee and Nominating and Corporate Governance Committee are available through the “Investors &amp; Media” portion of our website.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Annual Report on Form 10-K, including our consolidated financial statements and the related notes and “Management’s Discussion and Analysis of Financial Condition and Results of Operations,” before deciding whether to invest in our common stock. We believe the risks described below include risks that are material to us as well as other risks that may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financial condition, results of operations and growth prospects and could result in a complete loss of your investment.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 Candidates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Clinical Development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successfully completed any clinical trials, and we may be unable to do so for any product candidates we develop.</w:t>
      </w:r>
    </w:p>
    <w:p>
      <w:pPr>
        <w:spacing w:after="0" w:line="10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have not yet demonstrated our ability to successfully complete any clinical trials, including large-scale, pivotal clinical trials, obtain regulatory approvals, manufacture a commercial scale product, or arrange for a third party to do so on our behalf, or conduct sales and marketing activities necessary for successful commercialization. We have three product candidates, RLY-1971, RLY-4008 and RLY-2608, in first-in-human clinical development. We may not be able to file INDs for any of our other product candidates on the timelines we expect, if at all. For example, we may experience manufacturing delays with IND-enabling studies. Moreover, we cannot be sure that once we have submitted an IND, the FDA will allow further clinical trials to begin, or that, once begun, issues will not arise that require us to suspend or terminate clinical trials. The FDA or other regulatory authorities may impose a clinical hold before or after a trial begins for a number of reasons outlined in FDA regulations, including if the FDA believes the study drug raises a significant risk of illness or injury. If the FDA imposes a clinical hold, trials may not commence or recommence without FDA authorization and then only under terms authorized by the FDA. Accordingly, the submission of an IND does not mean the FDA will allow clinical trials to begin and, if and when clinical trials do commence under an active IND, issues may arise that require suspension or termination of such trials. Further, commencing each of these clinical trials is subject to finalizing the trial design based on discussions with the FDA and other regulatory authorities. Any guidance we receive from the FDA or other regulatory authorities is subject to change. Regulatory authorities could change their position, including, on the acceptability of our trial designs or the clinical endpoints selected, which may require us to complete additional clinical trials or impose stricter approval conditions than we currently expect. Successful completion of our clinical trials is a prerequisite to submitting a new drug application, or NDA, to the FDA and a Marketing Authorization Application, or MAA, to the European Medicines Agency, or EMA, for each product candidate and, consequently, the ultimate approval and commercial marketing of each product candidate. Our RLY-1971, RLY-4008 and RLY-2608 first-in-human clinical trials are ongoing, but we do not know whether any of our future clinical trials will begin on time or ever be completed on schedule, if at all.</w:t>
      </w:r>
    </w:p>
    <w:p>
      <w:pPr>
        <w:spacing w:after="0" w:line="179"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4" w:lineRule="exact"/>
        <w:rPr>
          <w:sz w:val="20"/>
          <w:szCs w:val="20"/>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post-marketing testing requirements; or</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Clinical product development involves a lengthy and expensive process, with an uncertain outcome.</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It is impossible to predict when or if any of our product candidates will prove effective and safe in humans or will receive regulatory approval. Before obtaining marketing approval from regulatory authorities for the sale of any product candidate, we must complete preclinical studies and then conduct the required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and other nonclinical studies and clinical trials have nonetheless failed to obtain marketing approval of their product candidates. Our preclinical and other nonclinical studies and future clinical trials may not be successful.</w:t>
      </w:r>
    </w:p>
    <w:p>
      <w:pPr>
        <w:spacing w:after="0" w:line="19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From time to time, we may publish interim top-line or preliminary data from our clinical trials. Interim data from clinical trials are subject to the risk that one or more of the clinical outcomes may materially change as more participants enroll and data mature. Preliminary or top-line data also remain subject to cleaning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29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our product candidates.</w:t>
      </w:r>
    </w:p>
    <w:p>
      <w:pPr>
        <w:spacing w:after="0" w:line="63"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product candidates, including:</w:t>
      </w:r>
    </w:p>
    <w:p>
      <w:pPr>
        <w:spacing w:after="0" w:line="74" w:lineRule="exact"/>
        <w:rPr>
          <w:sz w:val="20"/>
          <w:szCs w:val="20"/>
          <w:color w:val="auto"/>
        </w:rPr>
      </w:pPr>
    </w:p>
    <w:p>
      <w:pPr>
        <w:ind w:left="760" w:right="120" w:hanging="378"/>
        <w:spacing w:after="0" w:line="261"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760" w:right="220" w:hanging="378"/>
        <w:spacing w:after="0" w:line="248"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7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existing clinical trial sites may drop out of the clinical trial, which may require that we add new clinical trial sites or investigators;</w:t>
      </w:r>
    </w:p>
    <w:p>
      <w:pPr>
        <w:spacing w:after="0" w:line="103" w:lineRule="exact"/>
        <w:rPr>
          <w:rFonts w:ascii="Arial" w:cs="Arial" w:eastAsia="Arial" w:hAnsi="Arial"/>
          <w:sz w:val="18"/>
          <w:szCs w:val="18"/>
          <w:color w:val="auto"/>
        </w:rPr>
      </w:pPr>
    </w:p>
    <w:p>
      <w:pPr>
        <w:ind w:left="760" w:right="540" w:hanging="378"/>
        <w:spacing w:after="0" w:line="291"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and we may decide, or regulators may require us, to conduct additional nonclinical studies or clinical trials or we may decide to abandon product development programs;</w:t>
      </w:r>
    </w:p>
    <w:p>
      <w:pPr>
        <w:spacing w:after="0" w:line="38" w:lineRule="exact"/>
        <w:rPr>
          <w:rFonts w:ascii="Arial" w:cs="Arial" w:eastAsia="Arial" w:hAnsi="Arial"/>
          <w:sz w:val="17"/>
          <w:szCs w:val="17"/>
          <w:color w:val="auto"/>
        </w:rPr>
      </w:pPr>
    </w:p>
    <w:p>
      <w:pPr>
        <w:ind w:left="760" w:hanging="378"/>
        <w:spacing w:after="0" w:line="248"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73" w:lineRule="exact"/>
        <w:rPr>
          <w:rFonts w:ascii="Arial" w:cs="Arial" w:eastAsia="Arial" w:hAnsi="Arial"/>
          <w:sz w:val="18"/>
          <w:szCs w:val="18"/>
          <w:color w:val="auto"/>
        </w:rPr>
      </w:pPr>
    </w:p>
    <w:p>
      <w:pPr>
        <w:ind w:left="760" w:right="180" w:hanging="378"/>
        <w:spacing w:after="0" w:line="261"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third party contractors may fail to comply with regulatory requirements or meet their contractual obligations to us in a timely manner, or at all, or may deviate from the clinical trial protocol;</w:t>
      </w:r>
    </w:p>
    <w:p>
      <w:pPr>
        <w:spacing w:after="0" w:line="62" w:lineRule="exact"/>
        <w:rPr>
          <w:rFonts w:ascii="Arial" w:cs="Arial" w:eastAsia="Arial" w:hAnsi="Arial"/>
          <w:sz w:val="18"/>
          <w:szCs w:val="18"/>
          <w:color w:val="auto"/>
        </w:rPr>
      </w:pPr>
    </w:p>
    <w:p>
      <w:pPr>
        <w:ind w:left="760" w:right="380" w:hanging="378"/>
        <w:spacing w:after="0" w:line="248"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are being exposed to unacceptable health risks;</w:t>
      </w:r>
    </w:p>
    <w:p>
      <w:pPr>
        <w:spacing w:after="0" w:line="7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03" w:lineRule="exact"/>
        <w:rPr>
          <w:rFonts w:ascii="Arial" w:cs="Arial" w:eastAsia="Arial" w:hAnsi="Arial"/>
          <w:sz w:val="18"/>
          <w:szCs w:val="18"/>
          <w:color w:val="auto"/>
        </w:rPr>
      </w:pPr>
    </w:p>
    <w:p>
      <w:pPr>
        <w:ind w:left="760" w:right="80" w:hanging="378"/>
        <w:spacing w:after="0" w:line="261"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adequately project the timing and quantity of our product candidates or other materials necessary to conduct clinical trials of our product candidates or the supply or quality of these materials may be insufficient or inadequate;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7" w:name="page58"/>
    <w:bookmarkEnd w:id="57"/>
    <w:p>
      <w:pPr>
        <w:jc w:val="both"/>
        <w:ind w:left="760" w:right="80" w:hanging="378"/>
        <w:spacing w:after="0" w:line="248"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clinical trials, or reports may arise from nonclinical or clinical testing of other cancer therapies that raise safety or efficacy concerns about our product candidates.</w:t>
      </w:r>
    </w:p>
    <w:p>
      <w:pPr>
        <w:spacing w:after="0" w:line="18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inspection of the clinical trial operations or clinical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19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including those caused by the ongoing COVID-19 pandemic,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Any delays in our preclinical or future clinical development programs may harm our business, financial condition and prospects significantly.</w:t>
      </w:r>
    </w:p>
    <w:p>
      <w:pPr>
        <w:spacing w:after="0" w:line="27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will be deploying our drug discovery platform across a broad target space, our ability to enroll eligible patients may be limited or may result in slower enrollment than we anticipate.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our ability to enroll patients may be significantly delayed by the ongoing COVID-19 pandemic and we do not know the extent and scope of such delays at this point.</w:t>
      </w:r>
    </w:p>
    <w:p>
      <w:pPr>
        <w:spacing w:after="0" w:line="19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In addition to the competitive clinical trial environment, the eligibility criteria of our planned clinical trials will further limit the pool of available study participants as we will require that patients have specific characteristics that we can measure to assure their cancer is either severe enough or not too advanced to include them in a study. Additionally, the process of finding patients may prove costly. We also may not be able to identify, recruit and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18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may also engage third parties to develop companion diagnostics for use in our clinical trials, but such third parties may not be successful in developing such companion diagnostics, furthering the difficulty in identifying patients with the targeted genetic mutations for our clinical trials. Further, if we are required to develop companion diagnostics and are unable to include patients with the targeted genetic mutations, this could compromise our ability to seek participation in the FDA’s expedited review and development programs, including Breakthrough Therapy Designation and Fast Track Designation, or otherwise to seek to accelerate clinical development and regulatory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58" w:name="page59"/>
    <w:bookmarkEnd w:id="58"/>
    <w:p>
      <w:pPr>
        <w:ind w:right="120"/>
        <w:spacing w:after="0" w:line="261" w:lineRule="auto"/>
        <w:rPr>
          <w:sz w:val="20"/>
          <w:szCs w:val="20"/>
          <w:color w:val="auto"/>
        </w:rPr>
      </w:pPr>
      <w:r>
        <w:rPr>
          <w:rFonts w:ascii="Arial" w:cs="Arial" w:eastAsia="Arial" w:hAnsi="Arial"/>
          <w:sz w:val="18"/>
          <w:szCs w:val="18"/>
          <w:color w:val="auto"/>
        </w:rPr>
        <w:t>timelines. The FDA has indicated that if we continue RLY-4008 and RLY-2608 in a specific biomarker-defined population, a companion diagnostic device will be required to ensure their safe and effective use.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Clinical trial enrollment may be affected by other factors including:</w:t>
      </w:r>
    </w:p>
    <w:p>
      <w:pPr>
        <w:spacing w:after="0" w:line="104" w:lineRule="exact"/>
        <w:rPr>
          <w:sz w:val="20"/>
          <w:szCs w:val="20"/>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eligibility criteria for the clinical trial in question;</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approved products that treat the same indications as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 and</w:t>
      </w:r>
    </w:p>
    <w:p>
      <w:pPr>
        <w:spacing w:after="0" w:line="103" w:lineRule="exact"/>
        <w:rPr>
          <w:rFonts w:ascii="Arial" w:cs="Arial" w:eastAsia="Arial" w:hAnsi="Arial"/>
          <w:sz w:val="18"/>
          <w:szCs w:val="18"/>
          <w:color w:val="auto"/>
        </w:rPr>
      </w:pPr>
    </w:p>
    <w:p>
      <w:pPr>
        <w:ind w:left="760" w:right="280" w:hanging="378"/>
        <w:spacing w:after="0" w:line="261"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factors we may not be able to control, such as current or potential pandemics that may limit patients, principal investigators or staff or clinical site availability (e.g., complications due to the ongoing COVID-19 pandemic).</w:t>
      </w:r>
    </w:p>
    <w:p>
      <w:pPr>
        <w:spacing w:after="0" w:line="279"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b w:val="1"/>
          <w:bCs w:val="1"/>
          <w:i w:val="1"/>
          <w:iCs w:val="1"/>
          <w:color w:val="auto"/>
        </w:rPr>
        <w:t>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w:t>
      </w:r>
    </w:p>
    <w:p>
      <w:pPr>
        <w:spacing w:after="0" w:line="80"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Any positive data from our preclinical or early clinical studies of our product candidates may not necessarily be predictive of the results of later clinical studies and any future clinical trials of our product candidates. Similarly, even if we are able to complete our planned preclinical and clinical studies or any future clinical trials of our product candidates according to our current development timeline, the positive data from such preclinical or early clinical studies and clinical trials of our product candidates may not be replicated in subsequent nonclinical studies or clinical trial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EMA or other regulatory authority approval.</w:t>
      </w:r>
    </w:p>
    <w:p>
      <w:pPr>
        <w:spacing w:after="0" w:line="29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Our current or future clinical trials or those of our future collaborators may reveal significant adverse events not seen in our preclinical or nonclinical studies or early clinical data and may result in a safety profile that would inhibit regulatory approval or market acceptance of any of our product candidates.</w:t>
      </w:r>
    </w:p>
    <w:p>
      <w:pPr>
        <w:spacing w:after="0" w:line="7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Before obtaining regulatory approvals for the commercial sale of any products, we must demonstrate through lengthy, complex and expensive preclinical or other nonclinical studies and clinical trials that our product candidates are both safe and effective for use in each target indication. Clinical testing is expensive and can take many years to complete, and its outcome is inherently uncertain. Failure can occur at any time during the clinical trial process. The results of preclinical or other nonclinical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9" w:name="page60"/>
    <w:bookmarkEnd w:id="59"/>
    <w:p>
      <w:pPr>
        <w:ind w:right="120"/>
        <w:spacing w:after="0" w:line="279" w:lineRule="auto"/>
        <w:rPr>
          <w:sz w:val="20"/>
          <w:szCs w:val="20"/>
          <w:color w:val="auto"/>
        </w:rPr>
      </w:pPr>
      <w:r>
        <w:rPr>
          <w:rFonts w:ascii="Arial" w:cs="Arial" w:eastAsia="Arial" w:hAnsi="Arial"/>
          <w:sz w:val="16"/>
          <w:szCs w:val="16"/>
          <w:color w:val="auto"/>
        </w:rPr>
        <w:t>failure of product candidates proceeding through clinical trials. Product candidates in later stages of clinical trials also may fail to show the desired safety and efficacy profile despite having progressed through nonclinical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spacing w:after="0" w:line="159"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color w:val="auto"/>
        </w:rPr>
        <w:t>We may develop future product candidates, in combination with one or more cancer therapies. The uncertainty resulting from the use of our product candidates in combination with other cancer therapies may make it difficult to accurately predict side effects in future clinical trials.</w:t>
      </w:r>
    </w:p>
    <w:p>
      <w:pPr>
        <w:spacing w:after="0" w:line="14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As is the case with many treatments for cancer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clinical trials, or we may be required to abandon the clinical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277"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w:t>
      </w:r>
    </w:p>
    <w:p>
      <w:pPr>
        <w:spacing w:after="0" w:line="7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For example, pursuant to the DESRES Agreement, we collaborate with D. E. Shaw Research to develop various protein models and make predictions as to how molecules might move, with subsequent validation efforts in our and our CROs’ labs. There can be no assurance that we will find potential additional targets using this approach, that any such targets will be tractable, or that such clinical validations will be successful. Our research programs may initially show promise in identifying potential indications and/or product candidates, yet fail to yield results for clinical development for a number of reasons, including:</w:t>
      </w:r>
    </w:p>
    <w:p>
      <w:pPr>
        <w:spacing w:after="0" w:line="83" w:lineRule="exact"/>
        <w:rPr>
          <w:sz w:val="20"/>
          <w:szCs w:val="20"/>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product candidates;</w:t>
      </w:r>
    </w:p>
    <w:p>
      <w:pPr>
        <w:spacing w:after="0" w:line="103" w:lineRule="exact"/>
        <w:rPr>
          <w:rFonts w:ascii="Arial" w:cs="Arial" w:eastAsia="Arial" w:hAnsi="Arial"/>
          <w:sz w:val="18"/>
          <w:szCs w:val="18"/>
          <w:color w:val="auto"/>
        </w:rPr>
      </w:pPr>
    </w:p>
    <w:p>
      <w:pPr>
        <w:ind w:left="760" w:right="420" w:hanging="378"/>
        <w:spacing w:after="0" w:line="261"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product candidates may, after further study, be shown to have harmful adverse effects or other characteristics that indicate they are unlikely to be effective products; or</w:t>
      </w:r>
    </w:p>
    <w:p>
      <w:pPr>
        <w:spacing w:after="0" w:line="62" w:lineRule="exact"/>
        <w:rPr>
          <w:rFonts w:ascii="Arial" w:cs="Arial" w:eastAsia="Arial" w:hAnsi="Arial"/>
          <w:sz w:val="18"/>
          <w:szCs w:val="18"/>
          <w:color w:val="auto"/>
        </w:rPr>
      </w:pPr>
    </w:p>
    <w:p>
      <w:pPr>
        <w:ind w:left="760" w:right="60" w:hanging="378"/>
        <w:spacing w:after="0" w:line="248"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18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Because we have limited financial and human resources, we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8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Accordingly, there can be no assurance that we will ever be able to identify additional therapeutic opportunities for our product candidates or to develop suitable potential product candidates through internal research programs, which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0" w:name="page61"/>
    <w:bookmarkEnd w:id="60"/>
    <w:p>
      <w:pPr>
        <w:spacing w:after="0" w:line="261" w:lineRule="auto"/>
        <w:rPr>
          <w:sz w:val="20"/>
          <w:szCs w:val="20"/>
          <w:color w:val="auto"/>
        </w:rPr>
      </w:pPr>
      <w:r>
        <w:rPr>
          <w:rFonts w:ascii="Arial" w:cs="Arial" w:eastAsia="Arial" w:hAnsi="Arial"/>
          <w:sz w:val="18"/>
          <w:szCs w:val="18"/>
          <w:color w:val="auto"/>
        </w:rPr>
        <w:t>could materially adversely affect our future growth and prospects. We may focus our efforts and resources on potential product candidates or other potential programs that ultimately prove to be unsuccessful.</w:t>
      </w:r>
    </w:p>
    <w:p>
      <w:pPr>
        <w:spacing w:after="0" w:line="27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intend to develop our current product candidates and potentially future product candidates, in combination with other therapies, which exposes us to additional risks.</w:t>
      </w:r>
    </w:p>
    <w:p>
      <w:pPr>
        <w:spacing w:after="0" w:line="6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intend to develop our current product candidates, and may develop future product candidates, for use in combination with one or more currently approved cancer therapies. Even if any product candidate we develop was to receive marketing approval or be commercialized for use in combination with other existing therapies, we would continue to bear the risks that the FDA or similar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191"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We may also evaluate our current product candidates or any other future product candidates in combination with one or more other cancer therapies that have not yet been approved for marketing by the FDA or similar regulatory authorities. We will not be able to market and sell our SHP2 program, FGFR2 program, or PI3K program or any product candidate we develop in combination with any such unapproved cancer therapies that do not ultimately obtain marketing approval. Pursuant to the Genentech Agreement, as further described above, Genentech will assume the development of RLY-1971, including developing RLY-1971 in combination with Genentech’s KRAS G12C program.</w:t>
      </w:r>
    </w:p>
    <w:p>
      <w:pPr>
        <w:spacing w:after="0" w:line="174" w:lineRule="exact"/>
        <w:rPr>
          <w:sz w:val="20"/>
          <w:szCs w:val="20"/>
          <w:color w:val="auto"/>
        </w:rPr>
      </w:pPr>
    </w:p>
    <w:p>
      <w:pPr>
        <w:jc w:val="both"/>
        <w:ind w:right="320"/>
        <w:spacing w:after="0" w:line="294" w:lineRule="auto"/>
        <w:rPr>
          <w:sz w:val="20"/>
          <w:szCs w:val="20"/>
          <w:color w:val="auto"/>
        </w:rPr>
      </w:pPr>
      <w:r>
        <w:rPr>
          <w:rFonts w:ascii="Arial" w:cs="Arial" w:eastAsia="Arial" w:hAnsi="Arial"/>
          <w:sz w:val="16"/>
          <w:szCs w:val="16"/>
          <w:color w:val="auto"/>
        </w:rPr>
        <w:t>If the FDA or similar regulatory authorities do not approve these other drugs or revoke their approval of, or if safety, efficacy, manufacturing, or supply issues arise with, the drugs we choose to evaluate in combination with our current product candidates or any product candidate we develop, we may be unable to obtain approval of or market our SHP2 program, FGFR2 program, or PI3K program or any product candidate we develop.</w:t>
      </w:r>
    </w:p>
    <w:p>
      <w:pPr>
        <w:spacing w:after="0" w:line="255" w:lineRule="exact"/>
        <w:rPr>
          <w:sz w:val="20"/>
          <w:szCs w:val="20"/>
          <w:color w:val="auto"/>
        </w:rPr>
      </w:pPr>
    </w:p>
    <w:p>
      <w:pPr>
        <w:ind w:right="600"/>
        <w:spacing w:after="0" w:line="324" w:lineRule="auto"/>
        <w:rPr>
          <w:sz w:val="20"/>
          <w:szCs w:val="20"/>
          <w:color w:val="auto"/>
        </w:rPr>
      </w:pPr>
      <w:r>
        <w:rPr>
          <w:rFonts w:ascii="Arial" w:cs="Arial" w:eastAsia="Arial" w:hAnsi="Arial"/>
          <w:sz w:val="16"/>
          <w:szCs w:val="16"/>
          <w:b w:val="1"/>
          <w:bCs w:val="1"/>
          <w:i w:val="1"/>
          <w:iCs w:val="1"/>
          <w:color w:val="auto"/>
        </w:rPr>
        <w:t>Our product candidates utilize a novel mechanism of action and novel binding locations, which may result in greater research and development expenses, regulatory issues that could delay or prevent approval, or discovery of unknown or unanticipated adverse effects.</w:t>
      </w:r>
    </w:p>
    <w:p>
      <w:pPr>
        <w:spacing w:after="0" w:line="16"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Our product candidates utilize novel mechanisms of action and novel binding locations, which may result in greater research and development expenses, regulatory issues that could delay or prevent approval, or discovery of unknown or unanticipated adverse effects. Our Dynamo platform uses advanced computational models in tight integration with our medicinal chemistry, structural biology, enzymology and biophysics capabilities to predict and design the compounds that will achieve the most desirable characteristics, including potency, selectivity, bioavailability, and drug-like properties. A disruption in any of these capabilities may have significant adverse effects in our abilities to expand our Dynamo platform, and we cannot predict whether we will continue to have access to these capabilities in the future to support our Dynamo platform. In addition, there can be no assurance that we will be able to rapidly identify, design and synthesize the necessary compounds or that these or other problems related to the development of this novel mechanism will not arise in the future, which may cause significant delays, or we raise problems we may not be able to resolve.</w:t>
      </w:r>
    </w:p>
    <w:p>
      <w:pPr>
        <w:spacing w:after="0" w:line="168"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our mechanism of action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Because our inhibitors utilize a novel mechanism of action that has not been the subject of extensive study compared to more well-known product candidates, there is also an increased risk that we may discover previously unknown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1" w:name="page62"/>
    <w:bookmarkEnd w:id="61"/>
    <w:p>
      <w:pPr>
        <w:ind w:right="320"/>
        <w:spacing w:after="0" w:line="261" w:lineRule="auto"/>
        <w:rPr>
          <w:sz w:val="20"/>
          <w:szCs w:val="20"/>
          <w:color w:val="auto"/>
        </w:rPr>
      </w:pPr>
      <w:r>
        <w:rPr>
          <w:rFonts w:ascii="Arial" w:cs="Arial" w:eastAsia="Arial" w:hAnsi="Arial"/>
          <w:sz w:val="18"/>
          <w:szCs w:val="18"/>
          <w:color w:val="auto"/>
        </w:rPr>
        <w:t>unanticipated adverse effects during our preclinical or other nonclinical studies and clinical trials. Any such events could adversely impact our business prospects, financial condition and results of operations.</w:t>
      </w:r>
    </w:p>
    <w:p>
      <w:pPr>
        <w:spacing w:after="0" w:line="27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are conducting, or have filed clinical trial applications to conduct, clinical trials for our product candidates outside the United States, and the FDA and similar foreign regulatory authorities may not accept data from such trials.</w:t>
      </w:r>
    </w:p>
    <w:p>
      <w:pPr>
        <w:spacing w:after="0" w:line="63"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We are conducting, or have filed clinical trial applications to conduct, additional clinical trials outside the United States, including Australia, the United Kingdom, Europe and Asia and may conduct, or file clinical trial applications to conduct, additional clinical trials in other foreign jurisdictions in the future.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clinical trials conducted outside of the United States or the applicable jurisdiction. If the FDA or any similar foreign regulatory authority does not accept such data, it would result in the need for additional clinical trials, which would be costly and time-consuming and delay aspects of our business plan, and which may result in our product candidates not receiving approval or clearance for commercialization in the applicable jurisdiction.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Obtaining Regulatory Approvals</w:t>
      </w:r>
    </w:p>
    <w:p>
      <w:pPr>
        <w:spacing w:after="0" w:line="104" w:lineRule="exact"/>
        <w:rPr>
          <w:sz w:val="20"/>
          <w:szCs w:val="20"/>
          <w:color w:val="auto"/>
        </w:rPr>
      </w:pPr>
    </w:p>
    <w:p>
      <w:pPr>
        <w:ind w:right="760"/>
        <w:spacing w:after="0" w:line="356" w:lineRule="auto"/>
        <w:rPr>
          <w:sz w:val="20"/>
          <w:szCs w:val="20"/>
          <w:color w:val="auto"/>
        </w:rPr>
      </w:pPr>
      <w:r>
        <w:rPr>
          <w:rFonts w:ascii="Arial" w:cs="Arial" w:eastAsia="Arial" w:hAnsi="Arial"/>
          <w:sz w:val="15"/>
          <w:szCs w:val="15"/>
          <w:b w:val="1"/>
          <w:bCs w:val="1"/>
          <w:i w:val="1"/>
          <w:iCs w:val="1"/>
          <w:color w:val="auto"/>
        </w:rPr>
        <w:t>If we are not able to obtain, or if delays occur in obtaining, required regulatory approvals for our product candidates, we will not be able to commercialize, or will be delayed in commercializing, our product candidates, and our ability to generate revenue will be materially impaired.</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similar authorities in other countries. Before we can commercialize any of our product candidates, we must obtain marketing approval. Currently, all of our product candidates are in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nonclinical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18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process of obtaining regulatory approvals, both in the United States and abroad, is expensive and often takes many years. If the FDA or a similar foreign regulatory authority requires that we perform additional nonclinical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2" w:name="page63"/>
    <w:bookmarkEnd w:id="62"/>
    <w:p>
      <w:pPr>
        <w:ind w:right="300"/>
        <w:spacing w:after="0" w:line="241" w:lineRule="auto"/>
        <w:rPr>
          <w:sz w:val="20"/>
          <w:szCs w:val="20"/>
          <w:color w:val="auto"/>
        </w:rPr>
      </w:pPr>
      <w:r>
        <w:rPr>
          <w:rFonts w:ascii="Arial" w:cs="Arial" w:eastAsia="Arial" w:hAnsi="Arial"/>
          <w:sz w:val="18"/>
          <w:szCs w:val="18"/>
          <w:color w:val="auto"/>
        </w:rPr>
        <w:t>regulations, or changes in regulatory review for each submitted NDA, 510(k), premarket approval application, or PMA, or equivalent application types, may cause delays in the approval or rejection of an application. The FDA and similar authorities in other countries have substantial discretion in the approval process and may refuse to accept any application or may decide that our data are insufficient for approval and require additional nonclinical, clinical or other studies. Our product candidates could be delayed in receiving, or fail to receive, regulatory approval for many reasons, including the following:</w:t>
      </w:r>
    </w:p>
    <w:p>
      <w:pPr>
        <w:spacing w:after="0" w:line="81" w:lineRule="exact"/>
        <w:rPr>
          <w:sz w:val="20"/>
          <w:szCs w:val="20"/>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similar foreign regulatory authorities may disagree with the design or implementation of our clinical trials;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enroll a sufficient number of patients in our clinical studies;</w:t>
      </w:r>
    </w:p>
    <w:p>
      <w:pPr>
        <w:spacing w:after="0" w:line="103" w:lineRule="exact"/>
        <w:rPr>
          <w:rFonts w:ascii="Arial" w:cs="Arial" w:eastAsia="Arial" w:hAnsi="Arial"/>
          <w:sz w:val="18"/>
          <w:szCs w:val="18"/>
          <w:color w:val="auto"/>
        </w:rPr>
      </w:pPr>
    </w:p>
    <w:p>
      <w:pPr>
        <w:ind w:left="760" w:right="400" w:hanging="378"/>
        <w:spacing w:after="0" w:line="291" w:lineRule="auto"/>
        <w:tabs>
          <w:tab w:leader="none" w:pos="7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or similar foreign regulatory authorities that a product candidate is safe and effective for its proposed indication or a related companion diagnostic is suitable to identify appropriate patient populations;</w:t>
      </w:r>
    </w:p>
    <w:p>
      <w:pPr>
        <w:spacing w:after="0" w:line="38" w:lineRule="exact"/>
        <w:rPr>
          <w:rFonts w:ascii="Arial" w:cs="Arial" w:eastAsia="Arial" w:hAnsi="Arial"/>
          <w:sz w:val="17"/>
          <w:szCs w:val="17"/>
          <w:color w:val="auto"/>
        </w:rPr>
      </w:pPr>
    </w:p>
    <w:p>
      <w:pPr>
        <w:ind w:left="760" w:right="360" w:hanging="378"/>
        <w:spacing w:after="0" w:line="261"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similar foreign regulatory authorities for approval;</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FDA or similar foreign regulatory authorities may disagree with our interpretation of data from nonclinical studies or clinical trials;</w:t>
      </w:r>
    </w:p>
    <w:p>
      <w:pPr>
        <w:spacing w:after="0" w:line="115" w:lineRule="exact"/>
        <w:rPr>
          <w:rFonts w:ascii="Arial" w:cs="Arial" w:eastAsia="Arial" w:hAnsi="Arial"/>
          <w:sz w:val="17"/>
          <w:szCs w:val="17"/>
          <w:color w:val="auto"/>
        </w:rPr>
      </w:pPr>
    </w:p>
    <w:p>
      <w:pPr>
        <w:ind w:left="760" w:hanging="378"/>
        <w:spacing w:after="0" w:line="261"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62" w:lineRule="exact"/>
        <w:rPr>
          <w:rFonts w:ascii="Arial" w:cs="Arial" w:eastAsia="Arial" w:hAnsi="Arial"/>
          <w:sz w:val="18"/>
          <w:szCs w:val="18"/>
          <w:color w:val="auto"/>
        </w:rPr>
      </w:pPr>
    </w:p>
    <w:p>
      <w:pPr>
        <w:ind w:left="760" w:right="100" w:hanging="378"/>
        <w:spacing w:after="0" w:line="261"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similar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760" w:right="160" w:hanging="378"/>
        <w:spacing w:after="0" w:line="261"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similar foreign regulatory authorities may significantly change such that our clinical data are insufficient for approval.</w:t>
      </w:r>
    </w:p>
    <w:p>
      <w:pPr>
        <w:spacing w:after="0" w:line="171"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Even if we were to obtain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9"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Commercialization</w:t>
      </w:r>
    </w:p>
    <w:p>
      <w:pPr>
        <w:spacing w:after="0" w:line="10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are currently evaluating the safety and tolerability of RLY-1971 in a Phase 1 dose escalation/dose expansion study in patients with advanced or metastatic solid tumors and pursuant to the Genentech Agreement entered into in December 2020, future development for RLY-1971, including the potential to conduct multiple combination studies, is governed by a joint development team between us and Genentech. In July 2021, Genentech initiated the cohort of RLY-1971 in combination with GDC-6036, its KRAS G12C inhibitor, in a Phase 1b trial. We estimate there are approximately 38,000 patients annually in the United States with advanced lung cancer or colorectal cancer who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3" w:name="page64"/>
    <w:bookmarkEnd w:id="63"/>
    <w:p>
      <w:pPr>
        <w:ind w:right="420"/>
        <w:spacing w:after="0" w:line="262" w:lineRule="auto"/>
        <w:rPr>
          <w:sz w:val="20"/>
          <w:szCs w:val="20"/>
          <w:color w:val="auto"/>
        </w:rPr>
      </w:pPr>
      <w:r>
        <w:rPr>
          <w:rFonts w:ascii="Arial" w:cs="Arial" w:eastAsia="Arial" w:hAnsi="Arial"/>
          <w:sz w:val="17"/>
          <w:szCs w:val="17"/>
          <w:color w:val="auto"/>
        </w:rPr>
        <w:t>might benefit from a combination of RLY-1971 with another targeted inhibitor. In the future, if RLY-1971 advances to earlier lines of combination treatment for lung cancer or colorectal cancer, we believe it could be applied in the treatment of approximately 70,000 patients annually in the United States. The subset of patients with KRAS G12C mutations in lung cancer and colorectal cancer who could potentially benefit from the combination of RLY-1971 with GDC-6036 is approximately 17,000 to 32,000 annually in the United States.</w:t>
      </w:r>
    </w:p>
    <w:p>
      <w:pPr>
        <w:spacing w:after="0" w:line="17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are also evaluating the safety and tolerability of RLY-4008, our inhibitor of FGFR2 in patients with advanced solid tumors having oncogenic FGFR2 alterations, in a first-in-human trial initiated in September 2020. We believe FGFR2-mediated cancers affect approximately 8,000 late-line patients annually in the United States. In the future, if RLY-4008 advances to earlier lines of treatment, it could potentially address approximately 20,000 patients annually in the United States.</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December 2021, we dosed the first patient in a first-in-human clinical trial for RLY-2608, the first known allosteric, pan-mutant (H1047X, E542X and E545X) and isoform-selective PI3Kα inhibitor in clinical development. We believe RLY-2608 has the potential to address approximately 50,000 to 156,000 patients per year in the United States, one of the largest patient populations for a precision oncology medicine.</w:t>
      </w:r>
    </w:p>
    <w:p>
      <w:pPr>
        <w:spacing w:after="0" w:line="16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Our projections of both the number of people who have these diseases, as well as the subset of people with these diseases who have the potential to benefit from treatment with RLY-1971, RLY-4008 or RLY-2608 or other product candidates, are based on estimates.</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The total addressable market opportunity will ultimately depend upon, among other things, the diagnosis criteria included in the final label, if our product candidates are approved for sale for these indications, acceptance by the medical community and patient access, product pricing and reimbursement. The number of patients with cancers and solid tumors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27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development and commercialization of new products in the biopharmaceutical and related industries is highly competitive. We compete in the segments of the pharmaceutical, biotechnology, and other related markets that address computationally focused structure-based drug design in cancer and genetic diseases. There are other companies focusing on structure-based drug design to develop therapies in the fields of cancer and other diseases.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that pursue precision medicines. Key product features that would affect our ability to effectively compete with other therapeutics include the efficacy, safety and convenience of our products. We believe principal competitive factors to our business include, among other things, the accuracy of our computations and predictions, ability to integrate computational and experimental capabilities, ability to successfully transition research programs into clinical development, ability to raise capital, and the scalability of the platform, pipeline, and business.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4" w:name="page65"/>
    <w:bookmarkEnd w:id="64"/>
    <w:p>
      <w:pPr>
        <w:ind w:right="20"/>
        <w:spacing w:after="0" w:line="253" w:lineRule="auto"/>
        <w:rPr>
          <w:sz w:val="20"/>
          <w:szCs w:val="20"/>
          <w:color w:val="auto"/>
        </w:rPr>
      </w:pPr>
      <w:r>
        <w:rPr>
          <w:rFonts w:ascii="Arial" w:cs="Arial" w:eastAsia="Arial" w:hAnsi="Arial"/>
          <w:sz w:val="17"/>
          <w:szCs w:val="17"/>
          <w:color w:val="auto"/>
        </w:rPr>
        <w:t>Many of the companies that we compete against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Smaller or earlier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In addition, we cannot predict whether our current competitive advantages, such as our ability to leverage our Dynamo platform and our relationship with D. E. Shaw Research, will remain in place in the future. If these or other barriers to entry do not remain in place, other companies may be able to more directly or effectively compete with us.</w:t>
      </w:r>
    </w:p>
    <w:p>
      <w:pPr>
        <w:spacing w:after="0" w:line="184"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more rapidly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83" w:lineRule="exact"/>
        <w:rPr>
          <w:sz w:val="20"/>
          <w:szCs w:val="20"/>
          <w:color w:val="auto"/>
        </w:rPr>
      </w:pPr>
    </w:p>
    <w:p>
      <w:pPr>
        <w:jc w:val="both"/>
        <w:ind w:right="400"/>
        <w:spacing w:after="0" w:line="248"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71"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similar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Factors payors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5" w:name="page66"/>
    <w:bookmarkEnd w:id="65"/>
    <w:p>
      <w:pPr>
        <w:ind w:right="100"/>
        <w:spacing w:after="0" w:line="274" w:lineRule="auto"/>
        <w:rPr>
          <w:sz w:val="20"/>
          <w:szCs w:val="20"/>
          <w:color w:val="auto"/>
        </w:rPr>
      </w:pPr>
      <w:r>
        <w:rPr>
          <w:rFonts w:ascii="Arial" w:cs="Arial" w:eastAsia="Arial" w:hAnsi="Arial"/>
          <w:sz w:val="16"/>
          <w:szCs w:val="16"/>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spacing w:after="0" w:line="16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U.S. and generally prices tend to be significantly lower.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8"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b w:val="1"/>
          <w:bCs w:val="1"/>
          <w:i w:val="1"/>
          <w:iCs w:val="1"/>
          <w:color w:val="auto"/>
        </w:rPr>
        <w:t>Under the DESRES Agreement, as amended, we collaborate with D. E. Shaw Research to rapidly develop various protein models, a process that depends on D. E. Shaw Research’s use of their proprietary supercomputer, Anton 2. A termination of the DESRES Agreement could have a material adverse effect on our business, financial condition, results of operations, and prospects.</w:t>
      </w:r>
    </w:p>
    <w:p>
      <w:pPr>
        <w:spacing w:after="0" w:line="56"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Under the DESRES Agreement, we collaborate with D. E. Shaw Research to develop various protein models to make predictions as to how molecules might move in connection with identifying potential new biological targets and prospective drug compounds. There can be no assurance these protein models, or the technology used by D. E. Shaw Research to develop them (including the Anton 2 supercomputer), will provide reliable data or target information, or that the findings from these activities and our subsequent validation efforts will translate into the ability to develop therapeutically effective compounds. Our collaboration with D. E. Shaw Research is our key computational collaboration, and there can be no assurance that this collaboration will continue past the current term of the DESRES Agreement, on favorable terms or at all, or that at any time while the collaboration is in effect D. E. Shaw Research will provide a level of service that benefits our programs in a meaningfully positive manner. While we also have other computational collaborations, mostly focused on developing machine learning models, such collaborations do not provide a substitute for the technology made available through our collaboration with D. E. Shaw Research. The termination of the DESRES Agreement or any reduction in our collaboration with D. E. Shaw Research would require us to rely more heavily on these other collaborations and our own internal resources, and may delay or impair our development efforts.</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Furthermore, while the termination of the DESRES Agreement would not directly impact the development of our lead product candidates, we cannot predict the effects such termination could have on our preclinical studies and development efforts and our ability to discover and develop additional product candidates. In particular, the technologies accessed through D. E. Shaw Research, including the Anton 2 supercomputer, are important aspects of our Dynamo platform, and we do not currently have access to another source of computational power comparable to that provided by the Anton 2 supercomputer. Currently, not only is our collaboration with D. E. Shaw Research for a limited time period, but it is also limited with respect to the number of target proteins available under the collaboration (with such number subject to increases or decreases from year to year, and with the number of total targets across categories capped at twenty, subject to some limitations), which could restrict our ability to broaden our platform across a larger number of targets and programs.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6" w:name="page67"/>
    <w:bookmarkEnd w:id="66"/>
    <w:p>
      <w:pPr>
        <w:spacing w:after="0" w:line="271" w:lineRule="auto"/>
        <w:rPr>
          <w:sz w:val="20"/>
          <w:szCs w:val="20"/>
          <w:color w:val="auto"/>
        </w:rPr>
      </w:pPr>
      <w:r>
        <w:rPr>
          <w:rFonts w:ascii="Arial" w:cs="Arial" w:eastAsia="Arial" w:hAnsi="Arial"/>
          <w:sz w:val="16"/>
          <w:szCs w:val="16"/>
          <w:color w:val="auto"/>
        </w:rPr>
        <w:t>Under the DESRES Agreement, D. E. Shaw Research controls the rights to its technology, we control the rights to certain compounds, and we jointly own with D. E. Shaw Research any other work product created by D. E. Shaw Research and us. Any work product we jointly own with D. E. Shaw Research and any other information that we or D. E. Shaw Research share is subject to a non-exclusive cross-license between us and D. E. Shaw Research, subject to certain exceptions. In some instances, D. E. Shaw Research is required to assign to us some of the work product created by D. E. Shaw Research. Disputes may arise between us and D. E. Shaw Research, as well as any future potential collaborators, regarding intellectual property subject to the DESRES Agreement. If disputes over intellectual property that we co-own or we own individually prevent or impair our ability to maintain our current collaboration arrangements on acceptable terms, or undermine our ability to successfully control the intellectual property necessary to protect our product candidates, we may be unable to successfully develop and commercialize the affected product candidates. Uncertainties or disagreements around our rights under any such intellectual property may undermine our ability to partner our programs with third parties.</w:t>
      </w:r>
    </w:p>
    <w:p>
      <w:pPr>
        <w:spacing w:after="0" w:line="169"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In addition, the DESRES Agreement is complex and certain provisions may be susceptible to multiple interpretations. The resolution of any contract interpretation disagreement that may arise could be adverse to us, for example by narrowing what we believe to be the scope of our rights to certain intellectual property, or increasing what we believe to be our financial or other obligations under the DESRES Agreement, and any such outcome could have a material adverse effect on our business, financial condition, results of operations, and prospects.</w:t>
      </w:r>
    </w:p>
    <w:p>
      <w:pPr>
        <w:spacing w:after="0" w:line="172"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co-own, as we are for intellectual property that we own, which are described below. If we or D. E. Shaw Research fail to adequately protect this intellectual property, our ability to commercialize products could suffer.</w:t>
      </w:r>
    </w:p>
    <w:p>
      <w:pPr>
        <w:spacing w:after="0" w:line="18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Moreover, we are subject to certain payment obligations under the DESRES Agreement, including payments to D. E. Shaw Research in connection with certain transactions, including our collaboration with Genentech pursuant to the Genentech Agreement. These payment obligations may decrease the value to us of certain transactional opportunities or otherwise burden our ability to enter into such transactions.</w:t>
      </w:r>
    </w:p>
    <w:p>
      <w:pPr>
        <w:spacing w:after="0" w:line="272"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b w:val="1"/>
          <w:bCs w:val="1"/>
          <w:i w:val="1"/>
          <w:iCs w:val="1"/>
          <w:color w:val="auto"/>
        </w:rPr>
        <w:t>We rely on third parties to conduct our ongoing clinical trials of RLY-1971, RLY-4008 and RLY-2608 and expect to rely on third parties to conduct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do not have the ability to independently conduct clinical trials. We rely and expect to continue to rely on medical institutions, clinical investigators, contract laboratories and other third parties, such as CROs, to conduct or otherwise support clinical trials for our product candidates, including our first-in-human clinical trials of RLY-1971, RLY-4008 and RLY-2608, currently enrolling patients.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p>
    <w:p>
      <w:pPr>
        <w:spacing w:after="0" w:line="19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7" w:name="page68"/>
    <w:bookmarkEnd w:id="67"/>
    <w:p>
      <w:pPr>
        <w:jc w:val="both"/>
        <w:ind w:right="100"/>
        <w:spacing w:after="0" w:line="241" w:lineRule="auto"/>
        <w:rPr>
          <w:sz w:val="20"/>
          <w:szCs w:val="20"/>
          <w:color w:val="auto"/>
        </w:rPr>
      </w:pPr>
      <w:r>
        <w:rPr>
          <w:rFonts w:ascii="Arial" w:cs="Arial" w:eastAsia="Arial" w:hAnsi="Arial"/>
          <w:sz w:val="18"/>
          <w:szCs w:val="18"/>
          <w:color w:val="auto"/>
        </w:rPr>
        <w:t>We rely and expect to continue to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89"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We, our principal investigators and our CROs are required to comply with regulations, including Good Clinical Practices, or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similar foreign regulatory authorities for any products in clinical development, including the EMA and the Medicines and Healthcare Products Regulatory Agency. These regulatory authorities enforce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similar foreign regulatory authorities may require us to perform additional clinical trials before approving our marketing applications. We cannot assure you that, upon inspection, these regulatory authorities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Although we designed our first-in-human clinical trials of RLY-1971, RLY-4008 and RLY-2608 and intend to design the future clinical trials for the product candidates that we develop, we expect that CROs will conduct all of our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1" w:lineRule="exact"/>
        <w:rPr>
          <w:sz w:val="20"/>
          <w:szCs w:val="20"/>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191"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color w:val="auto"/>
        </w:rPr>
        <w:t>If any of our relationships with these third-party principal investigators or CROs terminate, we may not be able to enter into arrangements with alternative CROs. If principal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8" w:name="page69"/>
    <w:bookmarkEnd w:id="68"/>
    <w:p>
      <w:pPr>
        <w:spacing w:after="0" w:line="243" w:lineRule="auto"/>
        <w:rPr>
          <w:sz w:val="20"/>
          <w:szCs w:val="20"/>
          <w:color w:val="auto"/>
        </w:rPr>
      </w:pPr>
      <w:r>
        <w:rPr>
          <w:rFonts w:ascii="Arial" w:cs="Arial" w:eastAsia="Arial" w:hAnsi="Arial"/>
          <w:sz w:val="18"/>
          <w:szCs w:val="18"/>
          <w:color w:val="auto"/>
        </w:rPr>
        <w:t>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296" w:lineRule="exact"/>
        <w:rPr>
          <w:sz w:val="20"/>
          <w:szCs w:val="20"/>
          <w:color w:val="auto"/>
        </w:rPr>
      </w:pPr>
    </w:p>
    <w:p>
      <w:pPr>
        <w:ind w:right="100"/>
        <w:spacing w:after="0" w:line="322"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products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9"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similar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63" w:lineRule="exact"/>
        <w:rPr>
          <w:sz w:val="20"/>
          <w:szCs w:val="20"/>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 Due to capacity constraints at cGMP manufacturers relating to the ongoing COVID-19 pandemic, we have been required to forecast the amount of clinical trial supply needed for our clinical trials further in advance than had typically been required and there is limited flexibility to adjust our manufacturing needs as our clinical trials progress, which may lead to added costs or delays in our clinical trials.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9" w:name="page70"/>
    <w:bookmarkEnd w:id="69"/>
    <w:p>
      <w:pPr>
        <w:ind w:right="40"/>
        <w:spacing w:after="0" w:line="268"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are also unable to predict how the ongoing COVID-19 pandemic may affect our third-party manufacturers, including any potential disruptions to our global supply chain. If our current contract manufacturers cannot perform as agreed, we may be required to replace such manufacturers, which we may not be able to do on reasonable terms, if at all, or manufacture the materials ourselves, for which we may not have the capabilities or resources. In either scenario, our clinical trials supply could be delayed significantly as we establish alternative supply sources. In some cases, the technical skills required to manufacture our products or product candidates may be unique or proprietary to the original contract manufacturing organization, or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may incur added costs and delays in identifying and qualifying any such replacement.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7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 used in our product candidates are our sole source of supply, and the loss of any of these suppliers could significantly harm our business.</w:t>
      </w:r>
    </w:p>
    <w:p>
      <w:pPr>
        <w:spacing w:after="0" w:line="63"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The active pharmaceutical ingredients, or API, used in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such as the ongoing COVID-19 pandemic will affect our third-party suppliers and manufacturers. Any negative impact of such matters on our third-party suppliers and manufacturers may also have an adverse impact on our results of operations or financial condition.</w:t>
      </w:r>
    </w:p>
    <w:p>
      <w:pPr>
        <w:spacing w:after="0" w:line="163"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For all of our product candidates, we intend to identify and qualify additional manufacturers to provide such API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5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70" w:name="page71"/>
    <w:bookmarkEnd w:id="70"/>
    <w:p>
      <w:pPr>
        <w:ind w:right="140"/>
        <w:spacing w:after="0" w:line="291" w:lineRule="auto"/>
        <w:rPr>
          <w:sz w:val="20"/>
          <w:szCs w:val="20"/>
          <w:color w:val="auto"/>
        </w:rPr>
      </w:pPr>
      <w:r>
        <w:rPr>
          <w:rFonts w:ascii="Arial" w:cs="Arial" w:eastAsia="Arial" w:hAnsi="Arial"/>
          <w:sz w:val="17"/>
          <w:szCs w:val="17"/>
          <w:b w:val="1"/>
          <w:bCs w:val="1"/>
          <w:i w:val="1"/>
          <w:iCs w:val="1"/>
          <w:color w:val="auto"/>
        </w:rPr>
        <w:t>We have and may enter into other collaborations with third parties for the research, development, manufacture and commercialization of one or more of our programs or product candidates. If these collaborations are not successful, our business could be adversely affected.</w:t>
      </w:r>
    </w:p>
    <w:p>
      <w:pPr>
        <w:spacing w:after="0" w:line="39"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We have entered into and may enter into collaborations with third parties for one or more of our programs or product candidates, such as the Genentech Agreement, our global collaboration and license agreement with Genentech to develop and commercialize RLY-1971. If we enter into any such arrangements with any third parties, we will likely have limited control over the amount and timing of resources that any future collaborators dedicate to the development or commercialization of our product candidates. Our ability to generate revenue from these arrangements will depend on our collaborators’ abilities to successfully perform the functions assigned to them.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Any collaborations we enter into may pose several risks, including the following:</w:t>
      </w:r>
    </w:p>
    <w:p>
      <w:pPr>
        <w:spacing w:after="0" w:line="104" w:lineRule="exact"/>
        <w:rPr>
          <w:sz w:val="20"/>
          <w:szCs w:val="20"/>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clinical trials conducted as part of these collaborations may not be successful;</w:t>
      </w:r>
    </w:p>
    <w:p>
      <w:pPr>
        <w:spacing w:after="0" w:line="103" w:lineRule="exact"/>
        <w:rPr>
          <w:rFonts w:ascii="Arial" w:cs="Arial" w:eastAsia="Arial" w:hAnsi="Arial"/>
          <w:sz w:val="18"/>
          <w:szCs w:val="18"/>
          <w:color w:val="auto"/>
        </w:rPr>
      </w:pPr>
    </w:p>
    <w:p>
      <w:pPr>
        <w:ind w:left="760" w:right="20" w:hanging="378"/>
        <w:spacing w:after="0" w:line="270" w:lineRule="auto"/>
        <w:tabs>
          <w:tab w:leader="none" w:pos="7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Collaborators may not pursue development and/or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5" w:lineRule="exact"/>
        <w:rPr>
          <w:rFonts w:ascii="Arial" w:cs="Arial" w:eastAsia="Arial" w:hAnsi="Arial"/>
          <w:sz w:val="17"/>
          <w:szCs w:val="17"/>
          <w:color w:val="auto"/>
        </w:rPr>
      </w:pPr>
    </w:p>
    <w:p>
      <w:pPr>
        <w:ind w:left="760" w:right="140" w:hanging="378"/>
        <w:spacing w:after="0" w:line="261"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clinical trials,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760" w:right="300" w:hanging="378"/>
        <w:spacing w:after="0" w:line="248"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73" w:lineRule="exact"/>
        <w:rPr>
          <w:rFonts w:ascii="Arial" w:cs="Arial" w:eastAsia="Arial" w:hAnsi="Arial"/>
          <w:sz w:val="18"/>
          <w:szCs w:val="18"/>
          <w:color w:val="auto"/>
        </w:rPr>
      </w:pPr>
    </w:p>
    <w:p>
      <w:pPr>
        <w:ind w:left="760" w:hanging="378"/>
        <w:spacing w:after="0" w:line="248"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760" w:right="160" w:hanging="378"/>
        <w:spacing w:after="0" w:line="291" w:lineRule="auto"/>
        <w:tabs>
          <w:tab w:leader="none" w:pos="7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Product candidates developed in collaboration with us may be viewed by any collaborators as competitive with their own product candidates or products, which may cause collaborators to cease to devote resources to the commercialization of our product candidates;</w:t>
      </w:r>
    </w:p>
    <w:p>
      <w:pPr>
        <w:spacing w:after="0" w:line="38" w:lineRule="exact"/>
        <w:rPr>
          <w:rFonts w:ascii="Arial" w:cs="Arial" w:eastAsia="Arial" w:hAnsi="Arial"/>
          <w:sz w:val="17"/>
          <w:szCs w:val="17"/>
          <w:color w:val="auto"/>
        </w:rPr>
      </w:pPr>
    </w:p>
    <w:p>
      <w:pPr>
        <w:ind w:left="760" w:right="100" w:hanging="378"/>
        <w:spacing w:after="0" w:line="261"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any such product candidate;</w:t>
      </w:r>
    </w:p>
    <w:p>
      <w:pPr>
        <w:spacing w:after="0" w:line="62" w:lineRule="exact"/>
        <w:rPr>
          <w:rFonts w:ascii="Arial" w:cs="Arial" w:eastAsia="Arial" w:hAnsi="Arial"/>
          <w:sz w:val="18"/>
          <w:szCs w:val="18"/>
          <w:color w:val="auto"/>
        </w:rPr>
      </w:pPr>
    </w:p>
    <w:p>
      <w:pPr>
        <w:ind w:left="760" w:right="20" w:hanging="378"/>
        <w:spacing w:after="0" w:line="243"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of any programs or product candidates, may cause delays or termination of the research, development, manufacture or commercialization of such programs or product candidates, may lead to additional responsibilities for us with respect to such programs or product candidates or may result in litigation or arbitration, any of which would be time-consuming and expensive;</w:t>
      </w:r>
    </w:p>
    <w:p>
      <w:pPr>
        <w:spacing w:after="0" w:line="79" w:lineRule="exact"/>
        <w:rPr>
          <w:rFonts w:ascii="Arial" w:cs="Arial" w:eastAsia="Arial" w:hAnsi="Arial"/>
          <w:sz w:val="18"/>
          <w:szCs w:val="18"/>
          <w:color w:val="auto"/>
        </w:rPr>
      </w:pPr>
    </w:p>
    <w:p>
      <w:pPr>
        <w:ind w:left="760" w:right="120" w:hanging="378"/>
        <w:spacing w:after="0" w:line="241"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For example, Genentech has the first right to enforce or defend certain of our intellectual property rights under our collaboration, and although we may have the right to assume the enforcement and defense of such intellectual property rights if Genentech does not, our ability to do so may be compromised by Genentech’s actions;</w:t>
      </w:r>
    </w:p>
    <w:p>
      <w:pPr>
        <w:spacing w:after="0" w:line="8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1" w:name="page72"/>
    <w:bookmarkEnd w:id="71"/>
    <w:p>
      <w:pPr>
        <w:ind w:left="760" w:hanging="378"/>
        <w:spacing w:after="0"/>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115" w:lineRule="exact"/>
        <w:rPr>
          <w:rFonts w:ascii="Arial" w:cs="Arial" w:eastAsia="Arial" w:hAnsi="Arial"/>
          <w:sz w:val="17"/>
          <w:szCs w:val="17"/>
          <w:color w:val="auto"/>
        </w:rPr>
      </w:pPr>
    </w:p>
    <w:p>
      <w:pPr>
        <w:ind w:left="760" w:right="140" w:hanging="378"/>
        <w:spacing w:after="0" w:line="248"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 For example, Genentech may terminate its collaboration with us for convenience after a specified notice period.</w:t>
      </w:r>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If our collaborations do not result in the successful development and commercialization of products, or if one of any future collaborators terminates its agreement with us, we may not receive any milestone or royalty payments under the collaboration. If we do not receive the payments we expect under these agreements, our development of product candidates could be delayed and we may need additional resources to develop our product candidates. All of the risks relating to product development, regulatory approval and commercialization summarized and described in this report also apply to the activities of our collaborators.</w:t>
      </w:r>
    </w:p>
    <w:p>
      <w:pPr>
        <w:spacing w:after="0" w:line="18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In addition, if any collaborator terminates its agreement with us, we may find it more difficult to attract new collaborators and our reputation among the business and financial communities could be adversely affected.</w:t>
      </w:r>
    </w:p>
    <w:p>
      <w:pPr>
        <w:spacing w:after="0" w:line="27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6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84" w:lineRule="exact"/>
        <w:rPr>
          <w:sz w:val="20"/>
          <w:szCs w:val="20"/>
          <w:color w:val="auto"/>
        </w:rPr>
      </w:pPr>
    </w:p>
    <w:p>
      <w:pPr>
        <w:ind w:right="820"/>
        <w:spacing w:after="0" w:line="294" w:lineRule="auto"/>
        <w:rPr>
          <w:sz w:val="20"/>
          <w:szCs w:val="20"/>
          <w:color w:val="auto"/>
        </w:rPr>
      </w:pPr>
      <w:r>
        <w:rPr>
          <w:rFonts w:ascii="Arial" w:cs="Arial" w:eastAsia="Arial" w:hAnsi="Arial"/>
          <w:sz w:val="16"/>
          <w:szCs w:val="16"/>
          <w:color w:val="auto"/>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2" w:name="page73"/>
    <w:bookmarkEnd w:id="72"/>
    <w:p>
      <w:pPr>
        <w:spacing w:after="0"/>
        <w:rPr>
          <w:sz w:val="20"/>
          <w:szCs w:val="20"/>
          <w:color w:val="auto"/>
        </w:rPr>
      </w:pPr>
      <w:r>
        <w:rPr>
          <w:rFonts w:ascii="Arial" w:cs="Arial" w:eastAsia="Arial" w:hAnsi="Arial"/>
          <w:sz w:val="15"/>
          <w:szCs w:val="15"/>
          <w:b w:val="1"/>
          <w:bCs w:val="1"/>
          <w:i w:val="1"/>
          <w:iCs w:val="1"/>
          <w:color w:val="auto"/>
        </w:rPr>
        <w:t>We may be required to pay certain milestones and royalties under our license or collaboration agreements with third-party licensors or collaborators.</w:t>
      </w:r>
    </w:p>
    <w:p>
      <w:pPr>
        <w:spacing w:after="0" w:line="13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Under our current and future license or collaboration agreements, including our DESRES Agreement, we may be required to pay milestones, royalties and other payments based on our revenues, including revenues from product sales, and these milestones and royalty payments could adversely affect the overall profitability of any products that we may seek to commercialize. In order to maintain our rights under these agreements, we may need to meet certain specified milestones in the development of our product candidates. Further, our licensors (or their licensors), licensees or other strategic collaborators may dispute the terms, including amounts, that we are required to pay under the respective license or collaboration agreements. If these claims result in a material increase in the amounts that we are required to pay to our licensors or collaborators, or in a claim of breach of the license, our ability to research, develop and obtain approval of product candidates or to commercialize our products could be significantly impaired.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Ability to Raise Additional Capital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Operating History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biopharmaceutical company with a limited operating history.</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are a biopharmaceutical company with a limited operating history and have incurred net losses in each year since our inception. Our net losses were $363.9 million, $52.4 million, and $75.3 million for the years ended December 31, 2021, 2020 and 2019, respectively. We had an accumulated deficit of $768.1 million as of December 31, 2021. Biopharmaceutical product development is a highly speculative undertaking and involves a substantial degree of risk. We commenced operations in May 2015. Since inception, we have focused substantially all of our efforts and financial resources on developing our drug discovery platform and initial product candidates.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anticipate that we will incur continued losses for the foreseeable future.</w:t>
      </w:r>
    </w:p>
    <w:p>
      <w:pPr>
        <w:spacing w:after="0" w:line="127"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the commencement and continuation of clinical trials of our product candidates. In addition, if we obtain marketing approval for our product candidates, we will incur significant sales, marketing and outsourced-manufacturing expenses. We will also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6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amount of our future losses is uncertain and our quarterly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39" w:lineRule="exact"/>
        <w:rPr>
          <w:sz w:val="20"/>
          <w:szCs w:val="20"/>
          <w:color w:val="auto"/>
        </w:rPr>
      </w:pPr>
    </w:p>
    <w:p>
      <w:pPr>
        <w:ind w:left="760" w:right="660" w:hanging="378"/>
        <w:spacing w:after="0" w:line="261"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successfully recruit and retain subjects for clinical trials, and any delays caused by difficulties in such efforts;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73" w:name="page74"/>
    <w:bookmarkEnd w:id="73"/>
    <w:p>
      <w:pPr>
        <w:ind w:left="760" w:hanging="378"/>
        <w:spacing w:after="0"/>
        <w:tabs>
          <w:tab w:leader="none" w:pos="7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115" w:lineRule="exact"/>
        <w:rPr>
          <w:rFonts w:ascii="Arial" w:cs="Arial" w:eastAsia="Arial" w:hAnsi="Arial"/>
          <w:sz w:val="17"/>
          <w:szCs w:val="17"/>
          <w:color w:val="auto"/>
        </w:rPr>
      </w:pPr>
    </w:p>
    <w:p>
      <w:pPr>
        <w:ind w:left="760" w:right="360" w:hanging="378"/>
        <w:spacing w:after="0" w:line="261"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 and the terms of our agreements with manufacturers;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demand for our product candidates should they receive approval, which may vary significantly;</w:t>
      </w:r>
    </w:p>
    <w:p>
      <w:pPr>
        <w:spacing w:after="0" w:line="103" w:lineRule="exact"/>
        <w:rPr>
          <w:rFonts w:ascii="Arial" w:cs="Arial" w:eastAsia="Arial" w:hAnsi="Arial"/>
          <w:sz w:val="18"/>
          <w:szCs w:val="18"/>
          <w:color w:val="auto"/>
        </w:rPr>
      </w:pPr>
    </w:p>
    <w:p>
      <w:pPr>
        <w:ind w:left="760" w:right="300" w:hanging="378"/>
        <w:spacing w:after="0" w:line="261"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changing and volatile U.S. and global economic environments, including as a result of the ongoing COVID-19 pandemic;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products approved for commercial sale and have not generated any revenue from product sales.</w:t>
      </w:r>
    </w:p>
    <w:p>
      <w:pPr>
        <w:spacing w:after="0" w:line="10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our product sales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spacing w:after="0" w:line="80" w:lineRule="exact"/>
        <w:rPr>
          <w:sz w:val="20"/>
          <w:szCs w:val="20"/>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successfully complete preclinical studies;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successfully enroll subjects in, and complete, clinical trials;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have our IND applications go into effect for our planned clinical trials or future clinical trials;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receive regulatory approvals from applicable regulatory authorities;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initiate and successfully complete all safety studies required to obtain U.S. and foreign marketing approval for our product candidates;</w:t>
      </w:r>
    </w:p>
    <w:p>
      <w:pPr>
        <w:spacing w:after="0" w:line="115" w:lineRule="exact"/>
        <w:rPr>
          <w:rFonts w:ascii="Arial" w:cs="Arial" w:eastAsia="Arial" w:hAnsi="Arial"/>
          <w:sz w:val="17"/>
          <w:szCs w:val="17"/>
          <w:color w:val="auto"/>
        </w:rPr>
      </w:pPr>
    </w:p>
    <w:p>
      <w:pPr>
        <w:ind w:left="760" w:right="520" w:hanging="378"/>
        <w:spacing w:after="0" w:line="261"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obtain and maintain patent and trade secret protection or regulatory exclusivity for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launch commercial sales of our product candidates, if and when approved, whether alone or in collaboration with others;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obtain and maintain acceptance of the product candidates, if and when approved, by patients, the medical community and third-party payors;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effectively compete with other therapies;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4" w:name="page75"/>
    <w:bookmarkEnd w:id="74"/>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obtain and maintain healthcare coverage and adequate reimbursement;</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enforce and defend intellectual property rights and claims;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take temporary precautionary measures to help minimize the risk of COVID-19 to our employees;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the product candidates following approval.</w:t>
      </w:r>
    </w:p>
    <w:p>
      <w:pPr>
        <w:spacing w:after="0" w:line="21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Raising Additional Capital</w:t>
      </w:r>
    </w:p>
    <w:p>
      <w:pPr>
        <w:spacing w:after="0" w:line="10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we would be forced to delay, reduce or eliminate some of our product development programs or commercialization efforts.</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development of pharmaceutical products is capital-intensive. We are continuing our clinical trials of our lead product candidates, RLY-4008, RLY-2608 and RLY-1971, and advancing our other product candidates through preclinical development. We expect our expenses to increase in connection with our ongoing activities, particularly as we continue the research and development of, initiate clinical trials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are incurring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6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expect that our existing cash and cash equivalents and investments will be sufficient to fund our operations through at least the next 12 months. Our future capital requirements will depend on and could increase significantly as a result of many factors, including:</w:t>
      </w:r>
    </w:p>
    <w:p>
      <w:pPr>
        <w:spacing w:after="0" w:line="63" w:lineRule="exact"/>
        <w:rPr>
          <w:sz w:val="20"/>
          <w:szCs w:val="20"/>
          <w:color w:val="auto"/>
        </w:rPr>
      </w:pPr>
    </w:p>
    <w:p>
      <w:pPr>
        <w:ind w:left="760" w:right="360" w:hanging="378"/>
        <w:spacing w:after="0" w:line="324" w:lineRule="auto"/>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impact of any business interruptions to our operations, including the timing and enrollment of patients in our planned clinical trials, or to those of our manufacturers, suppliers, or other vendors, resulting from the ongoing COVID-19 pandemic or similar public health crisis;</w:t>
      </w:r>
    </w:p>
    <w:p>
      <w:pPr>
        <w:spacing w:after="0" w:line="16" w:lineRule="exact"/>
        <w:rPr>
          <w:rFonts w:ascii="Arial" w:cs="Arial" w:eastAsia="Arial" w:hAnsi="Arial"/>
          <w:sz w:val="16"/>
          <w:szCs w:val="16"/>
          <w:color w:val="auto"/>
        </w:rPr>
      </w:pPr>
    </w:p>
    <w:p>
      <w:pPr>
        <w:ind w:left="760" w:right="240" w:hanging="378"/>
        <w:spacing w:after="0" w:line="261"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progress, results and costs of our current and future clinical trials of RLY-4008 and RLY-2608 and additional preclinical research of our PI3Kα mutant selective inhibitor programs;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research and clinical trials for our other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any existing or future collaborations that we may enter into with third parties;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 such as our collaboration with Genentech;</w:t>
      </w:r>
    </w:p>
    <w:p>
      <w:pPr>
        <w:spacing w:after="0" w:line="62" w:lineRule="exact"/>
        <w:rPr>
          <w:rFonts w:ascii="Arial" w:cs="Arial" w:eastAsia="Arial" w:hAnsi="Arial"/>
          <w:sz w:val="18"/>
          <w:szCs w:val="18"/>
          <w:color w:val="auto"/>
        </w:rPr>
      </w:pPr>
    </w:p>
    <w:p>
      <w:pPr>
        <w:ind w:left="760" w:right="80" w:hanging="378"/>
        <w:spacing w:after="0" w:line="261"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existing or future collaboration agreements, if any;</w:t>
      </w:r>
    </w:p>
    <w:p>
      <w:pPr>
        <w:spacing w:after="0" w:line="62" w:lineRule="exact"/>
        <w:rPr>
          <w:rFonts w:ascii="Arial" w:cs="Arial" w:eastAsia="Arial" w:hAnsi="Arial"/>
          <w:sz w:val="18"/>
          <w:szCs w:val="18"/>
          <w:color w:val="auto"/>
        </w:rPr>
      </w:pPr>
    </w:p>
    <w:p>
      <w:pPr>
        <w:ind w:left="760" w:right="180" w:hanging="378"/>
        <w:spacing w:after="0" w:line="261"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any existing or future collaboration agreements, if 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5" w:name="page76"/>
    <w:bookmarkEnd w:id="75"/>
    <w:p>
      <w:pPr>
        <w:ind w:left="760" w:right="100" w:hanging="378"/>
        <w:spacing w:after="0" w:line="248"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collaborator that we may have at such time;</w:t>
      </w:r>
    </w:p>
    <w:p>
      <w:pPr>
        <w:spacing w:after="0" w:line="7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62" w:lineRule="exact"/>
        <w:rPr>
          <w:rFonts w:ascii="Arial" w:cs="Arial" w:eastAsia="Arial" w:hAnsi="Arial"/>
          <w:sz w:val="18"/>
          <w:szCs w:val="18"/>
          <w:color w:val="auto"/>
        </w:rPr>
      </w:pPr>
    </w:p>
    <w:p>
      <w:pPr>
        <w:ind w:left="760" w:right="540" w:hanging="378"/>
        <w:spacing w:after="0" w:line="261"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business operations and our research and development activities; and</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1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18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Disruptions in the financial markets may make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86"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272"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private and public equity offerings, debt financings, collaborations, strategic alliances and licensing arrangements. We do not have any committed external source of funds. To the extent that we raise additional capital through the sale of common stock or securities convertible or exchangeable into common stock, your ownership interest will be diluted, and the terms of those securities may include liquidation or other preferences that materially adversely affect your rights as a common stockholder. We may offer and sell up to an aggregate amount of $300.0 million of our common stock from time to time in “at the market” offerings pursuant to the sales agreement, or the Sales Agreement, with Cowen and Company, LLC, subject to the limitations thereof. As of December 31, 2021, no shares of common stock have been sold under the Sales Agreement. Debt financing, if available, would increase our fixed payment obligations and may involve agreements that include covenants limiting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or restricting our ability to take specific actions, such as incurring additional debt, making capital expenditures or declaring dividends.</w:t>
      </w:r>
    </w:p>
    <w:p>
      <w:pPr>
        <w:spacing w:after="0" w:line="21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 and the Global Economy</w:t>
      </w:r>
    </w:p>
    <w:p>
      <w:pPr>
        <w:spacing w:after="0" w:line="108"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b w:val="1"/>
          <w:bCs w:val="1"/>
          <w:i w:val="1"/>
          <w:iCs w:val="1"/>
          <w:color w:val="auto"/>
        </w:rPr>
        <w:t>The ongoing COVID-19 pandemic has impacted our business and any future pandemic, epidemic, or outbreak of an infectious disease could similarly affect our business and our financial results and could cause further disruption to the development of our product candidates.</w:t>
      </w:r>
    </w:p>
    <w:p>
      <w:pPr>
        <w:spacing w:after="0" w:line="16"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Public health crises such as pandemics or similar outbreaks could adversely impact our business. While progress has been made in the fight against the ongoing COVID-19 pandemic, including the broad dissemination and administration of vaccines in certain countries, the COVID-19 pandemic has continued to spread globally, including in all 50 states within the United States, including specifically Cambridge, Massachusetts where our primary office and laboratory space is located. The COVID-19 pandemic has continued to evolve as new variants of COVID-19 have been identified and spread, which have led to various responses, including government-imposed quarantines, travel restrictions and other public health safety measures. The extent to which the COVID-19 pandemic may continue to affect our operations or those of our third-party partners, including our preclinical studies or clinical trial operations, will depend on future developments, which are highly uncertain and cannot be predicted with confidence, including the severity and duration of additional variant outbreaks, vaccination rates where we or our third party partners conduct operations, and the actions to contain COVID-19 or treat its impact, among others. The continued spread of COVID-19 globally could adversely impact our preclinical or clinical trial operations in the United States, including our ability to obtain slots for IND-enabling studies and recruit and retain patients and principal investigators and site staff who, as healthcare providers, may have heightened exposure to COVID-19 if infection rates remain high. For example, similar to other biopharmaceutical companies, we may experience delays in initiating IND-enabling studies, protocol deviations, enrolling our clinical trials, or dosing of patients in our clinical trials as well as in activating new trial sites. COVID-19 may also affect employees of third-party CROs located in affected geographies that we rely upon to carry out our clinical trials. In addition, if any patients enrolled in our clinical trials are infected with COVID-19, they may not be able to complete these trials. Further, since the beginning of the COVID -19 pandemic, three vaccines for COVID-19 have received Emergency Use Authorization by the FDA and one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37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Additionally, timely enrollment in ongoing and planned future clinical trials is dependent upon clinical trial sites which could be adversely affected by global health matters, such as pandemics. We conduct clinical trials for our product candidates in geographies which continue to be affected by COVID-19. Some factors from the ongoing COVID-19 pandemic that will delay or otherwise adversely affect enrollment in the clinical trials of our product candidates, as well as our business generally, include:</w:t>
      </w:r>
    </w:p>
    <w:p>
      <w:pPr>
        <w:spacing w:after="0" w:line="80" w:lineRule="exact"/>
        <w:rPr>
          <w:sz w:val="20"/>
          <w:szCs w:val="20"/>
          <w:color w:val="auto"/>
        </w:rPr>
      </w:pPr>
    </w:p>
    <w:p>
      <w:pPr>
        <w:jc w:val="both"/>
        <w:ind w:left="1020" w:right="20" w:hanging="503"/>
        <w:spacing w:after="0" w:line="248"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on travel that could interrupt key trial and business activities, such as clinical trial site initiations and monitoring, domestic and international travel by employees, contractors or patients to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7" w:name="page78"/>
    <w:bookmarkEnd w:id="77"/>
    <w:p>
      <w:pPr>
        <w:ind w:left="1020" w:right="100"/>
        <w:spacing w:after="0" w:line="294" w:lineRule="auto"/>
        <w:rPr>
          <w:sz w:val="20"/>
          <w:szCs w:val="20"/>
          <w:color w:val="auto"/>
        </w:rPr>
      </w:pPr>
      <w:r>
        <w:rPr>
          <w:rFonts w:ascii="Arial" w:cs="Arial" w:eastAsia="Arial" w:hAnsi="Arial"/>
          <w:sz w:val="16"/>
          <w:szCs w:val="16"/>
          <w:color w:val="auto"/>
        </w:rPr>
        <w:t>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39" w:lineRule="exact"/>
        <w:rPr>
          <w:sz w:val="20"/>
          <w:szCs w:val="20"/>
          <w:color w:val="auto"/>
        </w:rPr>
      </w:pPr>
    </w:p>
    <w:p>
      <w:pPr>
        <w:jc w:val="both"/>
        <w:ind w:left="1020" w:right="20" w:hanging="503"/>
        <w:spacing w:after="0" w:line="294"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potential negative effect on the operations of our third-party manufacturers, suppliers or other collaboration partners, including issues due to worker shortages, supply chain disruptions such as delays in procurement of manufacturing equipment and any related parts, facilities and production suspensions and a sudden increase in demand for certain goods and services, such as medical services and supplies;</w:t>
      </w:r>
    </w:p>
    <w:p>
      <w:pPr>
        <w:spacing w:after="0" w:line="39" w:lineRule="exact"/>
        <w:rPr>
          <w:rFonts w:ascii="Arial" w:cs="Arial" w:eastAsia="Arial" w:hAnsi="Arial"/>
          <w:sz w:val="16"/>
          <w:szCs w:val="16"/>
          <w:color w:val="auto"/>
        </w:rPr>
      </w:pPr>
    </w:p>
    <w:p>
      <w:pPr>
        <w:ind w:left="1020" w:right="36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 and</w:t>
      </w:r>
    </w:p>
    <w:p>
      <w:pPr>
        <w:spacing w:after="0" w:line="62" w:lineRule="exact"/>
        <w:rPr>
          <w:rFonts w:ascii="Arial" w:cs="Arial" w:eastAsia="Arial" w:hAnsi="Arial"/>
          <w:sz w:val="18"/>
          <w:szCs w:val="18"/>
          <w:color w:val="auto"/>
        </w:rPr>
      </w:pPr>
    </w:p>
    <w:p>
      <w:pPr>
        <w:ind w:left="1020" w:right="340" w:hanging="503"/>
        <w:spacing w:after="0" w:line="243"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8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cannot presently predict the scope and severity of the planned and potential shutdowns or disruptions of businesses and government agencies, such as the SEC or FDA.</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These and other factors arising from the ongoing COVID-19 pandemic could worsen as the pandemic continues to evolve. Any of these factors, and other factors related to any unforeseen disruptions, have had and could continue to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ongoing COVID-19 pandemic has caused significant volatility and uncertainty in U.S. and international markets. See “</w:t>
      </w:r>
      <w:r>
        <w:rPr>
          <w:rFonts w:ascii="Arial" w:cs="Arial" w:eastAsia="Arial" w:hAnsi="Arial"/>
          <w:sz w:val="17"/>
          <w:szCs w:val="17"/>
          <w:i w:val="1"/>
          <w:iCs w:val="1"/>
          <w:color w:val="auto"/>
        </w:rPr>
        <w:t>—The COVID-19 pandemic has impacted our business and any future</w:t>
      </w:r>
      <w:r>
        <w:rPr>
          <w:rFonts w:ascii="Arial" w:cs="Arial" w:eastAsia="Arial" w:hAnsi="Arial"/>
          <w:sz w:val="17"/>
          <w:szCs w:val="17"/>
          <w:color w:val="auto"/>
        </w:rPr>
        <w:t xml:space="preserve"> </w:t>
      </w:r>
      <w:r>
        <w:rPr>
          <w:rFonts w:ascii="Arial" w:cs="Arial" w:eastAsia="Arial" w:hAnsi="Arial"/>
          <w:sz w:val="17"/>
          <w:szCs w:val="17"/>
          <w:i w:val="1"/>
          <w:iCs w:val="1"/>
          <w:color w:val="auto"/>
        </w:rPr>
        <w:t>pandemic, epidemic, or outbreak of an infectious disease could similarly affect our business and our financial results and could cause further disruption to the development of our product candidates.</w:t>
      </w:r>
      <w:r>
        <w:rPr>
          <w:rFonts w:ascii="Arial" w:cs="Arial" w:eastAsia="Arial" w:hAnsi="Arial"/>
          <w:sz w:val="17"/>
          <w:szCs w:val="17"/>
          <w:color w:val="auto"/>
        </w:rPr>
        <w:t>” A severe or prolonged economic downturn could result in a variety of risks to our business,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Protecting Our Intellectual Property</w:t>
      </w:r>
    </w:p>
    <w:p>
      <w:pPr>
        <w:spacing w:after="0" w:line="104"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b w:val="1"/>
          <w:bCs w:val="1"/>
          <w:i w:val="1"/>
          <w:iCs w:val="1"/>
          <w:color w:val="auto"/>
        </w:rPr>
        <w:t>If we are unable to adequately protect our proprietary technology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will be impaired.</w:t>
      </w:r>
    </w:p>
    <w:p>
      <w:pPr>
        <w:spacing w:after="0" w:line="3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Our commercial success will depend in part on our ability to obtain and maintain proprietary or intellectual property protection in the United States and other countries for our product candidates, and our core technologies, including our novel target discovery technology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 important to</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8" w:name="page79"/>
    <w:bookmarkEnd w:id="78"/>
    <w:p>
      <w:pPr>
        <w:jc w:val="both"/>
        <w:ind w:right="260"/>
        <w:spacing w:after="0" w:line="243" w:lineRule="auto"/>
        <w:rPr>
          <w:sz w:val="20"/>
          <w:szCs w:val="20"/>
          <w:color w:val="auto"/>
        </w:rPr>
      </w:pPr>
      <w:r>
        <w:rPr>
          <w:rFonts w:ascii="Arial" w:cs="Arial" w:eastAsia="Arial" w:hAnsi="Arial"/>
          <w:sz w:val="18"/>
          <w:szCs w:val="18"/>
          <w:color w:val="auto"/>
        </w:rPr>
        <w:t>the development and implementation of our business. We also rely on trade secrets, know-how and continuing technological innovation to develop and maintain our proprietary and intellectual property position. See “Business</w:t>
      </w:r>
      <w:r>
        <w:rPr>
          <w:rFonts w:ascii="Arial" w:cs="Arial" w:eastAsia="Arial" w:hAnsi="Arial"/>
          <w:sz w:val="18"/>
          <w:szCs w:val="18"/>
          <w:i w:val="1"/>
          <w:iCs w:val="1"/>
          <w:color w:val="auto"/>
        </w:rPr>
        <w:t>—</w:t>
      </w:r>
      <w:r>
        <w:rPr>
          <w:rFonts w:ascii="Arial" w:cs="Arial" w:eastAsia="Arial" w:hAnsi="Arial"/>
          <w:sz w:val="18"/>
          <w:szCs w:val="18"/>
          <w:color w:val="auto"/>
        </w:rPr>
        <w:t>Intellectual Property” for more information regarding the patent application status for our product candidates. Other than our U.S. patent relating to RLY-1971 composition of matter, we do not own or in-license any issued patents relating to our platform, our SHP2 program, FGFR2 program, or PI3K program.</w:t>
      </w:r>
    </w:p>
    <w:p>
      <w:pPr>
        <w:spacing w:after="0" w:line="18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Genentech Agreement, we have granted an exclusive, worldwide, royalty-bearing license to Genentech, with the right to sublicense, develop and commercialize RLY-1971 and any other SHP2 inhibitors developed under the Genentech Agreement. Genentech has the first right, but not the obligation, to file, prosecute and maintain any patents licensed to it, as well as to enforce infringement of or defend claims against such patents that relate to RLY-1971 or other SHP2 inhibitors. See “Risks Related to Our Reliance on Third Parties</w:t>
      </w:r>
      <w:r>
        <w:rPr>
          <w:rFonts w:ascii="Arial" w:cs="Arial" w:eastAsia="Arial" w:hAnsi="Arial"/>
          <w:sz w:val="18"/>
          <w:szCs w:val="18"/>
          <w:i w:val="1"/>
          <w:iCs w:val="1"/>
          <w:color w:val="auto"/>
        </w:rPr>
        <w:t>—</w:t>
      </w:r>
      <w:r>
        <w:rPr>
          <w:rFonts w:ascii="Arial" w:cs="Arial" w:eastAsia="Arial" w:hAnsi="Arial"/>
          <w:sz w:val="18"/>
          <w:szCs w:val="18"/>
          <w:color w:val="auto"/>
        </w:rPr>
        <w:t>” We may enter into collaborations with third parties for the research, development, manufacture and commercialization of one or more of our programs or product candidates. If these collaborations are not successful, our business could be adversely affected.” for a discussion of risks related to the protection of our intellectual property rights under our collaborations.</w:t>
      </w:r>
    </w:p>
    <w:p>
      <w:pPr>
        <w:spacing w:after="0" w:line="19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Most of the research and development for our programs has been performed under the DESRES Agreement. Under the DESRES Agreement, D. E. Shaw Research controls the rights to its technology (including its supercomputer and software, each of which are important aspects of our Dynamo platform), we control the rights to certain compounds, and we jointly own with D. E. Shaw Research any other work product created by D. E. Shaw Research and us. Subject to certain limits, we have the right to have the following work product assigned to us: the composition of matter, method of use, and method of manufacture of certain compounds directed to a Category 1 Target, as set forth in the DESRES Agreement. For more information regarding the DESRES Agreement, see “Business—Collaboration and License Agreement with D. E. Shaw Research, LLC.”</w:t>
      </w:r>
    </w:p>
    <w:p>
      <w:pPr>
        <w:spacing w:after="0" w:line="17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have not yet designated all of the compounds for which we will have this right of assignment, and thus, we do not yet know the scope of exclusivity we will enjoy under our patent rights for our product candidates.</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After any work product is assigned to us, we will have the right to prepare, file, prosecute and maintain patents that cover such assigned work product. We also have the implicit right to defend patents that cover work product owned by us.</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To date, much of the work product created under our agreement with D. E. Shaw Research has been created by D. E. Shaw Research and us, together, and is thus co-owned. We have the first right to prepare, file, prosecute, maintain and defend patents that cover work product created by D. E. Shaw Research and us, together. If we choose not to exercise those rights with respect to patents and patent applications that cover joint work product, D. E. Shaw Research will have the right to take over such activities, unless such rights are waived, as is the case for our co-owned SHP2 patent applications. The party that is preparing, filing, prosecuting and maintaining a patent that covers joint work product also has the right to enforce such patent against infringers.</w:t>
      </w:r>
    </w:p>
    <w:p>
      <w:pPr>
        <w:spacing w:after="0" w:line="26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The patent position of biotechnology and pharmaceutical companies generally is highly uncertain, involves complex legal and factual questions and has in recent years been the subject of much litigation.</w:t>
      </w:r>
    </w:p>
    <w:p>
      <w:pPr>
        <w:spacing w:after="0" w:line="6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degree of patent protection we require to successfully commercialize our product candidates may be unavailable or severely limited in some cases and may not adequately protect our rights or permit us to gain or keep any competitive advantage. We cannot provide any assurances that any of our pending patent applications will issue, or that any of our pending patent applications that mature into issued patents will include claims with a scope sufficient to protect RLY-1971, RLY-4008, RLY-2608 or our other product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patent portfolio and any patent portfolio we may license in the future may not provide us with adequate and continuing patent protection sufficient to exclude others from commercializing products similar or identical to our product candidates, including generic versions of such products.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9" w:name="page80"/>
    <w:bookmarkEnd w:id="79"/>
    <w:p>
      <w:pPr>
        <w:ind w:right="40"/>
        <w:spacing w:after="0" w:line="276" w:lineRule="auto"/>
        <w:rPr>
          <w:sz w:val="20"/>
          <w:szCs w:val="20"/>
          <w:color w:val="auto"/>
        </w:rPr>
      </w:pPr>
      <w:r>
        <w:rPr>
          <w:rFonts w:ascii="Arial" w:cs="Arial" w:eastAsia="Arial" w:hAnsi="Arial"/>
          <w:sz w:val="16"/>
          <w:szCs w:val="16"/>
          <w:color w:val="auto"/>
        </w:rPr>
        <w:t>We have licensed patent rights, and in the future may license additional patent rights, to or from third parties. For example, we have licensed our patent rights to our SHP2 program to Genentech. These licensed patent rights may be valuable to our business, and we may not have the right to control the preparation, filing and prosecution of patent applications, or to maintain the patents, covering technology or medicines underlying such licenses. We cannot be certain that these patents and applications will be prosecuted and enforced in a manner consistent with the best interests of our business. If any such licensors or licensees fail to maintain such patents, or lose rights to those patents, the rights we have licensed may be reduced or eliminated and our right to develop and commercialize any of our products that are the subject of such licensed rights could be adversely affected.</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with respect to either the same methods or formulations or the same subject matter, in either case that we may rely upon to dominate our patent position in the market.</w:t>
      </w:r>
    </w:p>
    <w:p>
      <w:pPr>
        <w:ind w:right="60"/>
        <w:spacing w:after="0" w:line="277"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pending patent applications, or that we were the first to file for patent protection of such inventions. As a result, the issuance, scope, validity, enforceability and commercial value of our patent rights cannot be predicted with any certainty.</w:t>
      </w:r>
    </w:p>
    <w:p>
      <w:pPr>
        <w:spacing w:after="0" w:line="16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product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parties review, post-grant review or interference proceedings challenging our patent rights or the patent rights of others from whom we have obtained licenses to such rights.</w:t>
      </w:r>
    </w:p>
    <w:p>
      <w:pPr>
        <w:spacing w:after="0" w:line="18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89"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With respect to intellectual property arising in the course of our collaboration with D. E. Shaw Research, disagreements between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0" w:name="page81"/>
    <w:bookmarkEnd w:id="80"/>
    <w:p>
      <w:pPr>
        <w:ind w:right="440"/>
        <w:spacing w:after="0" w:line="261" w:lineRule="auto"/>
        <w:rPr>
          <w:sz w:val="20"/>
          <w:szCs w:val="20"/>
          <w:color w:val="auto"/>
        </w:rPr>
      </w:pPr>
      <w:r>
        <w:rPr>
          <w:rFonts w:ascii="Arial" w:cs="Arial" w:eastAsia="Arial" w:hAnsi="Arial"/>
          <w:sz w:val="18"/>
          <w:szCs w:val="18"/>
          <w:color w:val="auto"/>
        </w:rPr>
        <w:t>us and D. E. Shaw Research may impact our exclusive control of intellectual property important for protecting our product candidates and proprietary position. A loss of exclusivity, in whole or in part, could allow others to compete with us and harm our business.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products, without payment to us, or could limit the duration of the patent protection covering our technology and product candidates. Such challenges may also result in our inability to manufacture or commercialize our product candidates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Even if they are unchallenged, our owned patent portfolio and any patent portfolio we may license in the future may not provide us with any meaningful protection or prevent competitors from designing around our patent claims to circumvent our owned or licensed patents by developing similar or alternative technologies or products in a non-infringing manner. For example, a third party may develop a competitive product that provides benefits similar to one or more of our product candidates but that has a different composition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w:t>
      </w:r>
    </w:p>
    <w:p>
      <w:pPr>
        <w:spacing w:after="0" w:line="270" w:lineRule="exact"/>
        <w:rPr>
          <w:sz w:val="20"/>
          <w:szCs w:val="20"/>
          <w:color w:val="auto"/>
        </w:rPr>
      </w:pPr>
    </w:p>
    <w:p>
      <w:pPr>
        <w:ind w:right="520"/>
        <w:spacing w:after="0" w:line="248"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product candidates, which would have a material adverse effect on our business.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secure trademark registrations could adversely affect our business and our ability to market our products and product candidates.</w:t>
      </w:r>
    </w:p>
    <w:p>
      <w:pPr>
        <w:spacing w:after="0" w:line="127"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Our trademark applications in the United States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USPTO and in corresponding foreign agencies,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business and our ability to market our products and product candidates.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0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167"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Our trade secrets could otherwise become known or be independently discovered by our competitors. Competitors could purchase our product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products, our competitive position could be adversely affected, as could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Intellectual Property Litigation</w:t>
      </w:r>
    </w:p>
    <w:p>
      <w:pPr>
        <w:spacing w:after="0" w:line="10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product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product candidates and technology, including interference proceedings before the USPTO. Our competitors or other third parties may assert infringement claims against us, alleging that our products or technologies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SHP2 inhibitors, FGFR2 inhibitors, and PI3K inhibitors. Some of these patent applications have already been allowed or issued, and others may issue in the future. Since these areas are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or the practice of our technology. If a patent holder believes our product or product candidate infringes on its patent, the patent holder may sue us even if we have received patent protection for our technology. Moreover, we may face patent infringement claims from non-practicing entities that have no relevant product revenue and against whom our owned patent portfolio and any patent portfolio we may license in the future may thus have no deterrent effect.</w:t>
      </w:r>
    </w:p>
    <w:p>
      <w:pPr>
        <w:spacing w:after="0" w:line="16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If we are found to infringe a third party’s intellectual property rights, we could be required to obtain a license from such third party to continue developing and marketing our product candidates and technology. We may choose to obtain a license, even in the absence of an action or finding of infringement. In either case, we may not be able to</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82" w:name="page83"/>
    <w:bookmarkEnd w:id="82"/>
    <w:p>
      <w:pPr>
        <w:spacing w:after="0" w:line="274" w:lineRule="auto"/>
        <w:rPr>
          <w:sz w:val="20"/>
          <w:szCs w:val="20"/>
          <w:color w:val="auto"/>
        </w:rPr>
      </w:pPr>
      <w:r>
        <w:rPr>
          <w:rFonts w:ascii="Arial" w:cs="Arial" w:eastAsia="Arial" w:hAnsi="Arial"/>
          <w:sz w:val="16"/>
          <w:szCs w:val="16"/>
          <w:color w:val="auto"/>
        </w:rPr>
        <w:t>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product candidates. In addition, we could be found liable for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If we lose a foreign patent lawsuit, alleging our infringement of a competitor’s patents, we could be prevented from marketing our products in one or more foreign countries, which would have a materially adverse effect on our business.</w:t>
      </w:r>
    </w:p>
    <w:p>
      <w:pPr>
        <w:spacing w:after="0" w:line="271" w:lineRule="exact"/>
        <w:rPr>
          <w:sz w:val="20"/>
          <w:szCs w:val="20"/>
          <w:color w:val="auto"/>
        </w:rPr>
      </w:pPr>
    </w:p>
    <w:p>
      <w:pPr>
        <w:ind w:right="780"/>
        <w:spacing w:after="0" w:line="291"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3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product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product candidates, which would have an adverse effect on our business, results of operations and financial condition.</w:t>
      </w:r>
    </w:p>
    <w:p>
      <w:pPr>
        <w:spacing w:after="0" w:line="27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6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any patents that may issue invalid. Moreover, it is also possible that prior art may exist that we are aware of but do not believe is relevant to our future patents, should they issue, but that could nevertheless be determined to render our patents invalid.</w:t>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product candidates, we would lose at least part, and perhaps all, of the patent protection</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covering such product candidate. Competing products may also be sold in other countries in which our patent coverage might not exist or be as strong.</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1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3"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Enforcement of Our Intellectual Property Rights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 candidates, and our patents or other intellectual property rights may not be effective or sufficient to prevent them from competing.</w:t>
      </w:r>
    </w:p>
    <w:p>
      <w:pPr>
        <w:spacing w:after="0" w:line="183"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product candidates, we cannot ensure that we will be able to initiate or maintain similar efforts in all jurisdictions in which we may wish to market our product candidates. Accordingly, our efforts to protect our intellectual property rights in such countries may be inadequate.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2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Third Party Intellectual Property</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 Although we believe that licenses to these patents are available from these third parties on commercially reasonable terms, if we were not able to obtain a license, or were not able to obtain a license on commercially reasonable terms, our business could be harmed, possibly materially.</w:t>
      </w:r>
    </w:p>
    <w:p>
      <w:pPr>
        <w:spacing w:after="0" w:line="28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collaborate with or license intellectual property rights from third parties, or otherwise experience disruptions to our business relationships with our collaborators or licensors, we could lose rights that are important to our business.</w:t>
      </w:r>
    </w:p>
    <w:p>
      <w:pPr>
        <w:spacing w:after="0" w:line="7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expect our future license agreements will impose, various development, diligence, commercialization, and other obligations on us in order to maintain the licenses. In spite of our efforts, a future licensor might conclude that we have materially breached our obligations under such license agreements and seek to terminate the license agreements, thereby removing or limiting our ability to develop and commercialize products and technology covered by these license agreements. If these in-licenses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product candidates. Any of the foregoing could have a material adverse effect on our competitive position, business, financial conditions, results of operations, and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104" w:lineRule="exact"/>
        <w:rPr>
          <w:sz w:val="20"/>
          <w:szCs w:val="20"/>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85" w:name="page86"/>
    <w:bookmarkEnd w:id="85"/>
    <w:p>
      <w:pPr>
        <w:ind w:left="760" w:right="80" w:hanging="378"/>
        <w:spacing w:after="0" w:line="261"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agreements under which we may license intellectual property or technology from third parties may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These and similar issues may arise with respect to our collaboration agreements, such as our DESRES Agreement, as amended. Our collaboration with D. E. Shaw Research is our key computational collaboration, and there can be no assurance that this collaboration will continue past the current term of the DESRES Agreement, on favorable terms or at all, or that at any time while the collaboration is in effect D. E. Shaw Research will provide any particular level of services or that the parties will operate under the agreement without disputes. These disputes may involve ownership or control of intellectual property rights, exclusivity obligations, diligence and payment obligations, for example.</w:t>
      </w:r>
    </w:p>
    <w:p>
      <w:pPr>
        <w:spacing w:after="0" w:line="17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DESRES Agreement imposes certain exclusivity obligations on us during the term of the agreement with respect to Category 2 targets, and certain exclusivity obligations on D. E. Shaw Research during and after the term of the agreement. While we have some degree of control over how we designate various targets under the DESRES Agreement, D. E. Shaw Research has some degree of control over such designations as well, and our exclusivity obligations limit or delay our ability to conduct research on selected targets with third parties.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Under the DESRES Agreement, D. E. Shaw Research controls the rights to its technology, we control the rights to certain compounds, and we jointly own with D. E. Shaw Research any other work product created by D. E. Shaw Research and us. Any work product we jointly own with D. E. Shaw Research and any other information that we or D. E. Shaw Research share is subject to a non-exclusive cross-license between us and D. E. Shaw Research, subject to certain exceptions. In some instances, D. E. Shaw Research is required to assign to us some of the work product created by D. E. Shaw Research. Disputes may arise between us and D. E. Shaw Research, as well as any future potential collaborators, regarding intellectual property subject to the DESRES Agreement. If disputes over intellectual property that we co-own or we own individually prevent or impair our ability to maintain our current collaboration arrangements on acceptable terms, or undermine our ability to successfully control the intellectual property necessary to protect our product candidates, we may be unable to successfully develop and commercialize the affected product candidates. Uncertainties or disagreements around our rights under any such intellectual property may undermine our ability to partner our programs with third parties.</w:t>
      </w:r>
    </w:p>
    <w:p>
      <w:pPr>
        <w:spacing w:after="0" w:line="169"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In addition, the DESRES Agreement is complex and certain provisions may be susceptible to multiple interpretations. The resolution of any contract interpretation disagreement that may arise could be adverse to us, for example by narrowing what we believe to be the scope of our rights to certain intellectual property, or increasing what we believe to be our financial or other obligations under the DESRES Agreement, and any such outcome could have a material adverse effect on our business, financial condition, results of operations, and prospects.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Intellectual Property Laws</w:t>
      </w:r>
    </w:p>
    <w:p>
      <w:pPr>
        <w:spacing w:after="0" w:line="10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 candidates.</w:t>
      </w:r>
    </w:p>
    <w:p>
      <w:pPr>
        <w:spacing w:after="0" w:line="6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6" w:name="page87"/>
    <w:bookmarkEnd w:id="86"/>
    <w:p>
      <w:pPr>
        <w:spacing w:after="0" w:line="254" w:lineRule="auto"/>
        <w:rPr>
          <w:sz w:val="20"/>
          <w:szCs w:val="20"/>
          <w:color w:val="auto"/>
        </w:rPr>
      </w:pPr>
      <w:r>
        <w:rPr>
          <w:rFonts w:ascii="Arial" w:cs="Arial" w:eastAsia="Arial" w:hAnsi="Arial"/>
          <w:sz w:val="17"/>
          <w:szCs w:val="17"/>
          <w:color w:val="auto"/>
        </w:rPr>
        <w:t>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rights in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any patents that we may obtain in the future.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0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760" w:right="20" w:hanging="378"/>
        <w:spacing w:after="0" w:line="261"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license or may own;</w:t>
      </w:r>
    </w:p>
    <w:p>
      <w:pPr>
        <w:spacing w:after="0" w:line="62" w:lineRule="exact"/>
        <w:rPr>
          <w:rFonts w:ascii="Arial" w:cs="Arial" w:eastAsia="Arial" w:hAnsi="Arial"/>
          <w:sz w:val="18"/>
          <w:szCs w:val="18"/>
          <w:color w:val="auto"/>
        </w:rPr>
      </w:pPr>
    </w:p>
    <w:p>
      <w:pPr>
        <w:ind w:left="760" w:right="700" w:hanging="378"/>
        <w:spacing w:after="0" w:line="261"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the issued patent or pending patent application that we license or own now or in the future;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or our licensors or collaborators, might not have been the first to file patent applications covering certain of our or their inventions;</w:t>
      </w:r>
    </w:p>
    <w:p>
      <w:pPr>
        <w:spacing w:after="0" w:line="115" w:lineRule="exact"/>
        <w:rPr>
          <w:rFonts w:ascii="Arial" w:cs="Arial" w:eastAsia="Arial" w:hAnsi="Arial"/>
          <w:sz w:val="17"/>
          <w:szCs w:val="17"/>
          <w:color w:val="auto"/>
        </w:rPr>
      </w:pPr>
    </w:p>
    <w:p>
      <w:pPr>
        <w:ind w:left="760" w:right="520" w:hanging="378"/>
        <w:spacing w:after="0" w:line="261"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our present or future pending patent applications (whether owned or licensed) will not lead to issued patents;</w:t>
      </w:r>
    </w:p>
    <w:p>
      <w:pPr>
        <w:spacing w:after="0" w:line="103" w:lineRule="exact"/>
        <w:rPr>
          <w:rFonts w:ascii="Arial" w:cs="Arial" w:eastAsia="Arial" w:hAnsi="Arial"/>
          <w:sz w:val="18"/>
          <w:szCs w:val="18"/>
          <w:color w:val="auto"/>
        </w:rPr>
      </w:pPr>
    </w:p>
    <w:p>
      <w:pPr>
        <w:ind w:left="760" w:right="240" w:hanging="378"/>
        <w:spacing w:after="0" w:line="261"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rFonts w:ascii="Arial" w:cs="Arial" w:eastAsia="Arial" w:hAnsi="Arial"/>
          <w:sz w:val="18"/>
          <w:szCs w:val="18"/>
          <w:color w:val="auto"/>
        </w:rPr>
      </w:pPr>
    </w:p>
    <w:p>
      <w:pPr>
        <w:ind w:left="760" w:right="20" w:hanging="378"/>
        <w:spacing w:after="0" w:line="291" w:lineRule="auto"/>
        <w:tabs>
          <w:tab w:leader="none" w:pos="7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760" w:hanging="378"/>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03" w:lineRule="exact"/>
        <w:rPr>
          <w:rFonts w:ascii="Arial" w:cs="Arial" w:eastAsia="Arial" w:hAnsi="Arial"/>
          <w:sz w:val="18"/>
          <w:szCs w:val="18"/>
          <w:color w:val="auto"/>
        </w:rPr>
      </w:pPr>
    </w:p>
    <w:p>
      <w:pPr>
        <w:ind w:left="760" w:right="580" w:hanging="378"/>
        <w:spacing w:after="0" w:line="261"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Should any of these events occur, they could have a material adverse effect on our business, financial condition, results of operations and prospects.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Regulatory Approval</w:t>
      </w:r>
    </w:p>
    <w:p>
      <w:pPr>
        <w:spacing w:after="0" w:line="10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4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If the FDA or a similar foreign regulatory authority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and applicable product tracking and tracing requirements.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6" w:lineRule="exact"/>
        <w:rPr>
          <w:sz w:val="20"/>
          <w:szCs w:val="20"/>
          <w:color w:val="auto"/>
        </w:rPr>
      </w:pPr>
    </w:p>
    <w:p>
      <w:pPr>
        <w:ind w:left="760" w:right="340" w:hanging="378"/>
        <w:spacing w:after="0" w:line="261"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clinical trial holds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approved prescription drug products. In particular, while the FDA permits the dissemination of truthful and non-misleading information about an approved product, a manufacturer may not promote a product for uses that are not approved by the FDA. If we are found to have promoted such off-label uses, we may become subject to significant liability. The federal government has levied large civil and criminal fines against companies for alleged improper promotion of regulated products for off-label uses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i w:val="1"/>
          <w:iCs w:val="1"/>
          <w:color w:val="auto"/>
        </w:rPr>
        <w:t>European data collection is governed by restrictive regulations governing the processing and cross-border transfer of personal information.</w:t>
      </w:r>
    </w:p>
    <w:p>
      <w:pPr>
        <w:spacing w:after="0" w:line="12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the event we decide to conduct clinical trials or continue to enroll subjects in our ongoing or future clinical trials, we may be subject to additional data collection restrictions. For example, the collection, use, storage, disclosure, transfer, or other processing of personal data of individuals in the EEA, including personal health data, is subject to the GDPR. The GDPR is wide-ranging in scope and imposes numerous requirements on companies that process personal data, including requirements relating to processing health and other sensitive data, providing notice to the individuals to whom the personal data relates regarding data processing activities, implementing safeguards to protect the privacy and security of personal data, providing notification of data breaches in certain circumstances, and taking certain measures when engaging third-party processors or sub-processors. The GDPR focuses on accountability of data controllers (such as us) and requires us to put in place all technical and organizational measures (privacy by design and by default) to ensure that we meet our obligations. It also increases substantially the penalties to which we could be subject in the event of any non-compliance, including fines of up to €10,000,000 or up to 2% of our total worldwide annual turnover for certain comparatively minor offenses, or up to €20,000,000 or up to 4% of our total worldwide annual turnover for more serious offenses.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activities in the EEA. In addition, further to the UK’s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17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must also ensure that we maintain adequate safeguards or have other legal bases to enable the transfer of personal data outside of the EEA and UK in compliance with the EU GDPR and UK GDPR, in particular for transfers to the United States. In 2020, in a ruling about the EU-U.S. Privacy Shield, the Court of Justice of the EU raised questions about whether the European Commission’s Standard Contractual Clauses, or SCCs, can lawfully be used for personal data transfers from the EU to the United States or most other countries. Furthermore, on June 4, 2021, the European Commission issued new forms of SCCs for data transfers of personal data from controllers or processors in the EU (or otherwise subject to the GDPR) to controllers or processors established outside the EU. The new form of SCCs has replaced the SCCs that were adopted previously under the EU Data Protection Directive. We will be required to transition to the new form of SCCs when these safeguards are used as the basis for transferring personal data out of the EEA and doing so may require significant effort and cost. The new SCCs may also impact our business as companies based in Europe may be reluctant to utilize the new SCCs to legitimize transfers of personal data to third countries given the burdensome requirements of transfer impact assessments and the substantial obligations that the new SCCs impose upon exporters. If we are investigated by a European data protection authority, we may face fines and other penalties. Any such investigation or charges by European data protection authorities could have a negative effect on our business and on our ability to commercialize our products in the future, including with European or multi-national pharmaceutical partners.</w:t>
      </w:r>
    </w:p>
    <w:p>
      <w:pPr>
        <w:spacing w:after="0" w:line="27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9" w:name="page90"/>
    <w:bookmarkEnd w:id="89"/>
    <w:p>
      <w:pPr>
        <w:ind w:right="120"/>
        <w:spacing w:after="0" w:line="261" w:lineRule="auto"/>
        <w:rPr>
          <w:sz w:val="20"/>
          <w:szCs w:val="20"/>
          <w:color w:val="auto"/>
        </w:rPr>
      </w:pPr>
      <w:r>
        <w:rPr>
          <w:rFonts w:ascii="Arial" w:cs="Arial" w:eastAsia="Arial" w:hAnsi="Arial"/>
          <w:sz w:val="18"/>
          <w:szCs w:val="18"/>
          <w:color w:val="auto"/>
        </w:rPr>
        <w:t>receive applicable marketing approvals, our target market will be reduced and our ability to realize the full market potential of our product candidates will be harmed.</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similar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292"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7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 xml:space="preserve">In connection with the clinical development of our product candidates for certain indications, we may engage third parties to develop or obtain access to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companion diagnostic tests to identify patient subsets within a disease category who may derive selective and meaningful benefit from our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candidates. Further, the FDA has indicated that if we continue RLY-4008 and RLY-2608 in a specific biomarker-defined population, a companion diagnostic device will be required to ensure their safe and effective use. Such companion diagnostics would be used during our clinical trials as well as in connection with the commercialization of our product candidates. To be successful, we or our collaborators will need to address a number of scientific, technical, regulatory and logistical challenges. The FDA and similar foreign regulatory authorities regulate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as medical devices and, under that regulatory framework, will likely require the conduct of clinical trials to demonstrate the safety and effectiveness of any diagnostics we may develop, which we expect will require separate regulatory clearance or approval prior to commercialization.</w:t>
      </w:r>
    </w:p>
    <w:p>
      <w:pPr>
        <w:spacing w:after="0" w:line="181"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therapeutic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 may not obtain marketing approval, and we may not realize the full commercial potential of any of these therapeutics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candidates.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auto"/>
        </w:rPr>
        <w:t>Risks Related to Anti-bribery, Anti-corruption and Other Government Regulations</w:t>
      </w:r>
    </w:p>
    <w:p>
      <w:pPr>
        <w:spacing w:after="0" w:line="104"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3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9"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77"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74"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governments of foreign jurisdictions in which we conduct our business.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91" w:name="page92"/>
    <w:bookmarkEnd w:id="91"/>
    <w:p>
      <w:pPr>
        <w:ind w:right="20"/>
        <w:spacing w:after="0" w:line="241" w:lineRule="auto"/>
        <w:rPr>
          <w:sz w:val="20"/>
          <w:szCs w:val="20"/>
          <w:color w:val="auto"/>
        </w:rPr>
      </w:pPr>
      <w:r>
        <w:rPr>
          <w:rFonts w:ascii="Arial" w:cs="Arial" w:eastAsia="Arial" w:hAnsi="Arial"/>
          <w:sz w:val="18"/>
          <w:szCs w:val="18"/>
          <w:color w:val="auto"/>
        </w:rPr>
        <w:t>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81" w:lineRule="exact"/>
        <w:rPr>
          <w:sz w:val="20"/>
          <w:szCs w:val="20"/>
          <w:color w:val="auto"/>
        </w:rPr>
      </w:pPr>
    </w:p>
    <w:p>
      <w:pPr>
        <w:ind w:left="1020" w:right="160" w:hanging="503"/>
        <w:spacing w:after="0" w:line="254"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72" w:lineRule="exact"/>
        <w:rPr>
          <w:rFonts w:ascii="Arial" w:cs="Arial" w:eastAsia="Arial" w:hAnsi="Arial"/>
          <w:sz w:val="17"/>
          <w:szCs w:val="17"/>
          <w:color w:val="auto"/>
        </w:rPr>
      </w:pPr>
    </w:p>
    <w:p>
      <w:pPr>
        <w:ind w:left="1020" w:hanging="503"/>
        <w:spacing w:after="0" w:line="253"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federal civil and criminal false claims and civil monetary penalties laws, including 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In addition, the government may assert that a claim including items and services resulting from a violation of the federal Anti-Kickback Statute constitutes a false of fraudulent claim for purposes of the False Claims Act;</w:t>
      </w:r>
    </w:p>
    <w:p>
      <w:pPr>
        <w:spacing w:after="0" w:line="75" w:lineRule="exact"/>
        <w:rPr>
          <w:rFonts w:ascii="Arial" w:cs="Arial" w:eastAsia="Arial" w:hAnsi="Arial"/>
          <w:sz w:val="17"/>
          <w:szCs w:val="17"/>
          <w:color w:val="auto"/>
        </w:rPr>
      </w:pPr>
    </w:p>
    <w:p>
      <w:pPr>
        <w:ind w:left="1020" w:right="120" w:hanging="503"/>
        <w:spacing w:after="0" w:line="241"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1" w:lineRule="exact"/>
        <w:rPr>
          <w:rFonts w:ascii="Arial" w:cs="Arial" w:eastAsia="Arial" w:hAnsi="Arial"/>
          <w:sz w:val="18"/>
          <w:szCs w:val="18"/>
          <w:color w:val="auto"/>
        </w:rPr>
      </w:pPr>
    </w:p>
    <w:p>
      <w:pPr>
        <w:ind w:left="1020" w:right="240" w:hanging="503"/>
        <w:spacing w:after="0" w:line="274"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transfers of value made to physicians (currently defined to include doctors, dentists, optometrists, podiatrists and chiropractors) and teaching hospitals, as well as ownership and investment interests of such physicians and their immediate family members. Effective January 1, 2022, these reporting obligations were extended to include transfers of value made to certain non-physician providers (physician assistants, nurse practitioners, clinical nurse specialists, certified registered nurse anesthetists and anesthesiologist assistants, and certified-nurse midwives);</w:t>
      </w:r>
    </w:p>
    <w:p>
      <w:pPr>
        <w:spacing w:after="0" w:line="55" w:lineRule="exact"/>
        <w:rPr>
          <w:rFonts w:ascii="Arial" w:cs="Arial" w:eastAsia="Arial" w:hAnsi="Arial"/>
          <w:sz w:val="16"/>
          <w:szCs w:val="16"/>
          <w:color w:val="auto"/>
        </w:rPr>
      </w:pPr>
    </w:p>
    <w:p>
      <w:pPr>
        <w:ind w:left="1020" w:right="20" w:hanging="503"/>
        <w:spacing w:after="0" w:line="276"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its implementing regulations, including the Final Omnibus Rule published in January 2013, which impose obligations on certain covered entity healthcare providers, health plans, and healthcare clearinghouses as well as their business associates that perform certain services involving the creation, maintenance, receipt, or other use or disclosure of individually identifiable health information, including mandatory contractual terms with business associates, with respect to safeguarding the privacy, security and transmission of individually identifiable health information . HITECH also created new tiers of civil monetary penalties, amended HIPAA to make civil and criminal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2" w:name="page93"/>
    <w:bookmarkEnd w:id="92"/>
    <w:p>
      <w:pPr>
        <w:ind w:left="1020" w:right="200"/>
        <w:spacing w:after="0" w:line="241" w:lineRule="auto"/>
        <w:rPr>
          <w:sz w:val="20"/>
          <w:szCs w:val="20"/>
          <w:color w:val="auto"/>
        </w:rPr>
      </w:pPr>
      <w:r>
        <w:rPr>
          <w:rFonts w:ascii="Arial" w:cs="Arial" w:eastAsia="Arial" w:hAnsi="Arial"/>
          <w:sz w:val="18"/>
          <w:szCs w:val="18"/>
          <w:color w:val="auto"/>
        </w:rPr>
        <w:t>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81" w:lineRule="exact"/>
        <w:rPr>
          <w:sz w:val="20"/>
          <w:szCs w:val="20"/>
          <w:color w:val="auto"/>
        </w:rPr>
      </w:pPr>
    </w:p>
    <w:p>
      <w:pPr>
        <w:ind w:left="1020" w:right="12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1020" w:hanging="503"/>
        <w:spacing w:after="0" w:line="252"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including for example the EU GDPR, which became effective May 2018 also govern the privacy and security of health information and other personal information in some circumstances, many of which differ from each other in significant ways and may not have the same effect, thus complicating compliance efforts. There are ambiguities as to what is required to comply with these state and foreign requirements and if we fail to comply with an applicable state or foreign law requirement we could be subject to penalties. Further, many state laws governing the privacy and security of health information in certain circumstances, differ from each other in significant ways, thus complicating compliance efforts.</w:t>
      </w:r>
    </w:p>
    <w:p>
      <w:pPr>
        <w:spacing w:after="0" w:line="180"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individual imprisonment, reputational harm,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Regulatory Review of Certain Drug Development Designations</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may seek priority review designation for one or more of our other product candidates, but we might not receive such designation, and even if we do, such designation may not lead to a faster regulatory review or approval process.</w:t>
      </w:r>
    </w:p>
    <w:p>
      <w:pPr>
        <w:spacing w:after="0" w:line="6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93" w:name="page94"/>
    <w:bookmarkEnd w:id="93"/>
    <w:p>
      <w:pPr>
        <w:ind w:right="160"/>
        <w:spacing w:after="0" w:line="259" w:lineRule="auto"/>
        <w:rPr>
          <w:sz w:val="20"/>
          <w:szCs w:val="20"/>
          <w:color w:val="auto"/>
        </w:rPr>
      </w:pPr>
      <w:r>
        <w:rPr>
          <w:rFonts w:ascii="Arial" w:cs="Arial" w:eastAsia="Arial" w:hAnsi="Arial"/>
          <w:sz w:val="17"/>
          <w:szCs w:val="17"/>
          <w:color w:val="auto"/>
        </w:rPr>
        <w:t>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8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63"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In January 2022, the FDA granted orphan drug designation to RLY-4008 for the treatment of cholangiocarcinoma.</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5 in 10,000 persons in the EU and for which no satisfactory method of diagnosis, prevention, or treatment has been authorized (or the product will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the EU, orphan drug designation entitles a party to financial incentives such as reduction of fees or fee waivers.</w:t>
      </w:r>
    </w:p>
    <w:p>
      <w:pPr>
        <w:spacing w:after="0" w:line="19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FDA or the EMA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w:t>
      </w:r>
    </w:p>
    <w:p>
      <w:pPr>
        <w:spacing w:after="0" w:line="189"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Even if we obtain orphan drug exclusivity for a drug, that exclusivity may not effectively protect the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 Orphan drug designation neither shortens the development time or regulatory review time of a drug nor gives the drug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 In addition, the FDA may reevaluate the Orphan Drug Act and its regulations and policies. We do not know if, when, or how the FDA may change the orphan drug regulations and policies in the future, and it is uncertain how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4" w:name="page95"/>
    <w:bookmarkEnd w:id="94"/>
    <w:p>
      <w:pPr>
        <w:ind w:right="200"/>
        <w:spacing w:after="0" w:line="261" w:lineRule="auto"/>
        <w:rPr>
          <w:sz w:val="20"/>
          <w:szCs w:val="20"/>
          <w:color w:val="auto"/>
        </w:rPr>
      </w:pPr>
      <w:r>
        <w:rPr>
          <w:rFonts w:ascii="Arial" w:cs="Arial" w:eastAsia="Arial" w:hAnsi="Arial"/>
          <w:sz w:val="18"/>
          <w:szCs w:val="18"/>
          <w:color w:val="auto"/>
        </w:rPr>
        <w:t>any changes might affect our business. Depending on what changes the FDA may make to its orphan drug regulations and policies, our business could be adversely impacted.</w:t>
      </w:r>
    </w:p>
    <w:p>
      <w:pPr>
        <w:spacing w:after="0" w:line="279"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auto"/>
        </w:rPr>
        <w:t>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marketing approval in the United States.</w:t>
      </w:r>
    </w:p>
    <w:p>
      <w:pPr>
        <w:spacing w:after="0" w:line="7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8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9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Accelerated approval by the FDA, even if granted for our FGFR2 program or our PI3K program or any other future product candidates, may not lead to a faster development or regulatory review or approval process and it does not increase the likelihood that our product candidates will receive marketing approval.</w:t>
      </w:r>
    </w:p>
    <w:p>
      <w:pPr>
        <w:spacing w:after="0" w:line="74"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We may seek accelerated approval of our FGFR2 program or our PI3K program and for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may require that a sponsor of a drug or biologic receiving accelerated approval perform adequate and well-controlled post-marketing clinical trials. In addition, the FDA currently requires as a condition for accelerated approval,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auto"/>
        </w:rPr>
        <w:t>Risks Related to Healthcare Legislative Reform</w:t>
      </w:r>
    </w:p>
    <w:p>
      <w:pPr>
        <w:spacing w:after="0" w:line="10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63"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United States, there have been and continue to be a number of legislative initiatives to contain healthcare costs. For example, in March 2010, the Affordable Care Act, or the ACA, was passed, which substantially changed the way healthcare is financed by both governmental and private insurers, and significantly impacted the United States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Since then, the ACA risk adjustment program payment parameters have been updated annually.</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and we expect there will be additional challenges and amendments to the ACA in the future.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On December 20, 2019, the Further Consolidated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96" w:name="page97"/>
    <w:bookmarkEnd w:id="96"/>
    <w:p>
      <w:pPr>
        <w:ind w:right="60"/>
        <w:spacing w:after="0" w:line="253" w:lineRule="auto"/>
        <w:rPr>
          <w:sz w:val="20"/>
          <w:szCs w:val="20"/>
          <w:color w:val="auto"/>
        </w:rPr>
      </w:pPr>
      <w:r>
        <w:rPr>
          <w:rFonts w:ascii="Arial" w:cs="Arial" w:eastAsia="Arial" w:hAnsi="Arial"/>
          <w:sz w:val="17"/>
          <w:szCs w:val="17"/>
          <w:color w:val="auto"/>
        </w:rPr>
        <w:t>Appropriations Act (H.R. 1865) was signed into law, which repealed the so called “Cadillac” tax on certain high cost employer sponsored insurance plans, the health insurance provider tax, and the medical device excise tax. It is impossible to determine whether similar taxes could be instated in the future.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recently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through 2030 unless additional Congressional action is taken; however, pursuant to the CARES Act and subsequent legislation, these reductions have been suspended from May 1, 2020 through March 31, 2022 due to the COVID-19 pandemic. A 1% payment reduction will occur beginning April 1, 2022 through June 30, 2022, and the 2% payment reduction will resume on July 1, 2022.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On May 30, 2018,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product candidates available to eligible patients as a result of the Right to Try Act. In May 2019, CMS issued a final rule to allow Medicare Advantage Plans the option of using step therapy, a type of prior authorization, for Part B drugs beginning January 1, 2020.</w:t>
      </w:r>
    </w:p>
    <w:p>
      <w:pPr>
        <w:spacing w:after="0" w:line="17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There has been increasing legislative and enforcement interest in the United States with respect to specialty drug pricing practices. At a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the U.S. Department of Health and Human Services, or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The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would have been calculated for certain drugs and biologicals based on the lowest price drug manufacturers receive in Organization for Economic Cooperation and Development countries with a similar gross domestic product per capita. However, on December 29, 2021, CMS rescinded the MFN rule. Additionally, 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97" w:name="page98"/>
    <w:bookmarkEnd w:id="97"/>
    <w:p>
      <w:pPr>
        <w:ind w:right="40"/>
        <w:spacing w:after="0" w:line="239" w:lineRule="auto"/>
        <w:rPr>
          <w:sz w:val="20"/>
          <w:szCs w:val="20"/>
          <w:color w:val="auto"/>
        </w:rPr>
      </w:pPr>
      <w:r>
        <w:rPr>
          <w:rFonts w:ascii="Arial" w:cs="Arial" w:eastAsia="Arial" w:hAnsi="Arial"/>
          <w:sz w:val="18"/>
          <w:szCs w:val="18"/>
          <w:color w:val="auto"/>
        </w:rPr>
        <w:t xml:space="preserve">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have been delayed until January 1, 2026. </w:t>
      </w:r>
      <w:r>
        <w:rPr>
          <w:rFonts w:ascii="Arial" w:cs="Arial" w:eastAsia="Arial" w:hAnsi="Arial"/>
          <w:sz w:val="18"/>
          <w:szCs w:val="18"/>
          <w:color w:val="242424"/>
        </w:rPr>
        <w:t>Although a</w:t>
      </w:r>
      <w:r>
        <w:rPr>
          <w:rFonts w:ascii="Arial" w:cs="Arial" w:eastAsia="Arial" w:hAnsi="Arial"/>
          <w:sz w:val="18"/>
          <w:szCs w:val="18"/>
          <w:color w:val="auto"/>
        </w:rPr>
        <w:t xml:space="preserve"> </w:t>
      </w:r>
      <w:r>
        <w:rPr>
          <w:rFonts w:ascii="Arial" w:cs="Arial" w:eastAsia="Arial" w:hAnsi="Arial"/>
          <w:sz w:val="18"/>
          <w:szCs w:val="18"/>
          <w:color w:val="242424"/>
        </w:rPr>
        <w:t>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9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 in light of the higher proportion of SCD patients that utilize Medicare and Medicaid programs to pay for treatments.</w:t>
      </w:r>
    </w:p>
    <w:p>
      <w:pPr>
        <w:spacing w:after="0" w:line="17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47"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64"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279"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Recent federal legislation and actions by federal, state and local governments may permit reimportation of drugs from foreign countries into the United States, including foreign countries where the drugs are sold at lower prices than in the United States, which could materially adversely affect our operating results.</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may face competition in the United States for our development candidates and investigational medicines, if approved, from therapies sourced from foreign countries that have placed price controls on pharmaceutical products. In the United States, the Medicare Modernization Act, or MMA, contains provisions that call for the promulgation of regulations that expand pharmacists’ and wholesalers’ ability to import cheaper versions of an approved drug and competing products from Canada, where there are government price controls. Further, the MMA provides that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the HHS made such certification to Congress, and on October 1, 2020, FDA published a final rule that allows for the importation of certain prescription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98" w:name="page99"/>
    <w:bookmarkEnd w:id="98"/>
    <w:p>
      <w:pPr>
        <w:spacing w:after="0" w:line="253" w:lineRule="auto"/>
        <w:rPr>
          <w:sz w:val="20"/>
          <w:szCs w:val="20"/>
          <w:color w:val="auto"/>
        </w:rPr>
      </w:pPr>
      <w:r>
        <w:rPr>
          <w:rFonts w:ascii="Arial" w:cs="Arial" w:eastAsia="Arial" w:hAnsi="Arial"/>
          <w:sz w:val="17"/>
          <w:szCs w:val="17"/>
          <w:color w:val="auto"/>
        </w:rPr>
        <w:t>drugs from Canada. Under the final rule, States and Indian Tribes, and in certain future circumstances pharmacists and wholesalers, may submit importation program proposals to the FDA for review and authorization.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or NDC, for an FDA-approved drug that was originally intended to be marketed in a foreign country and that was authorized for sale in that foreign country. The market implications of the final rule and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Regulatory Agency Review Process</w:t>
      </w:r>
    </w:p>
    <w:p>
      <w:pPr>
        <w:spacing w:after="0" w:line="104" w:lineRule="exact"/>
        <w:rPr>
          <w:sz w:val="20"/>
          <w:szCs w:val="20"/>
          <w:color w:val="auto"/>
        </w:rPr>
      </w:pPr>
    </w:p>
    <w:p>
      <w:pPr>
        <w:jc w:val="both"/>
        <w:ind w:right="100"/>
        <w:spacing w:after="0" w:line="243"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8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global health concerns,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9"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government employees and stop critical activities. Separately, in response to the ongoing COVID-19 pandemic, since March 2020 when foreign and domestic inspections of facilities were largely placed on hold,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 Additionally, as of May 26, 2021, the FDA noted it is continuing to ensure timely reviews of applications for medical products during the ongoing COVID-19 pandemic in line with its user fee performance goals. However, the FDA may not be able to continue its current pace and approval timelines could be extended, including where a pre-approval inspection or an inspection of clinical sites is required and due to the ongoing COVID-19 pandemic and travel restrictions, the FDA is unable to complete such required inspections during the review period.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9" w:name="page100"/>
    <w:bookmarkEnd w:id="99"/>
    <w:p>
      <w:pPr>
        <w:ind w:right="300"/>
        <w:spacing w:after="0" w:line="261" w:lineRule="auto"/>
        <w:rPr>
          <w:sz w:val="20"/>
          <w:szCs w:val="20"/>
          <w:color w:val="auto"/>
        </w:rPr>
      </w:pPr>
      <w:r>
        <w:rPr>
          <w:rFonts w:ascii="Arial" w:cs="Arial" w:eastAsia="Arial" w:hAnsi="Arial"/>
          <w:sz w:val="18"/>
          <w:szCs w:val="18"/>
          <w:color w:val="auto"/>
        </w:rPr>
        <w:t>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Employee Matters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experienced scientists and to attract, retain and motivate qualified personnel.</w:t>
      </w:r>
    </w:p>
    <w:p>
      <w:pPr>
        <w:spacing w:after="0" w:line="138"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We are highly dependent on the research and development, clinical and business development expertise of the principal members of our management, scientific and clinical team.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91"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6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We have adopted a code of conduct applicable to all of our employees, but it is not always possible to identify and deter misconduct by employees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0" w:name="page101"/>
    <w:bookmarkEnd w:id="100"/>
    <w:p>
      <w:pPr>
        <w:ind w:right="20"/>
        <w:spacing w:after="0" w:line="255" w:lineRule="auto"/>
        <w:rPr>
          <w:sz w:val="20"/>
          <w:szCs w:val="20"/>
          <w:color w:val="auto"/>
        </w:rPr>
      </w:pPr>
      <w:r>
        <w:rPr>
          <w:rFonts w:ascii="Arial" w:cs="Arial" w:eastAsia="Arial" w:hAnsi="Arial"/>
          <w:sz w:val="17"/>
          <w:szCs w:val="17"/>
          <w:color w:val="auto"/>
        </w:rPr>
        <w:t>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Growth and Acquisitions</w:t>
      </w:r>
    </w:p>
    <w:p>
      <w:pPr>
        <w:spacing w:after="0" w:line="10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3"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As of December 31, 2021, we had 245 full-time employees. We expect to experience significant growth in the number of our employees and the scope of our operations, particularly in the areas of pharmaceutical and clinical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97"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b w:val="1"/>
          <w:bCs w:val="1"/>
          <w:i w:val="1"/>
          <w:iCs w:val="1"/>
          <w:color w:val="auto"/>
        </w:rPr>
        <w:t>Our acquisitions expose us to risks that could adversely affect our business, and we may not achieve the anticipated benefits of acquisitions of businesses or technologies.</w:t>
      </w:r>
    </w:p>
    <w:p>
      <w:pPr>
        <w:spacing w:after="0" w:line="63"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As a part of our growth strategy, we may make selected acquisitions of complementary products and/or businesses, such as our acquisition of ZebiAI in April 2021. Any acquisition involves numerous risks and operational, financial, and managerial challenges, including the following, any of which could adversely affect our business, financial condition, or results of operations:</w:t>
      </w:r>
    </w:p>
    <w:p>
      <w:pPr>
        <w:spacing w:after="0" w:line="74"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difficulties in integrating new operations, technologies, products, and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challenges maintaining uniform procedures, controls and policies with respect to our financial accounting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lack of synergies or the inability to realize expected synergies and cost-savings;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underperformance of any acquired technology, product, or business relative to our expectations and the price we paid;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negative near-term impacts on financial results after an acquisition, including acquisition-related earnings charges;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potential loss of key employees, customers, and strategic partners of acquired companies;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1" w:name="page102"/>
    <w:bookmarkEnd w:id="101"/>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claims by terminated employees and shareholders of acquired companies or other third parties related to the transaction;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assumption or incurrence of additional debt obligations or expenses, or use of substantial portions of our cash;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issuance of equity securities to finance or as consideration for any acquisitions that dilute the ownership of our stockholders;</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issuance of equity securities to finance or as consideration for any acquisitions may not be an option if the price of our common stock is low or volatile which could preclude us from completing any such acquisitions;</w:t>
      </w:r>
    </w:p>
    <w:p>
      <w:pPr>
        <w:spacing w:after="0" w:line="62"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collaboration, strategic alliance and licensing arrangement may require us to relinquish valuable rights to our technologies or product candidates, or grant licenses on terms that are not favorable to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diversion of management’s attention and company resources from existing operations of the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inconsistencies in standards, controls, procedures, and policies;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impairment of intangible assets as a result of technological advancements, or worse-than-expected performance of acquired companies;</w:t>
      </w:r>
    </w:p>
    <w:p>
      <w:pPr>
        <w:spacing w:after="0" w:line="126" w:lineRule="exact"/>
        <w:rPr>
          <w:rFonts w:ascii="Arial" w:cs="Arial" w:eastAsia="Arial" w:hAnsi="Arial"/>
          <w:sz w:val="16"/>
          <w:szCs w:val="16"/>
          <w:color w:val="auto"/>
        </w:rPr>
      </w:pPr>
    </w:p>
    <w:p>
      <w:pPr>
        <w:ind w:left="1020" w:right="48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assumption of, or exposure to, historical liabilities of the acquired business, including unknown contingent or similar liabilities that are difficult to identify or accurately quantify;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risks associated with acquiring intellectual property, including potential disputes regarding acquired companies’ intellectual property.</w:t>
      </w:r>
    </w:p>
    <w:p>
      <w:pPr>
        <w:spacing w:after="0" w:line="22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addition, the successful integration of acquired businesses requires significant efforts and expense across all operational areas. There can be no assurance that any of the acquisitions we may make, including our acquisition of ZebiAI, will be successful or will be, or will remain, profitable. Our failure to successfully address the foregoing risks may prevent us from achieving the anticipated benefits from any acquisition in a reasonable time frame, or at all.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Business Disruptions</w:t>
      </w:r>
    </w:p>
    <w:p>
      <w:pPr>
        <w:spacing w:after="0" w:line="108"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deficiencies in our or related parties’ cyber security.</w:t>
      </w:r>
    </w:p>
    <w:p>
      <w:pPr>
        <w:spacing w:after="0" w:line="63"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Given our limited operating history, we are still in the process of implementing our internal security measures. Our internal computer systems and those of current and future third parties on which we rely may fail and are vulnerable to damage from computer viruses, ransomware attacks and other unauthorized access. Our information technology and other internal infrastructure systems, including corporate firewalls, servers, leased lines and connection to the Internet, face the risk of systemic failure that could disrupt our operations.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 or any future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 or any future product candidates could be hindered or delayed. In addition, in response to the ongoing COVID-19 pandemic, part of our workforce is currently working remotely. This could increase our cyber security risk, create data accessibility concerns, and make us more susceptible to communication disruptions.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2" w:name="page103"/>
    <w:bookmarkEnd w:id="102"/>
    <w:p>
      <w:pPr>
        <w:ind w:right="100"/>
        <w:spacing w:after="0" w:line="26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96"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b w:val="1"/>
          <w:bCs w:val="1"/>
          <w:i w:val="1"/>
          <w:iCs w:val="1"/>
          <w:color w:val="auto"/>
        </w:rPr>
        <w:t>Our current operations are located in Massachusetts; and we or the third parties upon whom we depend may be adversely affected by natural disasters and our business continuity and disaster recovery plans may not adequately protect us from a serious disaster.</w:t>
      </w:r>
    </w:p>
    <w:p>
      <w:pPr>
        <w:spacing w:after="0" w:line="3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current operations are located in Massachusetts. Any unplanned event, such as flood, fire, explosion, earthquake, extreme weather condition, medical epidemics, including any potential effects from the current global spread of COVID-19,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Natural disasters or pandemics such as the ongoing COVID-19 pandemic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Loss of Status as an “Emerging Growth Company”</w:t>
      </w:r>
    </w:p>
    <w:p>
      <w:pPr>
        <w:spacing w:after="0" w:line="104"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b w:val="1"/>
          <w:bCs w:val="1"/>
          <w:i w:val="1"/>
          <w:iCs w:val="1"/>
          <w:color w:val="auto"/>
        </w:rPr>
        <w:t>Commencing December 31, 2021, we are no longer an “emerging growth company” as defined in the JOBS Act, and the reduced disclosure requirements applicable to emerging growth companies no longer apply to us.</w:t>
      </w:r>
    </w:p>
    <w:p>
      <w:pPr>
        <w:spacing w:after="0" w:line="63" w:lineRule="exact"/>
        <w:rPr>
          <w:sz w:val="20"/>
          <w:szCs w:val="20"/>
          <w:color w:val="auto"/>
        </w:rPr>
      </w:pPr>
    </w:p>
    <w:p>
      <w:pPr>
        <w:jc w:val="both"/>
        <w:ind w:right="340"/>
        <w:spacing w:after="0" w:line="248" w:lineRule="auto"/>
        <w:rPr>
          <w:sz w:val="20"/>
          <w:szCs w:val="20"/>
          <w:color w:val="auto"/>
        </w:rPr>
      </w:pPr>
      <w:r>
        <w:rPr>
          <w:rFonts w:ascii="Arial" w:cs="Arial" w:eastAsia="Arial" w:hAnsi="Arial"/>
          <w:sz w:val="18"/>
          <w:szCs w:val="18"/>
          <w:color w:val="auto"/>
        </w:rPr>
        <w:t>As of June 30, 2021, the market value of our common stock that was held by non-affiliates exceeded $700 million, and as a result, as of December 31, 2021, we no longer qualified as an “emerging growth company,” as defined in the Jumpstart Our Business Startups Act of 2012, or the JOBS Act. As a large accelerated filer, we are now subject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03" w:name="page104"/>
    <w:bookmarkEnd w:id="103"/>
    <w:p>
      <w:pPr>
        <w:ind w:right="400"/>
        <w:spacing w:after="0" w:line="261" w:lineRule="auto"/>
        <w:rPr>
          <w:sz w:val="20"/>
          <w:szCs w:val="20"/>
          <w:color w:val="auto"/>
        </w:rPr>
      </w:pPr>
      <w:r>
        <w:rPr>
          <w:rFonts w:ascii="Arial" w:cs="Arial" w:eastAsia="Arial" w:hAnsi="Arial"/>
          <w:sz w:val="18"/>
          <w:szCs w:val="18"/>
          <w:color w:val="auto"/>
        </w:rPr>
        <w:t>to certain disclosure requirements that are applicable to other public companies that were not applicable to us as an emerging growth company. These requirements include:</w:t>
      </w:r>
    </w:p>
    <w:p>
      <w:pPr>
        <w:spacing w:after="0" w:line="63" w:lineRule="exact"/>
        <w:rPr>
          <w:sz w:val="20"/>
          <w:szCs w:val="20"/>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the auditor attestation requirements of Section 404 of the Sarbanes-Oxley Act of 2002, or Section 404;</w:t>
      </w:r>
    </w:p>
    <w:p>
      <w:pPr>
        <w:spacing w:after="0" w:line="103" w:lineRule="exact"/>
        <w:rPr>
          <w:rFonts w:ascii="Arial" w:cs="Arial" w:eastAsia="Arial" w:hAnsi="Arial"/>
          <w:sz w:val="18"/>
          <w:szCs w:val="18"/>
          <w:color w:val="auto"/>
        </w:rPr>
      </w:pPr>
    </w:p>
    <w:p>
      <w:pPr>
        <w:ind w:left="1020" w:right="80" w:hanging="503"/>
        <w:spacing w:after="0" w:line="291" w:lineRule="auto"/>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full disclosure obligations regarding executive compensation; and</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the requirements of holding a nonbinding advisory vote on executive compensation and stockholder approval of any golden parachute payments not previously approved.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Trading Our Common Stock</w:t>
      </w:r>
    </w:p>
    <w:p>
      <w:pPr>
        <w:spacing w:after="0" w:line="104"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b w:val="1"/>
          <w:bCs w:val="1"/>
          <w:i w:val="1"/>
          <w:iCs w:val="1"/>
          <w:color w:val="auto"/>
        </w:rPr>
        <w:t>The trading price of our common stock historically has been volatile, which may affect the price at which you could sell any shares of our common stock. Securities class action or other litigation involving our company or members of our management team could also substantially harm our business, financial condition and results of operations.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market price for our common stock historically has been volatile and could continue to be subject to wide fluctuations in response to various factors. Since shares of our common stock were sold in our initial public offering, or IPO, in July 2020 at a price of $20.00 per share, our stock price has fluctuated significantly, ranging from an intraday low of $19.05 to an intraday high of $64.37 through February 18, 2022. This volatility may affect the price at which you could resell the common stock. Our stock price is likely to continue to be volatile and subject to significant price and volume fluctuations in response to market and other factors, including the factors described below. The stock market in general and Nasdaq and the market for biopharmaceutical companies in particular, have experienced extreme volatility that has often been unrelated or disproportionate to the operating performance of these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is likely to be volatile. The market price for our common stock may be influenced by many factors, including:</w:t>
      </w:r>
    </w:p>
    <w:p>
      <w:pPr>
        <w:spacing w:after="0" w:line="104" w:lineRule="exact"/>
        <w:rPr>
          <w:sz w:val="20"/>
          <w:szCs w:val="20"/>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1020" w:right="14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104" w:name="page105"/>
    <w:bookmarkEnd w:id="104"/>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Insider Control</w:t>
      </w:r>
    </w:p>
    <w:p>
      <w:pPr>
        <w:spacing w:after="0" w:line="10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exercise significant control over our company, which will limit your ability to influence corporate matters and could delay or prevent a change in corporate control.</w:t>
      </w:r>
    </w:p>
    <w:p>
      <w:pPr>
        <w:spacing w:after="0" w:line="63"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As of December 31, 2021, the holdings of our executive officers, directors, principal stockholders and their affiliates, represented beneficial ownership, in the aggregate, of approximately 56.3% of our outstanding common stock.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may have interests, with respect to their common stock, that are different from those of our public market investors and the concentration of voting power among these stockholders may have an adverse effect on the price of our common stock. In addition, this concentration of ownership might adversely affect the market price of our common stock by:</w:t>
      </w:r>
    </w:p>
    <w:p>
      <w:pPr>
        <w:spacing w:after="0" w:line="53" w:lineRule="exact"/>
        <w:rPr>
          <w:sz w:val="20"/>
          <w:szCs w:val="20"/>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Tax</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Under Section 382 of the Internal Revenue Code of 1986, as amended, or the IRC,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experience ownership changes in the future as a result of subsequent shifts in our stock ownership. As of December 31, 2021, we had federal net operating loss carryforwards of approximately $466.2 million, and our ability to utilize those net operating loss carryforwards could be limited by an “ownership change” as described above.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04"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105" w:name="page106"/>
    <w:bookmarkEnd w:id="105"/>
    <w:p>
      <w:pPr>
        <w:ind w:right="40"/>
        <w:spacing w:after="0"/>
        <w:rPr>
          <w:sz w:val="20"/>
          <w:szCs w:val="20"/>
          <w:color w:val="auto"/>
        </w:rPr>
      </w:pPr>
      <w:r>
        <w:rPr>
          <w:rFonts w:ascii="Arial" w:cs="Arial" w:eastAsia="Arial" w:hAnsi="Arial"/>
          <w:sz w:val="18"/>
          <w:szCs w:val="18"/>
          <w:color w:val="auto"/>
        </w:rPr>
        <w:t>Additional changes to U.S. federal income tax law are currently being contemplated, and future changes in tax laws could have a material adverse effect on our business, cash flow, financial condition or results of operations.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You are urged to consult your tax advisor regarding the implications of potential changes in tax laws on an investment in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Dividends</w:t>
      </w:r>
    </w:p>
    <w:p>
      <w:pPr>
        <w:spacing w:after="0" w:line="10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3"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Operating as a Public Company</w:t>
      </w:r>
    </w:p>
    <w:p>
      <w:pPr>
        <w:spacing w:after="0" w:line="10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63"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As a public company, and particularly since we are no longer an “emerging growth company,” we have incurred and expect to incur significant legal, accounting and other expenses.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w:t>
      </w:r>
    </w:p>
    <w:p>
      <w:pPr>
        <w:spacing w:after="0" w:line="15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Pursuant to Section 404, we are required to furnish a report by our management on our internal control over financial reporting. Because we are no longer an emerging growth company, we are required to include an attestation report on internal control over financial reporting issued by our independent registered public accounting firm.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Accordingly, because of the inherent limitations in our control system, misstatements due to error or fraud may occur and not be detected.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Charter and Bylaws</w:t>
      </w:r>
    </w:p>
    <w:p>
      <w:pPr>
        <w:spacing w:after="0" w:line="104" w:lineRule="exact"/>
        <w:rPr>
          <w:sz w:val="20"/>
          <w:szCs w:val="20"/>
          <w:color w:val="auto"/>
        </w:rPr>
      </w:pPr>
    </w:p>
    <w:p>
      <w:pPr>
        <w:ind w:right="820"/>
        <w:spacing w:after="0" w:line="324"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color w:val="auto"/>
        </w:rPr>
        <w:t>Our fourth amended and restated certificate of incorporation and our amended and restated bylaws contain provisions that could delay or prevent a change of control of our company or changes in our board of directors that our stockholders might consider favorable. Some of these provisions include:</w:t>
      </w:r>
    </w:p>
    <w:p>
      <w:pPr>
        <w:spacing w:after="0" w:line="16" w:lineRule="exact"/>
        <w:rPr>
          <w:sz w:val="20"/>
          <w:szCs w:val="20"/>
          <w:color w:val="auto"/>
        </w:rPr>
      </w:pPr>
    </w:p>
    <w:p>
      <w:pPr>
        <w:ind w:left="1020" w:right="280" w:hanging="503"/>
        <w:spacing w:after="0" w:line="261"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1020" w:right="740" w:hanging="503"/>
        <w:spacing w:after="0" w:line="261"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03" w:lineRule="exact"/>
        <w:rPr>
          <w:rFonts w:ascii="Arial" w:cs="Arial" w:eastAsia="Arial" w:hAnsi="Arial"/>
          <w:sz w:val="18"/>
          <w:szCs w:val="18"/>
          <w:color w:val="auto"/>
        </w:rPr>
      </w:pPr>
    </w:p>
    <w:p>
      <w:pPr>
        <w:jc w:val="both"/>
        <w:ind w:left="1020" w:right="80" w:hanging="503"/>
        <w:spacing w:after="0" w:line="248"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(2/3) of all outstanding shares of our voting stock then entitled to vote in the election of directors;</w:t>
      </w:r>
    </w:p>
    <w:p>
      <w:pPr>
        <w:spacing w:after="0" w:line="73" w:lineRule="exact"/>
        <w:rPr>
          <w:rFonts w:ascii="Arial" w:cs="Arial" w:eastAsia="Arial" w:hAnsi="Arial"/>
          <w:sz w:val="18"/>
          <w:szCs w:val="18"/>
          <w:color w:val="auto"/>
        </w:rPr>
      </w:pPr>
    </w:p>
    <w:p>
      <w:pPr>
        <w:ind w:left="1020" w:right="40" w:hanging="503"/>
        <w:spacing w:after="0" w:line="248"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requirement of approval of not less than a majority of all outstanding shares of our voting stock to amend any bylaws by stockholder action and not less than two-thirds (2/3) of all outstanding shares of our voting stock to amend specific provisions of our fourth amended and restated certificate of incorporation; and</w:t>
      </w:r>
    </w:p>
    <w:p>
      <w:pPr>
        <w:spacing w:after="0" w:line="7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7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7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6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Pursuant to our amended and restated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7" w:name="page108"/>
    <w:bookmarkEnd w:id="107"/>
    <w:p>
      <w:pPr>
        <w:ind w:right="20"/>
        <w:spacing w:after="0" w:line="272" w:lineRule="auto"/>
        <w:rPr>
          <w:sz w:val="20"/>
          <w:szCs w:val="20"/>
          <w:color w:val="auto"/>
        </w:rPr>
      </w:pPr>
      <w:r>
        <w:rPr>
          <w:rFonts w:ascii="Arial" w:cs="Arial" w:eastAsia="Arial" w:hAnsi="Arial"/>
          <w:sz w:val="16"/>
          <w:szCs w:val="16"/>
          <w:color w:val="auto"/>
        </w:rPr>
        <w:t>asserting a claim pursuant to any provision of the Delaware General Corporation Law, our fourth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6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Market Analysts</w:t>
      </w:r>
    </w:p>
    <w:p>
      <w:pPr>
        <w:spacing w:after="0" w:line="10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one or more of the analysts covering our stock downgrade their evaluations of our stock or publishes inaccurate or unfavorable research about our business, the trading price of our stock may decline. If one or more of these analysts cease to cover our stock, we could lose visibility in the market for our stock, which in turn could cause our stock price to decline.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Our corporate headquarters is located at 399 Binney Street, Cambridge, Massachusetts 02139, where we lease and occupy approximately 46,631 square feet of office and laboratory space. The current term of our lease at 399 Binney Street expires April 30, 2029, with an option to extend the term five additional years with 12 to 15 months’ notice at agreed upon market rates.</w:t>
      </w:r>
    </w:p>
    <w:p>
      <w:pPr>
        <w:spacing w:after="0" w:line="182"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On May 26, 2021, we also agreed to lease 41,474 square feet of laboratory and office space at 60 Hampshire Street, Cambridge, Massachusetts 02139. The term of our lease at 60 Hampshire Street expires 10 years following lease commencement, which is expected upon our initial occupancy in 2022.</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8" w:name="page109"/>
    <w:bookmarkEnd w:id="108"/>
    <w:p>
      <w:pPr>
        <w:spacing w:after="0" w:line="291" w:lineRule="auto"/>
        <w:rPr>
          <w:sz w:val="20"/>
          <w:szCs w:val="20"/>
          <w:color w:val="auto"/>
        </w:rPr>
      </w:pPr>
      <w:r>
        <w:rPr>
          <w:rFonts w:ascii="Arial" w:cs="Arial" w:eastAsia="Arial" w:hAnsi="Arial"/>
          <w:sz w:val="17"/>
          <w:szCs w:val="17"/>
          <w:color w:val="auto"/>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9" w:name="page110"/>
    <w:bookmarkEnd w:id="109"/>
    <w:p>
      <w:pPr>
        <w:jc w:val="center"/>
        <w:ind w:left="500"/>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920"/>
        <w:spacing w:after="0" w:line="36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Certain Information Regarding the Trading of Our Common Stock</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common stock trades under the symbol “RLAY” on the NASDAQ Global Market and has been publicly traded since July 16, 2020. Prior to this time, there was no public market for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10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As of February 1, 2022, there were approximately 33 holders of record of shares of our common stock. This number does not include stockholders for whom shares are held in “nominee” or “street” name.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0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July 2020, we issued 23,000,000 shares of our common stock in our IPO at a price of $20.00 per share. The following performance graph compares the performance of our common stock to the Nasdaq Composite Index and to the Nasdaq Biotechnology Index from July 16, 2020, the closing market price on the first trading day of our common stock, through December 31, 2021. The comparison assumes $100 was invested in our common stock and in each of the foregoing indices after the market closed on July 16, 2020 and it assumes reinvestment of dividends, if any. The stock price performance included in this graph is not necessarily indicative of, nor is it intended to forecast,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50800</wp:posOffset>
            </wp:positionV>
            <wp:extent cx="5134610" cy="1937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3461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Information about our equity compensation plans will be included in our definitive proxy statement to be filed with the SEC with respect to our 2022 Annual Meeting of Stockholders and is incorporated herein by reference.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April 15, 2021, we entered into an Agreement and Plan of Merger, or the Merger Agreement, pursuant to which we acquired ZebiAI Therapeutics, Inc., or ZebiAI. Pursuant to the terms of the Merger Agreement and as partial consideration for our acquisition of ZebiAI, on April 22, 2021, we issued 1,914,219 shares of our common stock to former stockholders, option holders and warrant holders of ZebiAI, or the Merger Shares, in a private offering pursuant to an exemption from registration afforded by Section 4(a)(2) of the Securities Act and/or Regulation D promulgated thereunder. Pursuant to the Merger Agreement and related Registration Rights Agreement, we subsequently filed registration statements with the SEC pursuant to which we registered for resale the Merger Shares. We have agreed to maintain the effectiveness of the registration statements until such time as all Merger Shares covered by the registration statements have been sold or may be sold under Rule 144 without manner of sale restrictions or volume limitations, subject to certain exceptions.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included elsewhere in this Annual Report on Form 10-K. This discussion and other parts of this Annual Report on Form 10-K contain forward-looking statements that involve risks and uncertainties, such as statements of our plans, objectives, expectations and intentions.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We are a clinical-stage precision medicines company transforming the drug discovery process by combining leading-edge computational and experimental technologies with the goal of bringing life-changing therapies to patients. We are among the first of a new breed of biotech created at the intersection of disparate disciplines. Our Dynamo™ platform integrates an array of leading-edge computational and experimental approaches designed to drug protein targets that have previously been intractable, or inadequately addressed. Our initial focus is on enhancing small molecule therapeutic discovery in targeted oncology and genetic disease indications.</w:t>
      </w:r>
    </w:p>
    <w:p>
      <w:pPr>
        <w:spacing w:after="0" w:line="18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have deployed our technology platform to build a pipeline of product candidates to address targets in precision medicine where there is clear evidence linking target proteins to disease and where molecular diagnostics can unambiguously identify relevant patients for treatment. We believe this approach will increase the likelihood of successfully translating a specific pharmacological mechanism into clinical benefit.</w:t>
      </w:r>
    </w:p>
    <w:p>
      <w:pPr>
        <w:spacing w:after="0" w:line="182"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Our pipeline consists of programs which we believe target previously unsolved drug discovery challenges, or what we term “Innovators”, and programs which we believe target problems with “existing” answers, such as an approved therapy, for which we believe there is inadequate treatment and seek to rapidly create novel solutions, or what we term “Challengers.” Our lead product candidates are RLY-4008, RLY-2608, which are part of our Innovator portfolio, and RLY-1971, which is part of our Challenger portfolio.</w:t>
      </w:r>
    </w:p>
    <w:p>
      <w:pPr>
        <w:spacing w:after="0" w:line="76" w:lineRule="exact"/>
        <w:rPr>
          <w:sz w:val="20"/>
          <w:szCs w:val="20"/>
          <w:color w:val="auto"/>
        </w:rPr>
      </w:pPr>
    </w:p>
    <w:p>
      <w:pPr>
        <w:ind w:left="760" w:hanging="378"/>
        <w:spacing w:after="0" w:line="253" w:lineRule="auto"/>
        <w:tabs>
          <w:tab w:leader="none" w:pos="76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RLY-4008</w:t>
      </w:r>
      <w:r>
        <w:rPr>
          <w:rFonts w:ascii="Arial" w:cs="Arial" w:eastAsia="Arial" w:hAnsi="Arial"/>
          <w:sz w:val="17"/>
          <w:szCs w:val="17"/>
          <w:color w:val="auto"/>
        </w:rPr>
        <w:t>. In the third quarter of 2020, we initiated a first-in-human clinical trial for RLY-4008, a potent, selective and oral small molecule</w:t>
      </w:r>
      <w:r>
        <w:rPr>
          <w:rFonts w:ascii="Arial" w:cs="Arial" w:eastAsia="Arial" w:hAnsi="Arial"/>
          <w:sz w:val="17"/>
          <w:szCs w:val="17"/>
          <w:b w:val="1"/>
          <w:bCs w:val="1"/>
          <w:color w:val="auto"/>
        </w:rPr>
        <w:t xml:space="preserve"> </w:t>
      </w:r>
      <w:r>
        <w:rPr>
          <w:rFonts w:ascii="Arial" w:cs="Arial" w:eastAsia="Arial" w:hAnsi="Arial"/>
          <w:sz w:val="17"/>
          <w:szCs w:val="17"/>
          <w:color w:val="auto"/>
        </w:rPr>
        <w:t>inhibitor of fibroblast growth factor receptor 2, or FGFR2, for patients with advanced or metastatic FGFR2-altered solid tumors. In October 2021, we announced initial clinical data from this trial. We believe the interim clinical data as of the data cut-off date of September 9, 2021, or the Interim Data Cut-off Date, suggest robust inhibition of FGFR2 in the first 49 subjects that was not shown to be limited by off-target toxicities, including hyperphosphatemia and diarrhea. The initial pharmacokinetic and predicted receptor occupancy data suggest that all once daily dose levels above 30 mg of RLY-4008 administered as of the Interim Data Cut-off Date can achieve &gt;85% continuous inhibition of FGFR2. At those levels, acute toxicities that would limit dose intensity have generally not been observed as of the Interim Data Cut-off Date. Approximately 80% of all patients treated achieved reductions in tumor size as of the Interim Data Cut-off Date, which was observed across dose levels, tumor types and FGFR2 alterations and lines of treatment. In December 2021, we initiated expansion cohorts at a continuous 70 mg once-daily dose. In January 2022, the U.S. Food and Drug Administration, or FDA, granted orphan drug designation to RLY-4008 for the treatment of cholangiocarcinoma.</w:t>
      </w:r>
    </w:p>
    <w:p>
      <w:pPr>
        <w:spacing w:after="0" w:line="68" w:lineRule="exact"/>
        <w:rPr>
          <w:rFonts w:ascii="Arial" w:cs="Arial" w:eastAsia="Arial" w:hAnsi="Arial"/>
          <w:sz w:val="17"/>
          <w:szCs w:val="17"/>
          <w:color w:val="auto"/>
        </w:rPr>
      </w:pPr>
    </w:p>
    <w:p>
      <w:pPr>
        <w:ind w:left="760" w:right="60" w:hanging="378"/>
        <w:spacing w:after="0" w:line="273" w:lineRule="auto"/>
        <w:tabs>
          <w:tab w:leader="none" w:pos="76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RLY-2608</w:t>
      </w:r>
      <w:r>
        <w:rPr>
          <w:rFonts w:ascii="Arial" w:cs="Arial" w:eastAsia="Arial" w:hAnsi="Arial"/>
          <w:sz w:val="16"/>
          <w:szCs w:val="16"/>
          <w:color w:val="auto"/>
        </w:rPr>
        <w:t>. In December 2021, we dosed the first patient in a first-in-human clinical trial for RLY-2608, the first known allosteric, pan-mutant</w:t>
      </w:r>
      <w:r>
        <w:rPr>
          <w:rFonts w:ascii="Arial" w:cs="Arial" w:eastAsia="Arial" w:hAnsi="Arial"/>
          <w:sz w:val="16"/>
          <w:szCs w:val="16"/>
          <w:b w:val="1"/>
          <w:bCs w:val="1"/>
          <w:color w:val="auto"/>
        </w:rPr>
        <w:t xml:space="preserve"> </w:t>
      </w:r>
      <w:r>
        <w:rPr>
          <w:rFonts w:ascii="Arial" w:cs="Arial" w:eastAsia="Arial" w:hAnsi="Arial"/>
          <w:sz w:val="16"/>
          <w:szCs w:val="16"/>
          <w:color w:val="auto"/>
        </w:rPr>
        <w:t>(H1047X, E542X and E545X) and isoform-selective phosphoinostide 3 kinase alpha, or PI3Kα, inhibitor in clinical development. RLY-2608 is the lead program of multiple efforts in our PI3Kα franchise to discover and develop mutant selective inhibitors of PI3Kα. In the fourth quarter of 2021, we announced preclinical data for RLY-2608. The data show that in preclinical models, RLY-2608 preferentially binds to mutant PI3Kα at a novel allosteric site discovered by the Dynamo platform. The data also suggest that projected clinically relevant doses of RLY-2608 achieved tumor regression in PIK3CA mutant in vivo xenograft mouse models representing H1047R and E545K mutations with significantly reduced impact on glucose metabolism compared to non-mutant selective active site inhibitors. The data further show that in preclinical models, RLY-2608 combines with standard of care therapies facilitated regressions in ER+/HER2- breast cancer.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2" w:name="page113"/>
    <w:bookmarkEnd w:id="112"/>
    <w:p>
      <w:pPr>
        <w:ind w:left="760" w:right="180" w:hanging="378"/>
        <w:spacing w:after="0" w:line="242"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RLY-1971</w:t>
      </w:r>
      <w:r>
        <w:rPr>
          <w:rFonts w:ascii="Arial" w:cs="Arial" w:eastAsia="Arial" w:hAnsi="Arial"/>
          <w:sz w:val="18"/>
          <w:szCs w:val="18"/>
          <w:color w:val="auto"/>
        </w:rPr>
        <w:t>. We initiated a Phase 1 clinical trial for RLY-1971, our inhibitor of Src homology region 2 domain-containing phosphatase-2, or</w:t>
      </w:r>
      <w:r>
        <w:rPr>
          <w:rFonts w:ascii="Arial" w:cs="Arial" w:eastAsia="Arial" w:hAnsi="Arial"/>
          <w:sz w:val="18"/>
          <w:szCs w:val="18"/>
          <w:b w:val="1"/>
          <w:bCs w:val="1"/>
          <w:color w:val="auto"/>
        </w:rPr>
        <w:t xml:space="preserve"> </w:t>
      </w:r>
      <w:r>
        <w:rPr>
          <w:rFonts w:ascii="Arial" w:cs="Arial" w:eastAsia="Arial" w:hAnsi="Arial"/>
          <w:sz w:val="18"/>
          <w:szCs w:val="18"/>
          <w:color w:val="auto"/>
        </w:rPr>
        <w:t>SHP2, in patients with advanced solid tumors in the first quarter of 2020. In December 2020, we entered into a global collaboration and license agreement, or the Genentech Agreement, with Genentech, Inc., a member of the Roche Group, or Genentech, for the development and commercialization of RLY-1971. In July 2021, Genentech initiated the cohort of RLY-1971 in combination with GDC-6036, its KRAS G12C inhibitor, in a Phase 1b trial.</w:t>
      </w:r>
    </w:p>
    <w:p>
      <w:pPr>
        <w:spacing w:after="0" w:line="18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addition to the three product candidates described above, we have over five discovery stage programs across both precision oncology and genetic disease indications. We are focused on using the novel insights derived from our approach to transform the lives of patients suffering from debilitating and life-threatening diseases through the discovery, development and commercialization of our therapies.</w:t>
      </w:r>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were incorporated in May 2015. We have devoted substantially all of our resources to developing our lead product candidates, developing our innovative computational and experimental approaches on protein motion, building our intellectual property portfolio, business planning, raising capital and providing general and administrative support for these operations. To date, we have principally financed our operations through private placements of preferred stock, convertible debt and proceeds from public offerings of our common stock. Additionally, in 2021, we received an aggregate of $95.0 million in connection with the Genentech Agreement.</w:t>
      </w:r>
    </w:p>
    <w:p>
      <w:pPr>
        <w:spacing w:after="0" w:line="18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October 2021, we completed a public offering, or the October 2021 Offering, of 15,188,679 shares of common stock, including the exercise in full of the underwriters’ option to purchase an additional 1,981,132 shares, at an offering price of $26.50 per share, for net proceeds of $382.2 million, after deducting underwriting discounts and commissions and other offering expenses. In July 2020, we closed our initial public offering, or IPO, and issued 23,000,000 shares of our common stock at a price of $20.00 per share for net proceeds of $425.3 million, after deducting underwriting discounts and commissions and offering expenses. Prior to our IPO, we had received gross proceeds of approximately $520.0 million from sales of our preferred stock and our issuance of convertible debt.</w:t>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In December 2020, we entered into the Genentech Agreement with Genentech, for the development and commercialization of RLY-1971. Under the terms of the Genentech Agreement, we received $75.0 million in an upfront payment and $20.0 million in milestone payments from Genentech in 2021. We are eligible to receive an additional $5.0 million in near-term payments; and, if we do not opt into a U.S. profit/cost share, up to $695.0 million in additional development, commercialization and sales-based milestones for RLY-1971; and tiered royalties on annual global net sales (on a country-by-country basis), anticipated to be in the low-to-mid-teens, subject to reductions in certain circumstances. Additionally, we are eligible to receive additional royalties in the event of regulatory approval of RLY-1971 and Genentech’s compound, GDC-6036, that directly binds to and inhibits KRAS G12C, in combination. We have the right to opt-in to a 50/50 U.S. profit/cost share and if we do opt into the U.S. profit/cost share, we are eligible to receive up to $410.0 million in additional commercialization and sales-based milestones for RLY-1971 outside of the U.S. and tiered royalties on annual net sales outside of the U.S. (on a country-by-country basis), anticipated to be in the low-to-mid-teens, subject to reduction in certain circumstances. We also retain the right to develop RLY-1971 in combination with our FGFR2 and PI3Kα programs.</w:t>
      </w:r>
    </w:p>
    <w:p>
      <w:pPr>
        <w:spacing w:after="0" w:line="38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April 15, 2021, we entered into an Agreement and Plan of Merger, or the Merger Agreement, and on April 22, 2021, we acquired ZebiAI Therapeutics, Inc., or ZebiAI. Pursuant to the Merger Agreement, we were required to pay ZebiAI’s former stockholders, option holders and warrant holders, or the ZebiAI Holders, upfront consideration in an aggregate amount of approximately $85.0 million, excluding customary purchase price adjustments, composed of approximately $20.0 million payable in cash and approximately $65.0 million payable in shares of our common stock. In addition, (i) the ZebiAI Holders will be eligible to receive up to an additional $85.0 million in milestone payments upon the achievement of certain platform or program-related milestones, payable in our common stock and (ii) we will pay to the ZebiAI Holders 10% of the payments we receive within three years of the closing date of the Merger Agreement from partnering, collaboration or other agreements related to ZebiAI’s platform up to an aggregate maximum amount of $100.0 million, payable in cash.</w:t>
      </w:r>
    </w:p>
    <w:p>
      <w:pPr>
        <w:spacing w:after="0" w:line="396"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The ongoing COVID-19 pandemic has presented a substantial public health and economic challenge around the world and continues to affect our employees, patients, communities and business operations. The extent to which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3" w:name="page114"/>
    <w:bookmarkEnd w:id="113"/>
    <w:p>
      <w:pPr>
        <w:spacing w:after="0" w:line="252" w:lineRule="auto"/>
        <w:rPr>
          <w:sz w:val="20"/>
          <w:szCs w:val="20"/>
          <w:color w:val="auto"/>
        </w:rPr>
      </w:pPr>
      <w:r>
        <w:rPr>
          <w:rFonts w:ascii="Arial" w:cs="Arial" w:eastAsia="Arial" w:hAnsi="Arial"/>
          <w:sz w:val="17"/>
          <w:szCs w:val="17"/>
          <w:color w:val="auto"/>
        </w:rPr>
        <w:t>COVID-19 pandemic may continue to affect our operations or those of our third-party partners, including our preclinical studies or clinical trial operations, will depend on future developments, which are highly uncertain and cannot be predicted with confidence, including the severity and duration of additional variant outbreaks, vaccination rates where we or our third party partners conduct operations, and the actions to contain COVID-19 or treat its impact, among others. The continued spread of COVID-19 globally could adversely impact our preclinical or clinical trial operations in the United States, including our ability to obtain slots for IND-enabling studies, recruit and retain patients, principal investigators and site staff in our clinical trials, obtain sufficient clinical trial supply of our product candidates due to supply chain disruptions or interruptions in global shipping, as well as activate new clinical trial sites. To date, we have been able to continue to enroll our patients in first-in-human clinical trials for RLY-1971, RLY-4008 and RLY-2608, and we currently do not anticipate any interruptions in clinical enrollment or any material adverse impact on our financial condition or results of operations due to the COVID-19 pandemic. However, we are continuing to assess the potential impact of the ongoing COVID-19 pandemic on our current and future business and operations, including our expenses and clinical trials, as well as on our industry and the healthcare system. See “</w:t>
      </w:r>
      <w:r>
        <w:rPr>
          <w:rFonts w:ascii="Arial" w:cs="Arial" w:eastAsia="Arial" w:hAnsi="Arial"/>
          <w:sz w:val="17"/>
          <w:szCs w:val="17"/>
          <w:i w:val="1"/>
          <w:iCs w:val="1"/>
          <w:color w:val="auto"/>
        </w:rPr>
        <w:t>—The ongoing COVID-19 pandemic has</w:t>
      </w:r>
      <w:r>
        <w:rPr>
          <w:rFonts w:ascii="Arial" w:cs="Arial" w:eastAsia="Arial" w:hAnsi="Arial"/>
          <w:sz w:val="17"/>
          <w:szCs w:val="17"/>
          <w:color w:val="auto"/>
        </w:rPr>
        <w:t xml:space="preserve"> </w:t>
      </w:r>
      <w:r>
        <w:rPr>
          <w:rFonts w:ascii="Arial" w:cs="Arial" w:eastAsia="Arial" w:hAnsi="Arial"/>
          <w:sz w:val="17"/>
          <w:szCs w:val="17"/>
          <w:i w:val="1"/>
          <w:iCs w:val="1"/>
          <w:color w:val="auto"/>
        </w:rPr>
        <w:t>impacted our business and any future pandemic, epidemic, or outbreak of an infectious disease could similarly affect our business and our financial results and could cause further disruption to the development of our product candidates</w:t>
      </w:r>
      <w:r>
        <w:rPr>
          <w:rFonts w:ascii="Arial" w:cs="Arial" w:eastAsia="Arial" w:hAnsi="Arial"/>
          <w:sz w:val="17"/>
          <w:szCs w:val="17"/>
          <w:color w:val="auto"/>
        </w:rPr>
        <w:t>” for a more detailed discussion of the risks related to the COVID-19</w:t>
      </w:r>
      <w:r>
        <w:rPr>
          <w:rFonts w:ascii="Arial" w:cs="Arial" w:eastAsia="Arial" w:hAnsi="Arial"/>
          <w:sz w:val="17"/>
          <w:szCs w:val="17"/>
          <w:i w:val="1"/>
          <w:iCs w:val="1"/>
          <w:color w:val="auto"/>
        </w:rPr>
        <w:t xml:space="preserve"> </w:t>
      </w:r>
      <w:r>
        <w:rPr>
          <w:rFonts w:ascii="Arial" w:cs="Arial" w:eastAsia="Arial" w:hAnsi="Arial"/>
          <w:sz w:val="17"/>
          <w:szCs w:val="17"/>
          <w:color w:val="auto"/>
        </w:rPr>
        <w:t>pandemic.</w:t>
      </w:r>
    </w:p>
    <w:p>
      <w:pPr>
        <w:spacing w:after="0" w:line="18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Additionally, inflation generally affects us by increasing our employee-related costs and clinical trial expenses. We do not believe that inflation had a material effect on our results of operations during the year ended December 31, 2021.</w:t>
      </w:r>
    </w:p>
    <w:p>
      <w:pPr>
        <w:spacing w:after="0" w:line="373"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Since our inception, we have incurred significant operating losses on an aggregate basis. Our ability to generate product revenue sufficient to achieve profitability will depend on the successful development and eventual commercialization of one or more of our current or future product candidates. Our net losses were $363.9 million, $52.4 million and $75.3 million for the years ended December 31, 2021, 2020 and 2019, respectively. As of December 31, 2021, we had an accumulated deficit of $768.1 million. These losses have resulted primarily from costs incurred in connection with research and development activities, licensing and patent investment and general and administrative costs associated with our operations. We expect to continue to incur significant expenses</w:t>
      </w:r>
      <w:r>
        <w:rPr>
          <w:rFonts w:ascii="Arial" w:cs="Arial" w:eastAsia="Arial" w:hAnsi="Arial"/>
          <w:sz w:val="16"/>
          <w:szCs w:val="16"/>
          <w:color w:val="231F20"/>
        </w:rPr>
        <w:t>, including the costs of operating as a public company,</w:t>
      </w:r>
      <w:r>
        <w:rPr>
          <w:rFonts w:ascii="Arial" w:cs="Arial" w:eastAsia="Arial" w:hAnsi="Arial"/>
          <w:sz w:val="16"/>
          <w:szCs w:val="16"/>
          <w:color w:val="auto"/>
        </w:rPr>
        <w:t xml:space="preserve"> and </w:t>
      </w:r>
      <w:r>
        <w:rPr>
          <w:rFonts w:ascii="Arial" w:cs="Arial" w:eastAsia="Arial" w:hAnsi="Arial"/>
          <w:sz w:val="16"/>
          <w:szCs w:val="16"/>
          <w:color w:val="231F20"/>
        </w:rPr>
        <w:t>generate</w:t>
      </w:r>
      <w:r>
        <w:rPr>
          <w:rFonts w:ascii="Arial" w:cs="Arial" w:eastAsia="Arial" w:hAnsi="Arial"/>
          <w:sz w:val="16"/>
          <w:szCs w:val="16"/>
          <w:color w:val="auto"/>
        </w:rPr>
        <w:t xml:space="preserve"> increasing operating losses for at least the next several years.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expenses will increase substantially if and as we:</w:t>
      </w:r>
    </w:p>
    <w:p>
      <w:pPr>
        <w:spacing w:after="0" w:line="306" w:lineRule="exact"/>
        <w:rPr>
          <w:sz w:val="20"/>
          <w:szCs w:val="20"/>
          <w:color w:val="auto"/>
        </w:rPr>
      </w:pPr>
    </w:p>
    <w:p>
      <w:pPr>
        <w:ind w:left="760" w:right="400" w:hanging="378"/>
        <w:spacing w:after="0" w:line="261"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conduct our current and future clinical trials of RLY-4008, and RLY-2608 and additional preclinical research and development of our PI3Kα mutant selective inhibitor programs and other early-stage programs;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initiate and continue research and preclinical and clinical development of our other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pursue marketing approvals for any of our product candidates that successfully complete clinical trials, if any;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require the manufacture of larger quantities of our product candidates for clinical development and potentially commercialization;</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acquire or in-license other drugs and technologies;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hire and retain additional clinical, regulatory, quality and scientific personnel;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4" w:name="page115"/>
    <w:bookmarkEnd w:id="114"/>
    <w:p>
      <w:pPr>
        <w:ind w:left="760" w:hanging="378"/>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build out new facilities or expand existing facilities to support our ongoing development activity; and</w:t>
      </w:r>
    </w:p>
    <w:p>
      <w:pPr>
        <w:spacing w:after="0" w:line="103" w:lineRule="exact"/>
        <w:rPr>
          <w:rFonts w:ascii="Arial" w:cs="Arial" w:eastAsia="Arial" w:hAnsi="Arial"/>
          <w:sz w:val="18"/>
          <w:szCs w:val="18"/>
          <w:color w:val="auto"/>
        </w:rPr>
      </w:pPr>
    </w:p>
    <w:p>
      <w:pPr>
        <w:ind w:left="760" w:right="60" w:hanging="378"/>
        <w:spacing w:after="0" w:line="261" w:lineRule="auto"/>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any future commercialization efforts and our operations as a public company.</w:t>
      </w:r>
    </w:p>
    <w:p>
      <w:pPr>
        <w:spacing w:after="0" w:line="17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 addition, if we obtain marketing approval for any of our lead product candidates, we expect to incur significant commercialization expenses related to product manufacturing, marketing, sales and distribution.</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or commercialization of one or more of our product candidates.</w:t>
      </w:r>
    </w:p>
    <w:p>
      <w:pPr>
        <w:spacing w:after="0" w:line="17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may be forced to reduce or terminate our operations.</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believe our cash, cash equivalents and investments of $958.1 million as of December 31, 2021 will enable us to fund our operating expenses and capital expenditure requirements into at least 2025. We have based this estimate on assumptions that may prove to be wrong, and we could exhaust our available capital resources sooner than we expect. We will need to raise additional capital in the future to continue developing the drugs in our pipeline and to commercialize any approved drug. We may seek to obtain additional financing in the future through the issuance of our common stock, through other equity or debt financings or through collaborations or partnerships with other companies. We may not be able to raise additional capital on terms acceptable to us, or at all, and any failure to raise capital as and when needed could compromise our ability to execute on our business plan.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To date, our revenue consists primarily of amounts related to the Genentech Agreement. We recognize our revenue as the performance obligations are satisfied under the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operating expenses since inception have primarily consisted of research and development costs and general and administrative costs. During the year ended December 31, 2021, we also incurred other operating expenses in connection with the acquisition of ZebiAI.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include:</w:t>
      </w:r>
    </w:p>
    <w:p>
      <w:pPr>
        <w:spacing w:after="0" w:line="104" w:lineRule="exact"/>
        <w:rPr>
          <w:sz w:val="20"/>
          <w:szCs w:val="20"/>
          <w:color w:val="auto"/>
        </w:rPr>
      </w:pPr>
    </w:p>
    <w:p>
      <w:pPr>
        <w:ind w:left="760" w:right="700" w:hanging="378"/>
        <w:spacing w:after="0" w:line="261" w:lineRule="auto"/>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salaries, benefits and other employee related costs, including stock-based compensation expense, for personnel engaged in research and development functions;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stock-based compensation and related travel expenses;</w:t>
      </w:r>
    </w:p>
    <w:p>
      <w:pPr>
        <w:spacing w:after="0" w:line="103" w:lineRule="exact"/>
        <w:rPr>
          <w:rFonts w:ascii="Arial" w:cs="Arial" w:eastAsia="Arial" w:hAnsi="Arial"/>
          <w:sz w:val="18"/>
          <w:szCs w:val="18"/>
          <w:color w:val="auto"/>
        </w:rPr>
      </w:pPr>
    </w:p>
    <w:p>
      <w:pPr>
        <w:ind w:left="760" w:right="180" w:hanging="378"/>
        <w:spacing w:after="0" w:line="261" w:lineRule="auto"/>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contract manufacturing organizations, or CMOs, and other vendors that conduct our clinical trials and preclinical activities;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of acquiring, developing and manufacturing clinical trial materials and lab supplies;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5" w:name="page116"/>
    <w:bookmarkEnd w:id="115"/>
    <w:p>
      <w:pPr>
        <w:ind w:left="760" w:hanging="378"/>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03" w:lineRule="exact"/>
        <w:rPr>
          <w:rFonts w:ascii="Arial" w:cs="Arial" w:eastAsia="Arial" w:hAnsi="Arial"/>
          <w:sz w:val="18"/>
          <w:szCs w:val="18"/>
          <w:color w:val="auto"/>
        </w:rPr>
      </w:pPr>
    </w:p>
    <w:p>
      <w:pPr>
        <w:ind w:left="760" w:right="80" w:hanging="378"/>
        <w:spacing w:after="0" w:line="261"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facility costs, depreciation and other expenses, which include direct and allocated expenses for rent and maintenance of facilities, insurance and other supplies.</w:t>
      </w:r>
    </w:p>
    <w:p>
      <w:pPr>
        <w:spacing w:after="0" w:line="17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expense research and development costs as the services are performed or the goods are received. We recognize costs for certain development activities, such as clinical trials, based on an evaluation of the progress to completion of specific tasks using data such as patient enrollment, clinical site activations or information provided to us by our vendors and our clinical investigative sites. Payments for these activities are based on the terms of the individual agreements, which may differ from the pattern of costs incurred, and are reflected in our financial statements as prepaid expenses or accrued research and development expenses.</w:t>
      </w:r>
    </w:p>
    <w:p>
      <w:pPr>
        <w:spacing w:after="0" w:line="189" w:lineRule="exact"/>
        <w:rPr>
          <w:sz w:val="20"/>
          <w:szCs w:val="20"/>
          <w:color w:val="auto"/>
        </w:rPr>
      </w:pPr>
    </w:p>
    <w:p>
      <w:pPr>
        <w:ind w:right="280"/>
        <w:spacing w:after="0" w:line="324" w:lineRule="auto"/>
        <w:rPr>
          <w:sz w:val="20"/>
          <w:szCs w:val="20"/>
          <w:color w:val="auto"/>
        </w:rPr>
      </w:pPr>
      <w:r>
        <w:rPr>
          <w:rFonts w:ascii="Arial" w:cs="Arial" w:eastAsia="Arial" w:hAnsi="Arial"/>
          <w:sz w:val="16"/>
          <w:szCs w:val="16"/>
          <w:color w:val="auto"/>
        </w:rPr>
        <w:t>We began tracking external development costs by program on January 1, 2020 for programs that have entered clinical trials. We do not allocate internal costs, facilities costs or other overhead costs to specific programs. The following summarizes our costs based on their status in development:</w:t>
      </w:r>
    </w:p>
    <w:p>
      <w:pPr>
        <w:spacing w:after="0" w:line="156"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5080</wp:posOffset>
            </wp:positionV>
            <wp:extent cx="16802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External costs for programs in clinical trials</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18,367</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7,447</w:t>
            </w:r>
          </w:p>
        </w:tc>
        <w:tc>
          <w:tcPr>
            <w:tcW w:w="0" w:type="dxa"/>
            <w:vAlign w:val="bottom"/>
          </w:tcPr>
          <w:p>
            <w:pPr>
              <w:spacing w:after="0"/>
              <w:rPr>
                <w:sz w:val="1"/>
                <w:szCs w:val="1"/>
                <w:color w:val="auto"/>
              </w:rPr>
            </w:pPr>
          </w:p>
        </w:tc>
      </w:tr>
      <w:tr>
        <w:trPr>
          <w:trHeight w:val="162"/>
        </w:trPr>
        <w:tc>
          <w:tcPr>
            <w:tcW w:w="7440" w:type="dxa"/>
            <w:vAlign w:val="bottom"/>
          </w:tcPr>
          <w:p>
            <w:pPr>
              <w:spacing w:after="0" w:line="162" w:lineRule="exact"/>
              <w:rPr>
                <w:sz w:val="20"/>
                <w:szCs w:val="20"/>
                <w:color w:val="auto"/>
              </w:rPr>
            </w:pPr>
            <w:r>
              <w:rPr>
                <w:rFonts w:ascii="Arial" w:cs="Arial" w:eastAsia="Arial" w:hAnsi="Arial"/>
                <w:sz w:val="18"/>
                <w:szCs w:val="18"/>
                <w:color w:val="auto"/>
              </w:rPr>
              <w:t>External costs for programs in discovery and</w:t>
            </w:r>
          </w:p>
        </w:tc>
        <w:tc>
          <w:tcPr>
            <w:tcW w:w="280" w:type="dxa"/>
            <w:vAlign w:val="bottom"/>
          </w:tcPr>
          <w:p>
            <w:pPr>
              <w:spacing w:after="0"/>
              <w:rPr>
                <w:sz w:val="14"/>
                <w:szCs w:val="14"/>
                <w:color w:val="auto"/>
              </w:rPr>
            </w:pPr>
          </w:p>
        </w:tc>
        <w:tc>
          <w:tcPr>
            <w:tcW w:w="1000" w:type="dxa"/>
            <w:vAlign w:val="bottom"/>
            <w:vMerge w:val="restart"/>
          </w:tcPr>
          <w:p>
            <w:pPr>
              <w:jc w:val="right"/>
              <w:ind w:right="13"/>
              <w:spacing w:after="0"/>
              <w:rPr>
                <w:sz w:val="20"/>
                <w:szCs w:val="20"/>
                <w:color w:val="auto"/>
              </w:rPr>
            </w:pPr>
            <w:r>
              <w:rPr>
                <w:rFonts w:ascii="Arial" w:cs="Arial" w:eastAsia="Arial" w:hAnsi="Arial"/>
                <w:sz w:val="18"/>
                <w:szCs w:val="18"/>
                <w:color w:val="auto"/>
              </w:rPr>
              <w:t>69,838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42,431</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pre-clinical studies</w:t>
            </w: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External costs for platform research and other research</w:t>
            </w:r>
          </w:p>
        </w:tc>
        <w:tc>
          <w:tcPr>
            <w:tcW w:w="28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ind w:right="13"/>
              <w:spacing w:after="0"/>
              <w:rPr>
                <w:sz w:val="20"/>
                <w:szCs w:val="20"/>
                <w:color w:val="auto"/>
              </w:rPr>
            </w:pPr>
            <w:r>
              <w:rPr>
                <w:rFonts w:ascii="Arial" w:cs="Arial" w:eastAsia="Arial" w:hAnsi="Arial"/>
                <w:sz w:val="18"/>
                <w:szCs w:val="18"/>
                <w:color w:val="auto"/>
              </w:rPr>
              <w:t>16,007</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11,544</w:t>
            </w: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development activities</w:t>
            </w:r>
          </w:p>
        </w:tc>
        <w:tc>
          <w:tcPr>
            <w:tcW w:w="28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Employee related expenses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68,438</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38,440</w:t>
            </w:r>
          </w:p>
        </w:tc>
        <w:tc>
          <w:tcPr>
            <w:tcW w:w="0" w:type="dxa"/>
            <w:vAlign w:val="bottom"/>
          </w:tcPr>
          <w:p>
            <w:pPr>
              <w:spacing w:after="0"/>
              <w:rPr>
                <w:sz w:val="1"/>
                <w:szCs w:val="1"/>
                <w:color w:val="auto"/>
              </w:rPr>
            </w:pPr>
          </w:p>
        </w:tc>
      </w:tr>
      <w:tr>
        <w:trPr>
          <w:trHeight w:val="236"/>
        </w:trPr>
        <w:tc>
          <w:tcPr>
            <w:tcW w:w="74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172,650</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99,862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1028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028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most advanced development programs, RLY-1971, RLY-4008 and RLY-2608, are enrolling patients in first-in-human clinical trials. We have over five discovery stage programs across both precision oncology and genetic disease indications. Costs incurred for these programs include costs incurred to support our discovery research and translational science efforts up to the initiation of first-in-human clinical development. Platform research and other research and development activities include costs that are not specifically allocated to active product candidates, including facilities costs, depreciation expense and other costs. Employee related expenses includes salary, wages, stock-based compensation and other costs related to our personnel, which are not allocated to specific programs or activities.</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cannot determine with certainty the duration and costs of future clinical trials and future development costs, if, when or to what extent we will generate revenue from the commercialization and sale of any our product candidates for which we obtain marketing approval or our other research and development costs. We may never succeed in obtaining marketing approval for any of our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including:</w:t>
      </w:r>
    </w:p>
    <w:p>
      <w:pPr>
        <w:spacing w:after="0" w:line="104" w:lineRule="exact"/>
        <w:rPr>
          <w:sz w:val="20"/>
          <w:szCs w:val="20"/>
          <w:color w:val="auto"/>
        </w:rPr>
      </w:pPr>
    </w:p>
    <w:p>
      <w:pPr>
        <w:ind w:left="760" w:right="280" w:hanging="378"/>
        <w:spacing w:after="0" w:line="261" w:lineRule="auto"/>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scope, rate of progress, expense and results of our preclinical development activities, any future clinical trials of RLY-4008, RLY-2608 or other product candidates and other research and development activities that we may conduct;</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uncertainties in clinical trial design and patient enrollment or drop out or discontinuation rates;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an appropriate safety and efficacy profile with IND-enabling studies;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initiation and completion of future clinical trial results;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timing, receipt and terms of any approvals from applicable regulatory authorities including the FDA and non-U.S. regulators;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116" w:name="page117"/>
    <w:bookmarkEnd w:id="116"/>
    <w:p>
      <w:pPr>
        <w:ind w:left="760" w:hanging="378"/>
        <w:spacing w:after="0"/>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potential additional studies requested by regulatory agencies;</w:t>
      </w:r>
    </w:p>
    <w:p>
      <w:pPr>
        <w:spacing w:after="0" w:line="103" w:lineRule="exact"/>
        <w:rPr>
          <w:rFonts w:ascii="Arial" w:cs="Arial" w:eastAsia="Arial" w:hAnsi="Arial"/>
          <w:sz w:val="18"/>
          <w:szCs w:val="18"/>
          <w:color w:val="auto"/>
        </w:rPr>
      </w:pPr>
    </w:p>
    <w:p>
      <w:pPr>
        <w:ind w:left="760" w:right="220" w:hanging="378"/>
        <w:spacing w:after="0" w:line="261" w:lineRule="auto"/>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product successfully;</w:t>
      </w:r>
    </w:p>
    <w:p>
      <w:pPr>
        <w:spacing w:after="0" w:line="62" w:lineRule="exact"/>
        <w:rPr>
          <w:rFonts w:ascii="Arial" w:cs="Arial" w:eastAsia="Arial" w:hAnsi="Arial"/>
          <w:sz w:val="18"/>
          <w:szCs w:val="18"/>
          <w:color w:val="auto"/>
        </w:rPr>
      </w:pPr>
    </w:p>
    <w:p>
      <w:pPr>
        <w:ind w:left="760" w:right="380" w:hanging="378"/>
        <w:spacing w:after="0" w:line="324" w:lineRule="auto"/>
        <w:tabs>
          <w:tab w:leader="none" w:pos="7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impact of any business interruptions to our operations, including the timing and enrollment of patients in our planned clinical trials, or to those of our manufacturers, suppliers or other vendors resulting from the ongoing COVID-19 pandemic or a similar public health crisis;</w:t>
      </w:r>
    </w:p>
    <w:p>
      <w:pPr>
        <w:spacing w:after="0" w:line="16" w:lineRule="exact"/>
        <w:rPr>
          <w:rFonts w:ascii="Arial" w:cs="Arial" w:eastAsia="Arial" w:hAnsi="Arial"/>
          <w:sz w:val="16"/>
          <w:szCs w:val="16"/>
          <w:color w:val="auto"/>
        </w:rPr>
      </w:pPr>
    </w:p>
    <w:p>
      <w:pPr>
        <w:ind w:left="760" w:hanging="378"/>
        <w:spacing w:after="0"/>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 candidates following approval, if any, of our product candidates.</w:t>
      </w:r>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we continue to conduct clinical trials of RLY-4008 and RLY-2608, as well as identify and develop additional product candidates.</w:t>
      </w:r>
    </w:p>
    <w:p>
      <w:pPr>
        <w:spacing w:after="0" w:line="18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trial delays due to patient enrollment or other reasons, we would be required to expend significant additional financial resources and time on the completion of clinical development.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 Expenses</w:t>
      </w:r>
    </w:p>
    <w:p>
      <w:pPr>
        <w:spacing w:after="0" w:line="104" w:lineRule="exact"/>
        <w:rPr>
          <w:sz w:val="20"/>
          <w:szCs w:val="20"/>
          <w:color w:val="auto"/>
        </w:rPr>
      </w:pPr>
    </w:p>
    <w:p>
      <w:pPr>
        <w:jc w:val="both"/>
        <w:ind w:right="160"/>
        <w:spacing w:after="0" w:line="324" w:lineRule="auto"/>
        <w:rPr>
          <w:sz w:val="20"/>
          <w:szCs w:val="20"/>
          <w:color w:val="auto"/>
        </w:rPr>
      </w:pPr>
      <w:r>
        <w:rPr>
          <w:rFonts w:ascii="Arial" w:cs="Arial" w:eastAsia="Arial" w:hAnsi="Arial"/>
          <w:sz w:val="16"/>
          <w:szCs w:val="16"/>
          <w:color w:val="auto"/>
        </w:rPr>
        <w:t>In-process research and development expenses consist of the cost of acquiring in-process research and development assets that have no alternative future use, specifically in connection with our acquisition of ZebiAI. We do not expect to record incremental expenses in connection therewith in future periods.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Initial Consolidation of Variable Interest Entity</w:t>
      </w:r>
    </w:p>
    <w:p>
      <w:pPr>
        <w:spacing w:after="0" w:line="104" w:lineRule="exact"/>
        <w:rPr>
          <w:sz w:val="20"/>
          <w:szCs w:val="20"/>
          <w:color w:val="auto"/>
        </w:rPr>
      </w:pPr>
    </w:p>
    <w:p>
      <w:pPr>
        <w:jc w:val="both"/>
        <w:ind w:right="340"/>
        <w:spacing w:after="0" w:line="248" w:lineRule="auto"/>
        <w:rPr>
          <w:sz w:val="20"/>
          <w:szCs w:val="20"/>
          <w:color w:val="auto"/>
        </w:rPr>
      </w:pPr>
      <w:r>
        <w:rPr>
          <w:rFonts w:ascii="Arial" w:cs="Arial" w:eastAsia="Arial" w:hAnsi="Arial"/>
          <w:sz w:val="18"/>
          <w:szCs w:val="18"/>
          <w:color w:val="auto"/>
        </w:rPr>
        <w:t>Loss on initial consolidation of variable interest entity consists of the difference between total consideration transferred and the fair value of net assets acquired and liabilities assumed in connection with our acquisition of ZebiAI. We do not expect to record incremental losses in connection therewith in future periods.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 Liability</w:t>
      </w:r>
    </w:p>
    <w:p>
      <w:pPr>
        <w:spacing w:after="0" w:line="10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Change in fair value of contingent consideration liability consists of fluctuations in the estimated fair value of contingent milestone payments under the Merger Agreement with ZebiAI. In future periods, we expect the fair value of such contingent milestone payments to increase or decrease based on, among other things, our estimates of the probability of achieving and timing of the contingent milestone payments, as well as changes in market interest rates and the time value of money.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other expenses associated with operating as a public company, including compliance with exchange listing and Securities and Exchange Commission, or SEC requirements, director and officer insurance costs, and investor and public relations costs; travel expenses;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color w:val="auto"/>
        </w:rPr>
        <w:t>facility-related expenses, which include direct depreciation costs and allocated expenses for rent and maintenance of facilities and other operating costs.</w:t>
      </w:r>
    </w:p>
    <w:p>
      <w:pPr>
        <w:spacing w:after="0" w:line="235"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We expect that our general and administrative expenses will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product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primarily consists of interest income related to interest earned on our cash, cash equivalents and investments.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Since our inception in 2015, we have not recorded any U.S. federal or state income tax benefits for the net losses we have incurred in any year or for our earned research and development tax credits, due to our uncertainty of realizing a benefit from those items. As of December 31, 2021, we had federal NOL carryforwards of $371.4 million available to reduce taxable income, of which $43.1 million expire beginning in 2035 and $328.2 million do not expire. We have state NOL carryforwards of $466.2 million as of December 31, 2021 available to reduce future state taxable income, which expire at various dates beginning in 2035.</w:t>
      </w:r>
    </w:p>
    <w:p>
      <w:pPr>
        <w:spacing w:after="0" w:line="18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As of December 31, 2021, we also had federal and state research and development tax credit carryforwards of $14.9 million and $4.2 million, respectively, which begin to expire in 2035 and 2030,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2021 and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2021 and 2020:</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5"/>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3"/>
        </w:trPr>
        <w:tc>
          <w:tcPr>
            <w:tcW w:w="5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Change</w:t>
            </w:r>
          </w:p>
        </w:tc>
      </w:tr>
      <w:tr>
        <w:trPr>
          <w:trHeight w:val="196"/>
        </w:trPr>
        <w:tc>
          <w:tcPr>
            <w:tcW w:w="5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License and other revenue</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3,029</w:t>
            </w:r>
          </w:p>
        </w:tc>
        <w:tc>
          <w:tcPr>
            <w:tcW w:w="420" w:type="dxa"/>
            <w:vAlign w:val="bottom"/>
            <w:gridSpan w:val="2"/>
            <w:shd w:val="clear" w:color="auto" w:fill="CFF0FC"/>
          </w:tcPr>
          <w:p>
            <w:pPr>
              <w:jc w:val="right"/>
              <w:ind w:right="139"/>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82,654</w:t>
            </w:r>
          </w:p>
        </w:tc>
        <w:tc>
          <w:tcPr>
            <w:tcW w:w="3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(79,625 )</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 expenses</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172,650</w:t>
            </w:r>
          </w:p>
        </w:tc>
        <w:tc>
          <w:tcPr>
            <w:tcW w:w="420" w:type="dxa"/>
            <w:vAlign w:val="bottom"/>
            <w:gridSpan w:val="2"/>
            <w:shd w:val="clear" w:color="auto" w:fill="CFF0FC"/>
          </w:tcPr>
          <w:p>
            <w:pPr>
              <w:jc w:val="right"/>
              <w:ind w:right="139"/>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99,862</w:t>
            </w:r>
          </w:p>
        </w:tc>
        <w:tc>
          <w:tcPr>
            <w:tcW w:w="3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72,788</w:t>
            </w:r>
          </w:p>
        </w:tc>
      </w:tr>
      <w:tr>
        <w:trPr>
          <w:trHeight w:val="203"/>
        </w:trPr>
        <w:tc>
          <w:tcPr>
            <w:tcW w:w="5940" w:type="dxa"/>
            <w:vAlign w:val="bottom"/>
          </w:tcPr>
          <w:p>
            <w:pPr>
              <w:ind w:left="180"/>
              <w:spacing w:after="0" w:line="202" w:lineRule="exact"/>
              <w:rPr>
                <w:sz w:val="20"/>
                <w:szCs w:val="20"/>
                <w:color w:val="auto"/>
              </w:rPr>
            </w:pPr>
            <w:r>
              <w:rPr>
                <w:rFonts w:ascii="Arial" w:cs="Arial" w:eastAsia="Arial" w:hAnsi="Arial"/>
                <w:sz w:val="18"/>
                <w:szCs w:val="18"/>
                <w:color w:val="auto"/>
              </w:rPr>
              <w:t>In-process research and development expenses</w:t>
            </w:r>
          </w:p>
        </w:tc>
        <w:tc>
          <w:tcPr>
            <w:tcW w:w="28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123,000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123,000</w:t>
            </w:r>
          </w:p>
        </w:tc>
      </w:tr>
      <w:tr>
        <w:trPr>
          <w:trHeight w:val="203"/>
        </w:trPr>
        <w:tc>
          <w:tcPr>
            <w:tcW w:w="5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Loss on initial consolidation of variable interest entity</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11,855</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11,855</w:t>
            </w:r>
          </w:p>
        </w:tc>
      </w:tr>
      <w:tr>
        <w:trPr>
          <w:trHeight w:val="203"/>
        </w:trPr>
        <w:tc>
          <w:tcPr>
            <w:tcW w:w="5940" w:type="dxa"/>
            <w:vAlign w:val="bottom"/>
          </w:tcPr>
          <w:p>
            <w:pPr>
              <w:ind w:left="180"/>
              <w:spacing w:after="0" w:line="202" w:lineRule="exact"/>
              <w:rPr>
                <w:sz w:val="20"/>
                <w:szCs w:val="20"/>
                <w:color w:val="auto"/>
              </w:rPr>
            </w:pPr>
            <w:r>
              <w:rPr>
                <w:rFonts w:ascii="Arial" w:cs="Arial" w:eastAsia="Arial" w:hAnsi="Arial"/>
                <w:sz w:val="18"/>
                <w:szCs w:val="18"/>
                <w:color w:val="auto"/>
              </w:rPr>
              <w:t>Change in fair value of contingent consideration liability</w:t>
            </w:r>
          </w:p>
        </w:tc>
        <w:tc>
          <w:tcPr>
            <w:tcW w:w="28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2,836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2,836</w:t>
            </w:r>
          </w:p>
        </w:tc>
      </w:tr>
      <w:tr>
        <w:trPr>
          <w:trHeight w:val="203"/>
        </w:trPr>
        <w:tc>
          <w:tcPr>
            <w:tcW w:w="59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57,386</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38,588</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18,798</w:t>
            </w:r>
          </w:p>
        </w:tc>
      </w:tr>
      <w:tr>
        <w:trPr>
          <w:trHeight w:val="196"/>
        </w:trPr>
        <w:tc>
          <w:tcPr>
            <w:tcW w:w="5940" w:type="dxa"/>
            <w:vAlign w:val="bottom"/>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367,727</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138,450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229,277</w:t>
            </w:r>
          </w:p>
        </w:tc>
      </w:tr>
      <w:tr>
        <w:trPr>
          <w:trHeight w:val="196"/>
        </w:trPr>
        <w:tc>
          <w:tcPr>
            <w:tcW w:w="5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(364,698 )</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(55,796 )</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(308,902 )</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Interest income and other expense</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826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3,384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(2,558 )</w:t>
            </w:r>
          </w:p>
        </w:tc>
      </w:tr>
      <w:tr>
        <w:trPr>
          <w:trHeight w:val="236"/>
        </w:trPr>
        <w:tc>
          <w:tcPr>
            <w:tcW w:w="5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(363,872 )</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9"/>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(52,412 )</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(311,460 )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-561975</wp:posOffset>
            </wp:positionV>
            <wp:extent cx="6858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-561975</wp:posOffset>
            </wp:positionV>
            <wp:extent cx="685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Other Revenue</w:t>
      </w:r>
    </w:p>
    <w:p>
      <w:pPr>
        <w:spacing w:after="0" w:line="10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recognized revenue of $3.0 million and $82.7 million for the years ended December 31, 2021 and 2020, respectively. During the year ended December 31, 2020, revenue was recognized for substantially all of the $85.0 million upfront payment under the Genentech Agreement upon transfer of the license. During the year ended December 31, 2021, $3.0 million of revenue was recognized, primarily due to the satisfaction of certain ongoing</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performance obligations to provide research and development services under the Genentech Agreement to Genentech.</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5"/>
        </w:trPr>
        <w:tc>
          <w:tcPr>
            <w:tcW w:w="5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3"/>
        </w:trPr>
        <w:tc>
          <w:tcPr>
            <w:tcW w:w="5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r>
      <w:tr>
        <w:trPr>
          <w:trHeight w:val="196"/>
        </w:trPr>
        <w:tc>
          <w:tcPr>
            <w:tcW w:w="5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Employee related expenses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68,438</w:t>
            </w:r>
          </w:p>
        </w:tc>
        <w:tc>
          <w:tcPr>
            <w:tcW w:w="540" w:type="dxa"/>
            <w:vAlign w:val="bottom"/>
            <w:gridSpan w:val="2"/>
            <w:shd w:val="clear" w:color="auto" w:fill="CFF0FC"/>
          </w:tcPr>
          <w:p>
            <w:pPr>
              <w:jc w:val="right"/>
              <w:ind w:right="219"/>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38,440</w:t>
            </w:r>
          </w:p>
        </w:tc>
        <w:tc>
          <w:tcPr>
            <w:tcW w:w="3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29,998</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Outside and consulting services</w:t>
            </w:r>
          </w:p>
        </w:tc>
        <w:tc>
          <w:tcPr>
            <w:tcW w:w="320" w:type="dxa"/>
            <w:vAlign w:val="bottom"/>
          </w:tcPr>
          <w:p>
            <w:pPr>
              <w:spacing w:after="0"/>
              <w:rPr>
                <w:sz w:val="17"/>
                <w:szCs w:val="17"/>
                <w:color w:val="auto"/>
              </w:rPr>
            </w:pPr>
          </w:p>
        </w:tc>
        <w:tc>
          <w:tcPr>
            <w:tcW w:w="11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63,855</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38,563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25,292</w:t>
            </w: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Clinical trial expenses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18,367</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7,446</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10,921</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Depreciation of laboratory equipment</w:t>
            </w:r>
          </w:p>
        </w:tc>
        <w:tc>
          <w:tcPr>
            <w:tcW w:w="320" w:type="dxa"/>
            <w:vAlign w:val="bottom"/>
          </w:tcPr>
          <w:p>
            <w:pPr>
              <w:spacing w:after="0"/>
              <w:rPr>
                <w:sz w:val="17"/>
                <w:szCs w:val="17"/>
                <w:color w:val="auto"/>
              </w:rPr>
            </w:pPr>
          </w:p>
        </w:tc>
        <w:tc>
          <w:tcPr>
            <w:tcW w:w="11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3,117</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2,889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Laboratory supplies and other costs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10,875</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6,754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4,121</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Facilities and other allocated expenses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7,998</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5,770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2,228</w:t>
            </w:r>
          </w:p>
        </w:tc>
      </w:tr>
      <w:tr>
        <w:trPr>
          <w:trHeight w:val="236"/>
        </w:trPr>
        <w:tc>
          <w:tcPr>
            <w:tcW w:w="56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research and development expenses</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172,650</w:t>
            </w:r>
          </w:p>
        </w:tc>
        <w:tc>
          <w:tcPr>
            <w:tcW w:w="1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9"/>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99,862</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72,788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Research and development expenses were $172.7 million for the year ended December 31, 2021 compared to $99.9 million for the year ended December 31, 2020. The increase of $72.8 million was primarily due to $30.0 million of increased employee related costs, including $10.2 million of additional stock-based compensation expense, primarily due to increases in our stock price and increased headcount, $25.3 million of increased outside and consulting services for clinical and pre-clinical candidates, $10.9 million of increased clinical trial expenses and $6.6 million of increased laboratory supplies and other costs, facility costs and depreciation expense.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 Expenses</w:t>
      </w:r>
    </w:p>
    <w:p>
      <w:pPr>
        <w:spacing w:after="0" w:line="104"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In-process research and development expenses of $123.0 million were recognized for the year ended December 31, 2021 in connection with the in-process research and development asset pursuant to the asset acquisition of ZebiAI in the second quarter of 2021. No such expenses were incurred during the year ended December 31, 2020.</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Initial Consolidation of Variable Interest Entity</w:t>
      </w:r>
    </w:p>
    <w:p>
      <w:pPr>
        <w:spacing w:after="0" w:line="104"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Loss on initial consolidation of variable interest entity of $11.9 million was recognized for the year ended December 31, 2021 in connection with the acquisition of ZebiAI in the second quarter of 2021. No such expenses were incurred during the year ended December 31, 2020.</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 Liability</w:t>
      </w:r>
    </w:p>
    <w:p>
      <w:pPr>
        <w:spacing w:after="0" w:line="10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fair value of our contingent consideration liability for milestone payments under the Merger Agreement with ZebiAI increased by $2.8 million between the acquisition date in April 2021 and December 31, 2021. The increase was attributable to the time value of money. There were no similar amounts in the prior period. In future periods, we expect the fair value of contingent consideration to increase or decrease based on, among other things, our estimates of the probability of achieving and timing of the contingent milestone payments, as well as changes in market interest rates and the time value of money.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General and administrative expenses were $57.4 million for the year ended December 31, 2021 compared to $38.6 million for the year ended December 31, 2020. The increase of $18.8 million was primarily due to $12.8 million of increased employee related costs, including $6.3 million of additional stock-based compensation expense, primarily due to increases in our stock price and increased general and administrative headcount to support the growth of our organization, and $6.0 million of other general and administrative expenses primarily attributed to increases in insurance, advisory, consulting and other expenses.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Other income, net, was $0.8 million for the year ended December 31, 2021 compared to $3.4 million for the year ended December 31, 2020 due primarily to decreases in interest rates.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2020 and 2019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1"/>
        </w:trPr>
        <w:tc>
          <w:tcPr>
            <w:tcW w:w="5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1154"/>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5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Change</w:t>
            </w:r>
          </w:p>
        </w:tc>
      </w:tr>
      <w:tr>
        <w:trPr>
          <w:trHeight w:val="183"/>
        </w:trPr>
        <w:tc>
          <w:tcPr>
            <w:tcW w:w="5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334"/>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52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License and other revenue</w:t>
            </w:r>
          </w:p>
        </w:tc>
        <w:tc>
          <w:tcPr>
            <w:tcW w:w="340" w:type="dxa"/>
            <w:vAlign w:val="bottom"/>
            <w:shd w:val="clear" w:color="auto" w:fill="CFF0FC"/>
          </w:tcPr>
          <w:p>
            <w:pPr>
              <w:jc w:val="right"/>
              <w:ind w:right="130"/>
              <w:spacing w:after="0" w:line="189"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75"/>
              <w:spacing w:after="0" w:line="189" w:lineRule="exact"/>
              <w:rPr>
                <w:sz w:val="20"/>
                <w:szCs w:val="20"/>
                <w:color w:val="auto"/>
              </w:rPr>
            </w:pPr>
            <w:r>
              <w:rPr>
                <w:rFonts w:ascii="Arial" w:cs="Arial" w:eastAsia="Arial" w:hAnsi="Arial"/>
                <w:sz w:val="18"/>
                <w:szCs w:val="18"/>
                <w:color w:val="auto"/>
              </w:rPr>
              <w:t>82,654</w:t>
            </w:r>
          </w:p>
        </w:tc>
        <w:tc>
          <w:tcPr>
            <w:tcW w:w="36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54"/>
              <w:spacing w:after="0" w:line="189"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2"/>
              <w:spacing w:after="0" w:line="189" w:lineRule="exact"/>
              <w:rPr>
                <w:sz w:val="20"/>
                <w:szCs w:val="20"/>
                <w:color w:val="auto"/>
              </w:rPr>
            </w:pPr>
            <w:r>
              <w:rPr>
                <w:rFonts w:ascii="Arial" w:cs="Arial" w:eastAsia="Arial" w:hAnsi="Arial"/>
                <w:sz w:val="18"/>
                <w:szCs w:val="18"/>
                <w:color w:val="auto"/>
              </w:rPr>
              <w:t>82,654</w:t>
            </w: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52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FF0FC"/>
          </w:tcPr>
          <w:p>
            <w:pPr>
              <w:jc w:val="right"/>
              <w:ind w:right="130"/>
              <w:spacing w:after="0" w:line="189"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75"/>
              <w:spacing w:after="0" w:line="189" w:lineRule="exact"/>
              <w:rPr>
                <w:sz w:val="20"/>
                <w:szCs w:val="20"/>
                <w:color w:val="auto"/>
              </w:rPr>
            </w:pPr>
            <w:r>
              <w:rPr>
                <w:rFonts w:ascii="Arial" w:cs="Arial" w:eastAsia="Arial" w:hAnsi="Arial"/>
                <w:sz w:val="18"/>
                <w:szCs w:val="18"/>
                <w:color w:val="auto"/>
              </w:rPr>
              <w:t>99,862</w:t>
            </w:r>
          </w:p>
        </w:tc>
        <w:tc>
          <w:tcPr>
            <w:tcW w:w="36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54"/>
              <w:spacing w:after="0" w:line="189" w:lineRule="exact"/>
              <w:rPr>
                <w:sz w:val="20"/>
                <w:szCs w:val="20"/>
                <w:color w:val="auto"/>
              </w:rPr>
            </w:pPr>
            <w:r>
              <w:rPr>
                <w:rFonts w:ascii="Arial" w:cs="Arial" w:eastAsia="Arial" w:hAnsi="Arial"/>
                <w:sz w:val="18"/>
                <w:szCs w:val="18"/>
                <w:color w:val="auto"/>
              </w:rPr>
              <w:t>70,306</w:t>
            </w:r>
          </w:p>
        </w:tc>
        <w:tc>
          <w:tcPr>
            <w:tcW w:w="400" w:type="dxa"/>
            <w:vAlign w:val="bottom"/>
            <w:gridSpan w:val="2"/>
            <w:shd w:val="clear" w:color="auto" w:fill="CFF0FC"/>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2"/>
              <w:spacing w:after="0" w:line="189" w:lineRule="exact"/>
              <w:rPr>
                <w:sz w:val="20"/>
                <w:szCs w:val="20"/>
                <w:color w:val="auto"/>
              </w:rPr>
            </w:pPr>
            <w:r>
              <w:rPr>
                <w:rFonts w:ascii="Arial" w:cs="Arial" w:eastAsia="Arial" w:hAnsi="Arial"/>
                <w:sz w:val="18"/>
                <w:szCs w:val="18"/>
                <w:color w:val="auto"/>
              </w:rPr>
              <w:t>29,556</w:t>
            </w:r>
          </w:p>
        </w:tc>
      </w:tr>
      <w:tr>
        <w:trPr>
          <w:trHeight w:val="175"/>
        </w:trPr>
        <w:tc>
          <w:tcPr>
            <w:tcW w:w="5280" w:type="dxa"/>
            <w:vAlign w:val="bottom"/>
          </w:tcPr>
          <w:p>
            <w:pPr>
              <w:ind w:left="260"/>
              <w:spacing w:after="0" w:line="176" w:lineRule="exact"/>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5"/>
              <w:spacing w:after="0" w:line="176" w:lineRule="exact"/>
              <w:rPr>
                <w:sz w:val="20"/>
                <w:szCs w:val="20"/>
                <w:color w:val="auto"/>
              </w:rPr>
            </w:pPr>
            <w:r>
              <w:rPr>
                <w:rFonts w:ascii="Arial" w:cs="Arial" w:eastAsia="Arial" w:hAnsi="Arial"/>
                <w:sz w:val="18"/>
                <w:szCs w:val="18"/>
                <w:color w:val="auto"/>
              </w:rPr>
              <w:t>38,588</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
              <w:spacing w:after="0" w:line="176" w:lineRule="exact"/>
              <w:rPr>
                <w:sz w:val="20"/>
                <w:szCs w:val="20"/>
                <w:color w:val="auto"/>
              </w:rPr>
            </w:pPr>
            <w:r>
              <w:rPr>
                <w:rFonts w:ascii="Arial" w:cs="Arial" w:eastAsia="Arial" w:hAnsi="Arial"/>
                <w:sz w:val="18"/>
                <w:szCs w:val="18"/>
                <w:color w:val="auto"/>
              </w:rPr>
              <w:t>13,742</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2"/>
              <w:spacing w:after="0" w:line="176" w:lineRule="exact"/>
              <w:rPr>
                <w:sz w:val="20"/>
                <w:szCs w:val="20"/>
                <w:color w:val="auto"/>
              </w:rPr>
            </w:pPr>
            <w:r>
              <w:rPr>
                <w:rFonts w:ascii="Arial" w:cs="Arial" w:eastAsia="Arial" w:hAnsi="Arial"/>
                <w:sz w:val="18"/>
                <w:szCs w:val="18"/>
                <w:color w:val="auto"/>
              </w:rPr>
              <w:t>24,846</w:t>
            </w:r>
          </w:p>
        </w:tc>
      </w:tr>
      <w:tr>
        <w:trPr>
          <w:trHeight w:val="169"/>
        </w:trPr>
        <w:tc>
          <w:tcPr>
            <w:tcW w:w="5280" w:type="dxa"/>
            <w:vAlign w:val="bottom"/>
            <w:tcBorders>
              <w:bottom w:val="single" w:sz="8" w:color="CFF0FC"/>
            </w:tcBorders>
            <w:shd w:val="clear" w:color="auto" w:fill="CFF0FC"/>
          </w:tcPr>
          <w:p>
            <w:pPr>
              <w:ind w:left="500"/>
              <w:spacing w:after="0" w:line="169"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ind w:right="75"/>
              <w:spacing w:after="0" w:line="169" w:lineRule="exact"/>
              <w:rPr>
                <w:sz w:val="20"/>
                <w:szCs w:val="20"/>
                <w:color w:val="auto"/>
              </w:rPr>
            </w:pPr>
            <w:r>
              <w:rPr>
                <w:rFonts w:ascii="Arial" w:cs="Arial" w:eastAsia="Arial" w:hAnsi="Arial"/>
                <w:sz w:val="18"/>
                <w:szCs w:val="18"/>
                <w:color w:val="auto"/>
              </w:rPr>
              <w:t>138,450</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ind w:right="54"/>
              <w:spacing w:after="0" w:line="169" w:lineRule="exact"/>
              <w:rPr>
                <w:sz w:val="20"/>
                <w:szCs w:val="20"/>
                <w:color w:val="auto"/>
              </w:rPr>
            </w:pPr>
            <w:r>
              <w:rPr>
                <w:rFonts w:ascii="Arial" w:cs="Arial" w:eastAsia="Arial" w:hAnsi="Arial"/>
                <w:sz w:val="18"/>
                <w:szCs w:val="18"/>
                <w:color w:val="auto"/>
              </w:rPr>
              <w:t>84,048</w:t>
            </w:r>
          </w:p>
        </w:tc>
        <w:tc>
          <w:tcPr>
            <w:tcW w:w="1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52"/>
              <w:spacing w:after="0" w:line="169" w:lineRule="exact"/>
              <w:rPr>
                <w:sz w:val="20"/>
                <w:szCs w:val="20"/>
                <w:color w:val="auto"/>
              </w:rPr>
            </w:pPr>
            <w:r>
              <w:rPr>
                <w:rFonts w:ascii="Arial" w:cs="Arial" w:eastAsia="Arial" w:hAnsi="Arial"/>
                <w:sz w:val="18"/>
                <w:szCs w:val="18"/>
                <w:color w:val="auto"/>
              </w:rPr>
              <w:t>54,402</w:t>
            </w:r>
          </w:p>
        </w:tc>
      </w:tr>
      <w:tr>
        <w:trPr>
          <w:trHeight w:val="183"/>
        </w:trPr>
        <w:tc>
          <w:tcPr>
            <w:tcW w:w="5280" w:type="dxa"/>
            <w:vAlign w:val="bottom"/>
          </w:tcPr>
          <w:p>
            <w:pPr>
              <w:spacing w:after="0" w:line="182" w:lineRule="exact"/>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(55,796 )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(84,048 )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52"/>
              <w:spacing w:after="0" w:line="182" w:lineRule="exact"/>
              <w:rPr>
                <w:sz w:val="20"/>
                <w:szCs w:val="20"/>
                <w:color w:val="auto"/>
              </w:rPr>
            </w:pPr>
            <w:r>
              <w:rPr>
                <w:rFonts w:ascii="Arial" w:cs="Arial" w:eastAsia="Arial" w:hAnsi="Arial"/>
                <w:sz w:val="18"/>
                <w:szCs w:val="18"/>
                <w:color w:val="auto"/>
              </w:rPr>
              <w:t>28,252</w:t>
            </w:r>
          </w:p>
        </w:tc>
      </w:tr>
      <w:tr>
        <w:trPr>
          <w:trHeight w:val="175"/>
        </w:trPr>
        <w:tc>
          <w:tcPr>
            <w:tcW w:w="5280" w:type="dxa"/>
            <w:vAlign w:val="bottom"/>
            <w:tcBorders>
              <w:bottom w:val="single" w:sz="8" w:color="CFF0FC"/>
            </w:tcBorders>
            <w:shd w:val="clear" w:color="auto" w:fill="CFF0FC"/>
          </w:tcPr>
          <w:p>
            <w:pPr>
              <w:spacing w:after="0" w:line="176" w:lineRule="exact"/>
              <w:rPr>
                <w:sz w:val="20"/>
                <w:szCs w:val="20"/>
                <w:color w:val="auto"/>
              </w:rPr>
            </w:pPr>
            <w:r>
              <w:rPr>
                <w:rFonts w:ascii="Arial" w:cs="Arial" w:eastAsia="Arial" w:hAnsi="Arial"/>
                <w:sz w:val="18"/>
                <w:szCs w:val="18"/>
                <w:color w:val="auto"/>
              </w:rPr>
              <w:t>Interest income and other expense</w:t>
            </w:r>
          </w:p>
        </w:tc>
        <w:tc>
          <w:tcPr>
            <w:tcW w:w="34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75"/>
              <w:spacing w:after="0" w:line="176" w:lineRule="exact"/>
              <w:rPr>
                <w:sz w:val="20"/>
                <w:szCs w:val="20"/>
                <w:color w:val="auto"/>
              </w:rPr>
            </w:pPr>
            <w:r>
              <w:rPr>
                <w:rFonts w:ascii="Arial" w:cs="Arial" w:eastAsia="Arial" w:hAnsi="Arial"/>
                <w:sz w:val="18"/>
                <w:szCs w:val="18"/>
                <w:color w:val="auto"/>
              </w:rPr>
              <w:t>3,384</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54"/>
              <w:spacing w:after="0" w:line="176" w:lineRule="exact"/>
              <w:rPr>
                <w:sz w:val="20"/>
                <w:szCs w:val="20"/>
                <w:color w:val="auto"/>
              </w:rPr>
            </w:pPr>
            <w:r>
              <w:rPr>
                <w:rFonts w:ascii="Arial" w:cs="Arial" w:eastAsia="Arial" w:hAnsi="Arial"/>
                <w:sz w:val="18"/>
                <w:szCs w:val="18"/>
                <w:color w:val="auto"/>
              </w:rPr>
              <w:t>8,743</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(5,359 )</w:t>
            </w:r>
          </w:p>
        </w:tc>
      </w:tr>
      <w:tr>
        <w:trPr>
          <w:trHeight w:val="183"/>
        </w:trPr>
        <w:tc>
          <w:tcPr>
            <w:tcW w:w="5280" w:type="dxa"/>
            <w:vAlign w:val="bottom"/>
          </w:tcPr>
          <w:p>
            <w:pPr>
              <w:spacing w:after="0" w:line="182" w:lineRule="exact"/>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(52,412 )</w:t>
            </w:r>
          </w:p>
        </w:tc>
        <w:tc>
          <w:tcPr>
            <w:tcW w:w="3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(75,305 )</w:t>
            </w:r>
          </w:p>
        </w:tc>
        <w:tc>
          <w:tcPr>
            <w:tcW w:w="40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line="182" w:lineRule="exact"/>
              <w:rPr>
                <w:sz w:val="20"/>
                <w:szCs w:val="20"/>
                <w:color w:val="auto"/>
              </w:rPr>
            </w:pPr>
            <w:r>
              <w:rPr>
                <w:rFonts w:ascii="Arial" w:cs="Arial" w:eastAsia="Arial" w:hAnsi="Arial"/>
                <w:sz w:val="18"/>
                <w:szCs w:val="18"/>
                <w:color w:val="auto"/>
              </w:rPr>
              <w:t>22,893</w:t>
            </w:r>
          </w:p>
        </w:tc>
      </w:tr>
      <w:tr>
        <w:trPr>
          <w:trHeight w:val="20"/>
        </w:trPr>
        <w:tc>
          <w:tcPr>
            <w:tcW w:w="5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-387985</wp:posOffset>
            </wp:positionV>
            <wp:extent cx="85725" cy="1225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1225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-147955</wp:posOffset>
            </wp:positionV>
            <wp:extent cx="85725" cy="148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1485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Other Revenue</w:t>
      </w:r>
    </w:p>
    <w:p>
      <w:pPr>
        <w:spacing w:after="0" w:line="104"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We recognized revenue of $82.7 million for the year ended December 31, 2020 in connection with the Genentech Agreement related to the satisfaction of our performance obligation for the license transfer. We did not recognize any revenue for the year ended December 31, 2019.</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ind w:left="56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6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04"/>
        </w:trPr>
        <w:tc>
          <w:tcPr>
            <w:tcW w:w="6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740" w:type="dxa"/>
            <w:vAlign w:val="bottom"/>
            <w:gridSpan w:val="2"/>
            <w:shd w:val="clear" w:color="auto" w:fill="CFF0FC"/>
          </w:tcPr>
          <w:p>
            <w:pPr>
              <w:spacing w:after="0" w:line="149" w:lineRule="exact"/>
              <w:rPr>
                <w:sz w:val="20"/>
                <w:szCs w:val="20"/>
                <w:color w:val="auto"/>
              </w:rPr>
            </w:pPr>
            <w:r>
              <w:rPr>
                <w:rFonts w:ascii="Arial" w:cs="Arial" w:eastAsia="Arial" w:hAnsi="Arial"/>
                <w:sz w:val="17"/>
                <w:szCs w:val="17"/>
                <w:color w:val="auto"/>
              </w:rPr>
              <w:t>Employee related expenses</w:t>
            </w:r>
          </w:p>
        </w:tc>
        <w:tc>
          <w:tcPr>
            <w:tcW w:w="1160" w:type="dxa"/>
            <w:vAlign w:val="bottom"/>
            <w:vMerge w:val="restart"/>
            <w:shd w:val="clear" w:color="auto" w:fill="CFF0FC"/>
          </w:tcPr>
          <w:p>
            <w:pPr>
              <w:jc w:val="right"/>
              <w:ind w:right="37"/>
              <w:spacing w:after="0"/>
              <w:rPr>
                <w:sz w:val="20"/>
                <w:szCs w:val="20"/>
                <w:color w:val="auto"/>
              </w:rPr>
            </w:pPr>
            <w:r>
              <w:rPr>
                <w:rFonts w:ascii="Arial" w:cs="Arial" w:eastAsia="Arial" w:hAnsi="Arial"/>
                <w:sz w:val="18"/>
                <w:szCs w:val="18"/>
                <w:color w:val="auto"/>
              </w:rPr>
              <w:t>38,440</w:t>
            </w:r>
          </w:p>
        </w:tc>
        <w:tc>
          <w:tcPr>
            <w:tcW w:w="140" w:type="dxa"/>
            <w:vAlign w:val="bottom"/>
            <w:shd w:val="clear" w:color="auto" w:fill="CFF0FC"/>
          </w:tcPr>
          <w:p>
            <w:pPr>
              <w:spacing w:after="0"/>
              <w:rPr>
                <w:sz w:val="12"/>
                <w:szCs w:val="12"/>
                <w:color w:val="auto"/>
              </w:rPr>
            </w:pP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19,914</w:t>
            </w:r>
          </w:p>
        </w:tc>
        <w:tc>
          <w:tcPr>
            <w:tcW w:w="2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18,526</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FF0FC"/>
          </w:tcPr>
          <w:p>
            <w:pPr>
              <w:ind w:left="6420"/>
              <w:spacing w:after="0"/>
              <w:rPr>
                <w:sz w:val="20"/>
                <w:szCs w:val="20"/>
                <w:color w:val="auto"/>
              </w:rPr>
            </w:pPr>
            <w:r>
              <w:rPr>
                <w:rFonts w:ascii="Arial" w:cs="Arial" w:eastAsia="Arial" w:hAnsi="Arial"/>
                <w:sz w:val="18"/>
                <w:szCs w:val="18"/>
                <w:color w:val="auto"/>
              </w:rPr>
              <w:t>$</w:t>
            </w:r>
          </w:p>
        </w:tc>
        <w:tc>
          <w:tcPr>
            <w:tcW w:w="116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Outside and consulting services</w:t>
            </w:r>
          </w:p>
        </w:tc>
        <w:tc>
          <w:tcPr>
            <w:tcW w:w="1160" w:type="dxa"/>
            <w:vAlign w:val="bottom"/>
            <w:vMerge w:val="restart"/>
          </w:tcPr>
          <w:p>
            <w:pPr>
              <w:jc w:val="right"/>
              <w:ind w:right="37"/>
              <w:spacing w:after="0"/>
              <w:rPr>
                <w:sz w:val="20"/>
                <w:szCs w:val="20"/>
                <w:color w:val="auto"/>
              </w:rPr>
            </w:pPr>
            <w:r>
              <w:rPr>
                <w:rFonts w:ascii="Arial" w:cs="Arial" w:eastAsia="Arial" w:hAnsi="Arial"/>
                <w:sz w:val="18"/>
                <w:szCs w:val="18"/>
                <w:color w:val="auto"/>
              </w:rPr>
              <w:t>46,009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8"/>
                <w:szCs w:val="18"/>
                <w:color w:val="auto"/>
              </w:rPr>
              <w:t>34,585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8"/>
                <w:szCs w:val="18"/>
                <w:color w:val="auto"/>
              </w:rPr>
              <w:t>11,424</w:t>
            </w:r>
          </w:p>
        </w:tc>
        <w:tc>
          <w:tcPr>
            <w:tcW w:w="0" w:type="dxa"/>
            <w:vAlign w:val="bottom"/>
          </w:tcPr>
          <w:p>
            <w:pPr>
              <w:spacing w:after="0"/>
              <w:rPr>
                <w:sz w:val="1"/>
                <w:szCs w:val="1"/>
                <w:color w:val="auto"/>
              </w:rPr>
            </w:pPr>
          </w:p>
        </w:tc>
      </w:tr>
      <w:tr>
        <w:trPr>
          <w:trHeight w:val="134"/>
        </w:trPr>
        <w:tc>
          <w:tcPr>
            <w:tcW w:w="6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of laboratory equipment</w:t>
            </w:r>
          </w:p>
        </w:tc>
        <w:tc>
          <w:tcPr>
            <w:tcW w:w="1160" w:type="dxa"/>
            <w:vAlign w:val="bottom"/>
            <w:vMerge w:val="restart"/>
            <w:shd w:val="clear" w:color="auto" w:fill="CFF0FC"/>
          </w:tcPr>
          <w:p>
            <w:pPr>
              <w:jc w:val="right"/>
              <w:ind w:right="37"/>
              <w:spacing w:after="0"/>
              <w:rPr>
                <w:sz w:val="20"/>
                <w:szCs w:val="20"/>
                <w:color w:val="auto"/>
              </w:rPr>
            </w:pPr>
            <w:r>
              <w:rPr>
                <w:rFonts w:ascii="Arial" w:cs="Arial" w:eastAsia="Arial" w:hAnsi="Arial"/>
                <w:sz w:val="18"/>
                <w:szCs w:val="18"/>
                <w:color w:val="auto"/>
              </w:rPr>
              <w:t>2,889</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2,410</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134"/>
        </w:trPr>
        <w:tc>
          <w:tcPr>
            <w:tcW w:w="64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6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Laboratory supplies and other costs</w:t>
            </w:r>
          </w:p>
        </w:tc>
        <w:tc>
          <w:tcPr>
            <w:tcW w:w="1160" w:type="dxa"/>
            <w:vAlign w:val="bottom"/>
            <w:vMerge w:val="restart"/>
          </w:tcPr>
          <w:p>
            <w:pPr>
              <w:jc w:val="right"/>
              <w:ind w:right="37"/>
              <w:spacing w:after="0"/>
              <w:rPr>
                <w:sz w:val="20"/>
                <w:szCs w:val="20"/>
                <w:color w:val="auto"/>
              </w:rPr>
            </w:pPr>
            <w:r>
              <w:rPr>
                <w:rFonts w:ascii="Arial" w:cs="Arial" w:eastAsia="Arial" w:hAnsi="Arial"/>
                <w:sz w:val="18"/>
                <w:szCs w:val="18"/>
                <w:color w:val="auto"/>
              </w:rPr>
              <w:t>6,754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8"/>
                <w:szCs w:val="18"/>
                <w:color w:val="auto"/>
              </w:rPr>
              <w:t>7,289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(535 )</w:t>
            </w:r>
          </w:p>
        </w:tc>
        <w:tc>
          <w:tcPr>
            <w:tcW w:w="0" w:type="dxa"/>
            <w:vAlign w:val="bottom"/>
          </w:tcPr>
          <w:p>
            <w:pPr>
              <w:spacing w:after="0"/>
              <w:rPr>
                <w:sz w:val="1"/>
                <w:szCs w:val="1"/>
                <w:color w:val="auto"/>
              </w:rPr>
            </w:pPr>
          </w:p>
        </w:tc>
      </w:tr>
      <w:tr>
        <w:trPr>
          <w:trHeight w:val="134"/>
        </w:trPr>
        <w:tc>
          <w:tcPr>
            <w:tcW w:w="6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Facilities and other allocated expenses</w:t>
            </w:r>
          </w:p>
        </w:tc>
        <w:tc>
          <w:tcPr>
            <w:tcW w:w="1160" w:type="dxa"/>
            <w:vAlign w:val="bottom"/>
            <w:vMerge w:val="restart"/>
            <w:shd w:val="clear" w:color="auto" w:fill="CFF0FC"/>
          </w:tcPr>
          <w:p>
            <w:pPr>
              <w:jc w:val="right"/>
              <w:ind w:right="37"/>
              <w:spacing w:after="0"/>
              <w:rPr>
                <w:sz w:val="20"/>
                <w:szCs w:val="20"/>
                <w:color w:val="auto"/>
              </w:rPr>
            </w:pPr>
            <w:r>
              <w:rPr>
                <w:rFonts w:ascii="Arial" w:cs="Arial" w:eastAsia="Arial" w:hAnsi="Arial"/>
                <w:sz w:val="18"/>
                <w:szCs w:val="18"/>
                <w:color w:val="auto"/>
              </w:rPr>
              <w:t>5,770</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6,108</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(338 )</w:t>
            </w:r>
          </w:p>
        </w:tc>
        <w:tc>
          <w:tcPr>
            <w:tcW w:w="0" w:type="dxa"/>
            <w:vAlign w:val="bottom"/>
          </w:tcPr>
          <w:p>
            <w:pPr>
              <w:spacing w:after="0"/>
              <w:rPr>
                <w:sz w:val="1"/>
                <w:szCs w:val="1"/>
                <w:color w:val="auto"/>
              </w:rPr>
            </w:pPr>
          </w:p>
        </w:tc>
      </w:tr>
      <w:tr>
        <w:trPr>
          <w:trHeight w:val="121"/>
        </w:trPr>
        <w:tc>
          <w:tcPr>
            <w:tcW w:w="640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vMerge w:val="continue"/>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auto"/>
            </w:tcBorders>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740" w:type="dxa"/>
            <w:vAlign w:val="bottom"/>
            <w:gridSpan w:val="2"/>
          </w:tcPr>
          <w:p>
            <w:pPr>
              <w:ind w:left="260"/>
              <w:spacing w:after="0" w:line="142" w:lineRule="exact"/>
              <w:rPr>
                <w:sz w:val="20"/>
                <w:szCs w:val="20"/>
                <w:color w:val="auto"/>
              </w:rPr>
            </w:pPr>
            <w:r>
              <w:rPr>
                <w:rFonts w:ascii="Arial" w:cs="Arial" w:eastAsia="Arial" w:hAnsi="Arial"/>
                <w:sz w:val="16"/>
                <w:szCs w:val="16"/>
                <w:color w:val="auto"/>
              </w:rPr>
              <w:t>Total research and development expenses</w:t>
            </w:r>
          </w:p>
        </w:tc>
        <w:tc>
          <w:tcPr>
            <w:tcW w:w="1160" w:type="dxa"/>
            <w:vAlign w:val="bottom"/>
            <w:vMerge w:val="restart"/>
          </w:tcPr>
          <w:p>
            <w:pPr>
              <w:jc w:val="right"/>
              <w:ind w:right="37"/>
              <w:spacing w:after="0"/>
              <w:rPr>
                <w:sz w:val="20"/>
                <w:szCs w:val="20"/>
                <w:color w:val="auto"/>
              </w:rPr>
            </w:pPr>
            <w:r>
              <w:rPr>
                <w:rFonts w:ascii="Arial" w:cs="Arial" w:eastAsia="Arial" w:hAnsi="Arial"/>
                <w:sz w:val="18"/>
                <w:szCs w:val="18"/>
                <w:color w:val="auto"/>
              </w:rPr>
              <w:t>99,862</w:t>
            </w:r>
          </w:p>
        </w:tc>
        <w:tc>
          <w:tcPr>
            <w:tcW w:w="140" w:type="dxa"/>
            <w:vAlign w:val="bottom"/>
          </w:tcPr>
          <w:p>
            <w:pPr>
              <w:spacing w:after="0"/>
              <w:rPr>
                <w:sz w:val="12"/>
                <w:szCs w:val="12"/>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ind w:right="33"/>
              <w:spacing w:after="0"/>
              <w:rPr>
                <w:sz w:val="20"/>
                <w:szCs w:val="20"/>
                <w:color w:val="auto"/>
              </w:rPr>
            </w:pPr>
            <w:r>
              <w:rPr>
                <w:rFonts w:ascii="Arial" w:cs="Arial" w:eastAsia="Arial" w:hAnsi="Arial"/>
                <w:sz w:val="18"/>
                <w:szCs w:val="18"/>
                <w:color w:val="auto"/>
              </w:rPr>
              <w:t>70,306</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33"/>
              <w:spacing w:after="0"/>
              <w:rPr>
                <w:sz w:val="20"/>
                <w:szCs w:val="20"/>
                <w:color w:val="auto"/>
              </w:rPr>
            </w:pPr>
            <w:r>
              <w:rPr>
                <w:rFonts w:ascii="Arial" w:cs="Arial" w:eastAsia="Arial" w:hAnsi="Arial"/>
                <w:sz w:val="18"/>
                <w:szCs w:val="18"/>
                <w:color w:val="auto"/>
              </w:rPr>
              <w:t>29,556</w:t>
            </w:r>
          </w:p>
        </w:tc>
        <w:tc>
          <w:tcPr>
            <w:tcW w:w="0" w:type="dxa"/>
            <w:vAlign w:val="bottom"/>
          </w:tcPr>
          <w:p>
            <w:pPr>
              <w:spacing w:after="0"/>
              <w:rPr>
                <w:sz w:val="1"/>
                <w:szCs w:val="1"/>
                <w:color w:val="auto"/>
              </w:rPr>
            </w:pPr>
          </w:p>
        </w:tc>
      </w:tr>
      <w:tr>
        <w:trPr>
          <w:trHeight w:val="216"/>
        </w:trPr>
        <w:tc>
          <w:tcPr>
            <w:tcW w:w="6740" w:type="dxa"/>
            <w:vAlign w:val="bottom"/>
            <w:gridSpan w:val="2"/>
          </w:tcPr>
          <w:p>
            <w:pPr>
              <w:ind w:left="6420"/>
              <w:spacing w:after="0"/>
              <w:rPr>
                <w:sz w:val="20"/>
                <w:szCs w:val="20"/>
                <w:color w:val="auto"/>
              </w:rPr>
            </w:pPr>
            <w:r>
              <w:rPr>
                <w:rFonts w:ascii="Arial" w:cs="Arial" w:eastAsia="Arial" w:hAnsi="Arial"/>
                <w:sz w:val="18"/>
                <w:szCs w:val="18"/>
                <w:color w:val="auto"/>
              </w:rPr>
              <w:t>$</w:t>
            </w:r>
          </w:p>
        </w:tc>
        <w:tc>
          <w:tcPr>
            <w:tcW w:w="1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-259080</wp:posOffset>
            </wp:positionV>
            <wp:extent cx="94615" cy="259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4615" cy="259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-259080</wp:posOffset>
            </wp:positionV>
            <wp:extent cx="85725" cy="259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259715"/>
                    </a:xfrm>
                    <a:prstGeom prst="rect">
                      <a:avLst/>
                    </a:prstGeom>
                    <a:noFill/>
                  </pic:spPr>
                </pic:pic>
              </a:graphicData>
            </a:graphic>
          </wp:anchor>
        </w:drawing>
      </w:r>
    </w:p>
    <w:p>
      <w:pPr>
        <w:spacing w:after="0" w:line="20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Research and development expenses were $99.9 million for the year ended December 31, 2020 compared to $70.3 million for the year ended December 31, 2019. The increase of $29.6 million was primarily due to $18.5 million of increased employee related costs, including $12.0 million of additional stock-based compensation expense, primarily due to increases in our stock price and increased headcount, and $11.4 million in increased outside and consulting expenses associated with our clinical and pre-clinical candidates.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General and administrative expenses were $38.6 million for the year ended December 31, 2020 compared to $13.7 million for the year ended December 31, 2019. The increase of $24.8 million was primarily due to $19.2 million of increased employee related costs, including $15.5 million of additional stock-based compensation expense, primarily due to increases in our stock price and increased general and administrative headcount to support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20" w:name="page121"/>
    <w:bookmarkEnd w:id="120"/>
    <w:p>
      <w:pPr>
        <w:ind w:right="340"/>
        <w:spacing w:after="0" w:line="261" w:lineRule="auto"/>
        <w:rPr>
          <w:sz w:val="20"/>
          <w:szCs w:val="20"/>
          <w:color w:val="auto"/>
        </w:rPr>
      </w:pPr>
      <w:r>
        <w:rPr>
          <w:rFonts w:ascii="Arial" w:cs="Arial" w:eastAsia="Arial" w:hAnsi="Arial"/>
          <w:sz w:val="18"/>
          <w:szCs w:val="18"/>
          <w:color w:val="auto"/>
        </w:rPr>
        <w:t>growth of our organization, and $5.2 million of other general and administrative expenses primarily attributed to increases in insurance, legal and other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Other income, net, was $3.4 million for the year ended December 31, 2020 compared to $8.7 million for the year ended December 31, 2019 due primarily to decreases in interest rates and lower investment amounts.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We have not yet commercialized any products and we do not expect to generate revenue from sales of any product candidates for several years, if ever. To date, we have principally financed our operations through private placements of preferred stock, convertible debt and proceeds from public offerings of our common stock. In July 2020, we closed our IPO and issued 23,000,000 shares of common stock for net proceeds of $425.3 million. Prior to our IPO, we received gross proceeds of $520.0 million from sales of our preferred stock and our issuance of convertible debt. We received an upfront payment of $75.0 million from Genentech pursuant to the Genentech Agreement in January 2021 and $20.0 million in milestone payments in 2021. As of December 31, 2021, we had cash, cash equivalents and investments of $958.1 million.</w:t>
      </w:r>
    </w:p>
    <w:p>
      <w:pPr>
        <w:spacing w:after="0" w:line="19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August 2021, we filed a universal shelf registration statement on Form S-3ASR with the SEC, or the 2021 Shelf, to register for sale an amount of our common stock, preferred stock, debt securities, warrants and/or units in one or more offerings, which became effective upon filing with the SEC (File No. 333-258768).</w:t>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August 2021, we entered into a sales agreement, or Sales Agreement, with Cowen and Company, LLC, or Cowen, pursuant to which we may offer and sell shares of our common stock having aggregate gross proceeds of up to $300.0 million from time to time in “at-the-market” offerings through Cowen, as our sales agent. We agreed to pay Cowen a commission of up to 3.0% of the gross proceeds of any shares sold by Cowen under the Sales Agreement. There have been no shares of our common stock sold under the Sales Agreement as of December 31, 2021.</w:t>
      </w:r>
    </w:p>
    <w:p>
      <w:pPr>
        <w:spacing w:after="0" w:line="17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October 2021, we completed the October 2021 Offering of 15,188,679 shares of common stock, including the exercise in full of the underwriters’ option to purchase an additional 1,981,132 shares, at an offering price of $26.50 per share. We received net proceeds of $382.2 million, after deducting underwriting discounts and commissions and other offering expenses.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419"/>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5"/>
        </w:trPr>
        <w:tc>
          <w:tcPr>
            <w:tcW w:w="5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19"/>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196"/>
        </w:trPr>
        <w:tc>
          <w:tcPr>
            <w:tcW w:w="5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419"/>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used in operating activities</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(74,406 )</w:t>
            </w:r>
          </w:p>
        </w:tc>
        <w:tc>
          <w:tcPr>
            <w:tcW w:w="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(102,489 )</w:t>
            </w:r>
          </w:p>
        </w:tc>
        <w:tc>
          <w:tcPr>
            <w:tcW w:w="4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(66,133 )</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Cash provided by (used in) investing activities</w:t>
            </w: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(479,511 )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81,672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(319,024 )</w:t>
            </w:r>
          </w:p>
        </w:tc>
      </w:tr>
      <w:tr>
        <w:trPr>
          <w:trHeight w:val="203"/>
        </w:trPr>
        <w:tc>
          <w:tcPr>
            <w:tcW w:w="53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Cash provided by financing activities</w:t>
            </w: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388,090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426,509</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5,606</w:t>
            </w:r>
          </w:p>
        </w:tc>
      </w:tr>
      <w:tr>
        <w:trPr>
          <w:trHeight w:val="196"/>
        </w:trPr>
        <w:tc>
          <w:tcPr>
            <w:tcW w:w="5360" w:type="dxa"/>
            <w:vAlign w:val="bottom"/>
          </w:tcPr>
          <w:p>
            <w:pPr>
              <w:ind w:left="180"/>
              <w:spacing w:after="0" w:line="196" w:lineRule="exact"/>
              <w:rPr>
                <w:sz w:val="20"/>
                <w:szCs w:val="20"/>
                <w:color w:val="auto"/>
              </w:rPr>
            </w:pPr>
            <w:r>
              <w:rPr>
                <w:rFonts w:ascii="Arial" w:cs="Arial" w:eastAsia="Arial" w:hAnsi="Arial"/>
                <w:sz w:val="18"/>
                <w:szCs w:val="18"/>
                <w:color w:val="auto"/>
                <w:w w:val="92"/>
              </w:rPr>
              <w:t>Net increase (decrease) in cash, cash equivalents and restricted cash</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(165,827 )</w:t>
            </w:r>
          </w:p>
        </w:tc>
        <w:tc>
          <w:tcPr>
            <w:tcW w:w="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39"/>
              <w:spacing w:after="0" w:line="196" w:lineRule="exact"/>
              <w:rPr>
                <w:sz w:val="20"/>
                <w:szCs w:val="20"/>
                <w:color w:val="auto"/>
              </w:rPr>
            </w:pPr>
            <w:r>
              <w:rPr>
                <w:rFonts w:ascii="Arial" w:cs="Arial" w:eastAsia="Arial" w:hAnsi="Arial"/>
                <w:sz w:val="18"/>
                <w:szCs w:val="18"/>
                <w:color w:val="auto"/>
              </w:rPr>
              <w:t>405,692</w:t>
            </w:r>
          </w:p>
        </w:tc>
        <w:tc>
          <w:tcPr>
            <w:tcW w:w="4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(379,551 )</w:t>
            </w:r>
          </w:p>
        </w:tc>
      </w:tr>
      <w:tr>
        <w:trPr>
          <w:trHeight w:val="20"/>
        </w:trPr>
        <w:tc>
          <w:tcPr>
            <w:tcW w:w="5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-159385</wp:posOffset>
            </wp:positionV>
            <wp:extent cx="685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-159385</wp:posOffset>
            </wp:positionV>
            <wp:extent cx="685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During the year ended December 31, 2021, operating activities used $74.4 million of cash, primarily resulting from our net loss of $363.9 million, offset by non-cash charges of $192.1 million and cash provided by changes in our operating assets and liabilities of $97.3 million.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21" w:name="page122"/>
    <w:bookmarkEnd w:id="121"/>
    <w:p>
      <w:pPr>
        <w:ind w:right="80"/>
        <w:spacing w:after="0" w:line="261" w:lineRule="auto"/>
        <w:rPr>
          <w:sz w:val="20"/>
          <w:szCs w:val="20"/>
          <w:color w:val="auto"/>
        </w:rPr>
      </w:pPr>
      <w:r>
        <w:rPr>
          <w:rFonts w:ascii="Arial" w:cs="Arial" w:eastAsia="Arial" w:hAnsi="Arial"/>
          <w:sz w:val="18"/>
          <w:szCs w:val="18"/>
          <w:color w:val="auto"/>
        </w:rPr>
        <w:t>During the year ended December 31, 2020, operating activities used $102.5 million of cash, primarily resulting from our net loss of $52.4 million and cash used by changes in our operating assets and liabilities of $85.2 million, partially offset by non-cash charges of $35.1 million.</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During the year ended December 31, 2019, operating activities used $66.1 million of cash, primarily resulting from our net loss of $75.3 million, partially offset by non-cash charges of $4.9 million and cash provided by changes in our operating assets and liabilities of $4.3 million.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During the year ended December 31, 2021, investing activities used $479.5 million, consisting primarily of $450.7 million of net purchases of investments, $25.3 million related to cash paid for the acquisition of ZebiAI and $3.5 million for the purchase of property and equipment.</w:t>
      </w:r>
    </w:p>
    <w:p>
      <w:pPr>
        <w:spacing w:after="0" w:line="17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During the year ended December 31, 2020, investing activities provided $81.7 million, consisting primarily of $83.6 million of net investment proceeds from maturities offset by $1.9 million for the purchase of property and equipment.</w:t>
      </w:r>
    </w:p>
    <w:p>
      <w:pPr>
        <w:spacing w:after="0" w:line="17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During the year ended December 31, 2019, investing activities used $319.0 million, consisting primarily of $311.0 million of net investment purchases and $8.0 million for the purchase of property and equipment.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During the year ended December 31, 2021, net cash provided by financing activities was $388.1 million, consisting of net proceeds from our follow-on offering in October 2021 of $382.2 million, proceeds from stock option exercises of $4.7 million and proceeds from the issuance of common stock under our 2020 Employee Stock Purchase Plan of $1.1 million.</w:t>
      </w:r>
    </w:p>
    <w:p>
      <w:pPr>
        <w:spacing w:after="0" w:line="18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During the year ended December 31, 2020, net cash provided by financing activities was $426.5 million, consisting of net proceeds from the issuance of common stock upon the closing of our IPO of $425.3 million and proceeds from stock option exercises of $1.2 million.</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During the year ended December 31, 2019, net cash provided by financing activities was $5.6 million, consisting of net proceeds from our sales of Series C convertible preferred stock of $5.0 million and proceeds from the exercise of stock options of $0.6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expect our expenses to increase substantially in connection with our ongoing clinical development activities related to the potential clinical development activities of RLY-4008 and RLY-2608 and the ongoing pre-clinical development activities of our PI3Ka program. In addition, we are now incurring additional costs associated with operating as a public company. We expect that our expenses will increase substantially as discussed in more detail in “ Overview” above.</w:t>
      </w:r>
    </w:p>
    <w:p>
      <w:pPr>
        <w:spacing w:after="0" w:line="188" w:lineRule="exact"/>
        <w:rPr>
          <w:sz w:val="20"/>
          <w:szCs w:val="20"/>
          <w:color w:val="auto"/>
        </w:rPr>
      </w:pPr>
    </w:p>
    <w:p>
      <w:pPr>
        <w:ind w:right="580"/>
        <w:spacing w:after="0" w:line="294" w:lineRule="auto"/>
        <w:rPr>
          <w:sz w:val="20"/>
          <w:szCs w:val="20"/>
          <w:color w:val="auto"/>
        </w:rPr>
      </w:pPr>
      <w:r>
        <w:rPr>
          <w:rFonts w:ascii="Arial" w:cs="Arial" w:eastAsia="Arial" w:hAnsi="Arial"/>
          <w:sz w:val="16"/>
          <w:szCs w:val="16"/>
          <w:color w:val="auto"/>
        </w:rPr>
        <w:t>As of December 31, 2021, we had cash, cash equivalents and investments of $958.1 million. We believe that our existing cash, cash equivalents and investments will enable us to fund our operating expenses and capital expenditure requirements into at least 2025. We have based this estimate on assumptions that may prove to be wrong, and we could exhaust our available capital resources sooner than we expect.</w:t>
      </w:r>
    </w:p>
    <w:p>
      <w:pPr>
        <w:spacing w:after="0" w:line="14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Because of the numerous risks and uncertainties associated with the development of RLY-4008, RLY-2608 and our other product candidates and programs, and because the extent to which we may enter into collaborations with third parties for the development of our product candidates is unknown, we are unable to estimate the timing and amounts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2" w:name="page123"/>
    <w:bookmarkEnd w:id="122"/>
    <w:p>
      <w:pPr>
        <w:ind w:right="80"/>
        <w:spacing w:after="0" w:line="261" w:lineRule="auto"/>
        <w:rPr>
          <w:sz w:val="20"/>
          <w:szCs w:val="20"/>
          <w:color w:val="auto"/>
        </w:rPr>
      </w:pPr>
      <w:r>
        <w:rPr>
          <w:rFonts w:ascii="Arial" w:cs="Arial" w:eastAsia="Arial" w:hAnsi="Arial"/>
          <w:sz w:val="18"/>
          <w:szCs w:val="18"/>
          <w:color w:val="auto"/>
        </w:rPr>
        <w:t>of increased capital outlays and operating expenses associated with completing the research and development of our product candidates. Our future capital requirements will depend on many factors, including:</w:t>
      </w:r>
    </w:p>
    <w:p>
      <w:pPr>
        <w:spacing w:after="0" w:line="63" w:lineRule="exact"/>
        <w:rPr>
          <w:sz w:val="20"/>
          <w:szCs w:val="20"/>
          <w:color w:val="auto"/>
        </w:rPr>
      </w:pPr>
    </w:p>
    <w:p>
      <w:pPr>
        <w:ind w:left="760" w:right="360" w:hanging="378"/>
        <w:spacing w:after="0" w:line="324" w:lineRule="auto"/>
        <w:tabs>
          <w:tab w:leader="none" w:pos="7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impact of any business interruptions to our operations, including the timing and enrollment of patients in our planned clinical trials, or to those of our manufacturers, suppliers or other vendors, resulting from the ongoing COVID-19 pandemic or similar public health crisis;</w:t>
      </w:r>
    </w:p>
    <w:p>
      <w:pPr>
        <w:spacing w:after="0" w:line="16" w:lineRule="exact"/>
        <w:rPr>
          <w:rFonts w:ascii="Arial" w:cs="Arial" w:eastAsia="Arial" w:hAnsi="Arial"/>
          <w:sz w:val="16"/>
          <w:szCs w:val="16"/>
          <w:color w:val="auto"/>
        </w:rPr>
      </w:pPr>
    </w:p>
    <w:p>
      <w:pPr>
        <w:ind w:left="760" w:right="240" w:hanging="378"/>
        <w:spacing w:after="0" w:line="261"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scope, progress, results and costs of our current and future clinical trials of RLY-4008 and RLY-2608 and additional preclinical research of our PI3Ka programs;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research and clinical trials for our other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success of any existing or future collaborations that we may enter into with third parties;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 such as our collaboration with Genentech;</w:t>
      </w:r>
    </w:p>
    <w:p>
      <w:pPr>
        <w:spacing w:after="0" w:line="62" w:lineRule="exact"/>
        <w:rPr>
          <w:rFonts w:ascii="Arial" w:cs="Arial" w:eastAsia="Arial" w:hAnsi="Arial"/>
          <w:sz w:val="18"/>
          <w:szCs w:val="18"/>
          <w:color w:val="auto"/>
        </w:rPr>
      </w:pPr>
    </w:p>
    <w:p>
      <w:pPr>
        <w:ind w:left="760" w:right="80" w:hanging="378"/>
        <w:spacing w:after="0" w:line="261"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existing or future collaboration agreements, if any;</w:t>
      </w:r>
    </w:p>
    <w:p>
      <w:pPr>
        <w:spacing w:after="0" w:line="62" w:lineRule="exact"/>
        <w:rPr>
          <w:rFonts w:ascii="Arial" w:cs="Arial" w:eastAsia="Arial" w:hAnsi="Arial"/>
          <w:sz w:val="18"/>
          <w:szCs w:val="18"/>
          <w:color w:val="auto"/>
        </w:rPr>
      </w:pPr>
    </w:p>
    <w:p>
      <w:pPr>
        <w:ind w:left="760" w:right="180" w:hanging="378"/>
        <w:spacing w:after="0" w:line="261"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any existing or future collaboration agreements, if any;</w:t>
      </w:r>
    </w:p>
    <w:p>
      <w:pPr>
        <w:spacing w:after="0" w:line="62" w:lineRule="exact"/>
        <w:rPr>
          <w:rFonts w:ascii="Arial" w:cs="Arial" w:eastAsia="Arial" w:hAnsi="Arial"/>
          <w:sz w:val="18"/>
          <w:szCs w:val="18"/>
          <w:color w:val="auto"/>
        </w:rPr>
      </w:pPr>
    </w:p>
    <w:p>
      <w:pPr>
        <w:ind w:left="760" w:right="100" w:hanging="378"/>
        <w:spacing w:after="0" w:line="248"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collaborator that we may have at such time;</w:t>
      </w:r>
    </w:p>
    <w:p>
      <w:pPr>
        <w:spacing w:after="0" w:line="7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62" w:lineRule="exact"/>
        <w:rPr>
          <w:rFonts w:ascii="Arial" w:cs="Arial" w:eastAsia="Arial" w:hAnsi="Arial"/>
          <w:sz w:val="18"/>
          <w:szCs w:val="18"/>
          <w:color w:val="auto"/>
        </w:rPr>
      </w:pPr>
    </w:p>
    <w:p>
      <w:pPr>
        <w:ind w:left="760" w:right="540" w:hanging="378"/>
        <w:spacing w:after="0" w:line="261"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business operations and our research and development activities; and</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12"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159"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your ownership interest.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23" w:name="page124"/>
    <w:bookmarkEnd w:id="123"/>
    <w:p>
      <w:pPr>
        <w:ind w:right="20"/>
        <w:spacing w:after="0" w:line="259"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we may have to relinquish valuable rights to our technology, future revenue streams, research programs or product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product candidates that we would otherwise prefer to develop and market ourselves.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w:t>
      </w:r>
    </w:p>
    <w:p>
      <w:pPr>
        <w:spacing w:after="0" w:line="104"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On June 15, 2020, we entered into an Amended and Restated Collaboration and License Agreement, or DESRES Agreement, with D. E. Shaw Research, LLC, or D. E. Shaw Research, extending the term and otherwise modifying the terms of the Collaboration and License Agreement originally entered into on August 17, 2016. The DESRES Agreement provides that the parties will jointly conduct research efforts with the goal of identifying and developing product candidates. On a product-by-product basis, we have agreed to pay D. E. Shaw Research milestone payments upon the achievement of certain development and regulatory milestone events for products we develop under the DESRES Agreement that are directed to a Category 1 Target or any target that was a Category 1 Target. Such payments for achievement of development and regulatory milestones total up to $7.3 million in the aggregate for each of the first three products we develop, and up to $6.3 million in the aggregate for each product we develop after the first three. In addition, we are obligated to pay D. E. Shaw Research royalty payments as defined in the DESRES Agreement. We assessed the milestone and royalty events under the DESRES Agreement as of December 31, 2021 and 2020 and concluded that $1.5 million was due related to the execution of the Genentech Agreement as of December 31, 2020 and no such payments were due as of December 31, 2021.</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DESRES Agreement extended the term of the original agreement to August 16, 2025 and increased the annual fee from $1.0 million to $7.9 million, commencing on August 16, 2020. In May 2021, the annual fee was further increased, by mutual agreement of the parties, from $7.9 million to $9.9 million. The DESRES Agreement automatically renews for successive one year periods unless either party provides at least one year notice of non-renewal, and the annual fee during each of the one year renewal terms is subject to the mutual agreement of us and D. E. Shaw Research.</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399 Binney Street</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December 2017, we entered into a facility lease agreement for approximately 44,336 square feet of office and laboratory space at 399 Binney Street, Cambridge, Massachusetts 02139, which was increased to 44,807 square feet in January 2018. We gained control of the space in January 2019 and the lease expires in April 2029, subject to certain renewal options, which have not been included in our right of use asset and liability on the balance sheet through December 31, 2021. In September 2020, we entered into an amendment to our existing facility lease agreement to expand the leased area by approximately 1,824 square feet of office space at 399 Binney Street, Cambridge, Massachusetts 02139. The amendment commenced in October 2020 and expires in April 2029, subject to certain renewal options. We provided a letter of credit in connection with our facility lease agreement in the amount of $0.9 million with a financial institution, which expires September 30, 2028.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 Hampshire Street</w:t>
      </w:r>
    </w:p>
    <w:p>
      <w:pPr>
        <w:spacing w:after="0" w:line="10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On May 26, 2021, the Company entered into an agreement to lease approximately 41,474 square feet of laboratory and office space at 60 Hampshire Street, Cambridge, Massachusetts 02139. Our obligation to pay rent under the agreement is expected to start in 2022. The term of the agreement is ten years following the rent commencement, which is currently expected in 2022. We provided a letter of credit in connection with the agreement in the amount of $1.7 million with a financial institution, which expires August 31, 2033.</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i w:val="1"/>
          <w:iCs w:val="1"/>
          <w:color w:val="auto"/>
        </w:rPr>
        <w:t>Other Significant Arrangements</w:t>
      </w:r>
    </w:p>
    <w:p>
      <w:pPr>
        <w:spacing w:after="0" w:line="104" w:lineRule="exact"/>
        <w:rPr>
          <w:sz w:val="20"/>
          <w:szCs w:val="20"/>
          <w:color w:val="auto"/>
        </w:rPr>
      </w:pPr>
    </w:p>
    <w:p>
      <w:pPr>
        <w:jc w:val="both"/>
        <w:ind w:right="160"/>
        <w:spacing w:after="0" w:line="279" w:lineRule="auto"/>
        <w:rPr>
          <w:sz w:val="20"/>
          <w:szCs w:val="20"/>
          <w:color w:val="auto"/>
        </w:rPr>
      </w:pPr>
      <w:r>
        <w:rPr>
          <w:rFonts w:ascii="Arial" w:cs="Arial" w:eastAsia="Arial" w:hAnsi="Arial"/>
          <w:sz w:val="16"/>
          <w:szCs w:val="16"/>
          <w:color w:val="auto"/>
        </w:rPr>
        <w:t>We also have certain research and license arrangements with other third parties, which provide us with research services with the goal of identifying and developing product candidates until all payment obligations by us to the third party have expired. We have the right to terminate these agreements with a reasonable period of notice. We are also obligated to pay development milestone payments for up to four targets, each in the range of $4.0 million to $7.0 million, upon the achievement of certain specified contingent events. We assessed the milestones as of December 31, 2021 and 2020 and concluded $0.5 million was due as of December 31, 2021 and no such milestone payments were due as of December 31, 2020.</w:t>
      </w:r>
    </w:p>
    <w:p>
      <w:pPr>
        <w:spacing w:after="0" w:line="15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enter into contracts in the normal course of business with CROs and CMOs for clinical trials, preclinical research studies and testing, manufacturing and other services and products for operating purposes. These contracts do not contain any minimum purchase commitments and are cancelable by us upon prior notice of 30 days. Payments due upon cancelation consist only of payments for services provided and expenses incurred up to the date of cancelation.</w:t>
      </w:r>
    </w:p>
    <w:p>
      <w:pPr>
        <w:spacing w:after="0" w:line="14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xml:space="preserve">For more information, 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Note 14,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of the notes to our consolidated financial statements included elsewhere in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08"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financial statements, which have been prepared in accordance with generally accepted accounting principles in the United States, or GAAP. The preparation of our consolidated financial statements and related disclosures requires us to make estimates and assumptions that affect the reported amounts of assets and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0" w:lineRule="exact"/>
        <w:rPr>
          <w:sz w:val="20"/>
          <w:szCs w:val="20"/>
          <w:color w:val="auto"/>
        </w:rPr>
      </w:pPr>
    </w:p>
    <w:p>
      <w:pPr>
        <w:ind w:right="500"/>
        <w:spacing w:after="0" w:line="248"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included elsewhere in this Annual Report on Form 10-K, we believe that the following accounting policies are those most critical to the judgments and estimates used in the preparation of our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Accounting</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are required to make significant judgments and estimates to determine whether an acquisition constitutes an acquisition of a business or assets. For asset acquisitions, this includes whether substantially all of the fair value of the gross assets acquired is concentrated in a single identifiable asset or a group of similar identifiable assets. We are also required to make several significant judgments and estimates in order to determine the total consideration transferred for the asset acquisition and then allocate it to the assets that we have acquired and the liabilities that we have assumed on our consolidated balance sheet.</w:t>
      </w:r>
    </w:p>
    <w:p>
      <w:pPr>
        <w:spacing w:after="0" w:line="81"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With respect to the acquisition of ZebiAI, the determination of the fair value of in-process research and development, or IPR&amp;D, expense did not include significant judgment, given that substantially all of the fair value of the gross assets acquired was concentrated in a single identifiable asset. Estimating the fair value of contingent milestone payments required significant judgment and estimation, primarily with respect to estimating the probability of achieving and the related timing of the contingent milestone payments.</w:t>
      </w:r>
    </w:p>
    <w:p>
      <w:pPr>
        <w:spacing w:after="0" w:line="8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are also required to reassess the fair value of the contingent milestone payments from the acquisition of ZebiAI on a quarterly basis, which requires significant judgment</w:t>
      </w:r>
      <w:r>
        <w:rPr>
          <w:rFonts w:ascii="Arial" w:cs="Arial" w:eastAsia="Arial" w:hAnsi="Arial"/>
          <w:sz w:val="18"/>
          <w:szCs w:val="18"/>
          <w:color w:val="auto"/>
          <w:strike w:val="1"/>
        </w:rPr>
        <w:t>s</w:t>
      </w:r>
      <w:r>
        <w:rPr>
          <w:rFonts w:ascii="Arial" w:cs="Arial" w:eastAsia="Arial" w:hAnsi="Arial"/>
          <w:sz w:val="18"/>
          <w:szCs w:val="18"/>
          <w:color w:val="auto"/>
        </w:rPr>
        <w:t xml:space="preserve"> and estimation. These significant judgments are primarily the result of our estimates of the probability of achieving and timing of the contingent milestone payments. Changes in the fair value of the contingent milestone payments can result from changes to one or multiple inputs, including adjustments to the probability of achievement and timing of the contingent milestone payments, and, to a lesser extent, changes to the applicable discount rates. Significant judgment is used in determining these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-521335</wp:posOffset>
            </wp:positionV>
            <wp:extent cx="6137910"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37910" cy="128905"/>
                    </a:xfrm>
                    <a:prstGeom prst="rect">
                      <a:avLst/>
                    </a:prstGeom>
                    <a:noFill/>
                  </pic:spPr>
                </pic:pic>
              </a:graphicData>
            </a:graphic>
          </wp:anchor>
        </w:drawing>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25" w:name="page126"/>
    <w:bookmarkEnd w:id="125"/>
    <w:p>
      <w:pPr>
        <w:ind w:right="620"/>
        <w:spacing w:after="0" w:line="261" w:lineRule="auto"/>
        <w:rPr>
          <w:sz w:val="20"/>
          <w:szCs w:val="20"/>
          <w:color w:val="auto"/>
        </w:rPr>
      </w:pPr>
      <w:r>
        <w:rPr>
          <w:rFonts w:ascii="Arial" w:cs="Arial" w:eastAsia="Arial" w:hAnsi="Arial"/>
          <w:sz w:val="18"/>
          <w:szCs w:val="18"/>
          <w:color w:val="auto"/>
        </w:rPr>
        <w:t>during each reporting period. Reasonable changes in these assumptions can cause material changes to the fair value of our contingent consideration liability.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account for revenue recognition in accordance with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w:t>
      </w:r>
    </w:p>
    <w:p>
      <w:pPr>
        <w:spacing w:after="0" w:line="35" w:lineRule="exact"/>
        <w:rPr>
          <w:sz w:val="20"/>
          <w:szCs w:val="20"/>
          <w:color w:val="auto"/>
        </w:rPr>
      </w:pPr>
    </w:p>
    <w:p>
      <w:pPr>
        <w:ind w:right="840" w:firstLine="8"/>
        <w:spacing w:after="0" w:line="243" w:lineRule="auto"/>
        <w:tabs>
          <w:tab w:leader="none" w:pos="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recognize revenue pursuant to ASC 606 when our customer obtains control of promised goods or services in an amount that reflects the consideration which we expect to receive in exchange for those goods or services.</w:t>
      </w:r>
    </w:p>
    <w:p>
      <w:pPr>
        <w:spacing w:after="0" w:line="18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At contract inception, once the contract is determined to be within the scope of ASC 606, we assess the goods or services promised within the contract and determine those that are performance obligations. We then determine the transaction price and allocate it to the performance obligations. As part of the accounting for these arrangements, we must use significant judgment to determine: (a) the number of performance obligations; (b) the transaction price, including the determination of whether milestones or other variable consideration should be included in the transaction price; and (c) the stand-alone selling price for each performance obligation identified in the contract for the allocation of the transaction price.</w:t>
      </w:r>
    </w:p>
    <w:p>
      <w:pPr>
        <w:spacing w:after="0" w:line="159"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We utilize key assumptions and judgments to determine the stand-alone selling price for each performance obligation, which may include discounted cash flow models, evaluation of comparable transactions, pricing considered in negotiating the transaction and estimated costs, to determine how the transaction price is allocated among the performance obligations. We use judgment to determine whether milestones or other variable consideration should be included in the transaction price. As part of management’s evaluation of the transaction price, we consider numerous factors, including whether the achievement of the milestones is outside of our control, contingent upon the efforts of others or subject to the risks of success. If we conclude it is probable that a significant revenue reversal would not occur, the associated milestone payment is included in the transaction price. Milestone payments that are not within our control, such as regulatory approvals, are generally not considered probable until those milestones are achieved. We re-evaluate the transaction price, including estimated variable consideration included in the transaction price and all constrained amounts, in each reporting period and as uncertain events are resolved or other changes in circumstances occur. For revenue-based royalties, including milestone payments based on the level of sales, we will include royalties in the transaction price at the later of (i) when the related sales occur, or (ii) when the performance obligation to which some or all of the royalty is allocated has been satisfied (or partially satisfied).</w:t>
      </w:r>
    </w:p>
    <w:p>
      <w:pPr>
        <w:spacing w:after="0" w:line="18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Once the performance obligations are identified, the transaction price is allocated to each performance obligation based on the relative stand-alone selling price. We then recognize as revenue the amount of the transaction price that is allocated to the respective performance obligation when (or as) the performance obligation is satisfied, either at a point in time or over time. If the performance obligation is satisfied over time, we recognize revenue based on the use of either an output or input method.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and manufacturing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financial statements based on facts and circumstances known to us at that time. Examples of estimated accrued research and development expenses include fees paid to:</w:t>
      </w:r>
    </w:p>
    <w:p>
      <w:pPr>
        <w:spacing w:after="0" w:line="83" w:lineRule="exact"/>
        <w:rPr>
          <w:sz w:val="20"/>
          <w:szCs w:val="20"/>
          <w:color w:val="auto"/>
        </w:rPr>
      </w:pPr>
    </w:p>
    <w:p>
      <w:pPr>
        <w:ind w:left="760" w:hanging="378"/>
        <w:spacing w:after="0"/>
        <w:tabs>
          <w:tab w:leader="none" w:pos="7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CROs in connection with performing research activities on our behalf and conducting preclinical studies and clinical trials on our behalf;</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investigative sites or other service providers in connection with clinical trials;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6" w:name="page127"/>
    <w:bookmarkEnd w:id="126"/>
    <w:p>
      <w:pPr>
        <w:ind w:left="760" w:hanging="378"/>
        <w:spacing w:after="0"/>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vendors in connection with preclinical and clinical development activities;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vendors related to product manufacturing and development and distribution of preclinical and clinical supplies.</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CROs that conduct and manage preclinical studies and clinical trials on our behalf. The financial terms of these agreements are subject to negotiation and vary from contract to contract, which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08"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color w:val="auto"/>
        </w:rPr>
        <w:t>A description of recently issued accounting pronouncements that we have adopted is disclosed in Note 2 to our consolidated financial statements included elsewhere in this Annual Report on Form 10-K. None of these pronouncements had a material impact on our financial position or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are exposed to market risk related to changes in interest rates of our investment portfolio of cash equivalents and investments. As of December 31, 2021, our cash equivalents consisted of money market funds. As of December 31, 2021, our investments consisted of investments in United States Treasury Bills, United States Treasury Bonds and agency bonds that have contractual maturities of less than two years. Our primary exposure to market risk is interest income sensitivity, which is affected by changes in the general level of U.S. interest rates. The fair value of our marketable securities is subject to change as a result of potential changes in market interest rates. The potential change in fair value for interest rate sensitive instruments has been assessed on a hypothetical 100 basis point adverse movement across all maturities. As of December 31, 2021, 2020 and 2019 we estimate that such hypothetical 100 basis point adverse movement would not result in a material impact to our consolidated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had no debt outstanding and are therefore not exposed to interest rate risk with respect to debt.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All of our employees and our operations are currently located in the United States and our expenses are generally denominated in U.S. dollars. However, we have entered into a limited number of contracts with vendors for research and development services that permit us to satisfy our payment obligations in U.S. dollars (at prevailing exchange rates) but have underlying payment obligations denominated in foreign currencies, including the Euro. We are subject to foreign currency transaction gains or losses on our contracts denominated in foreign currencies. To date, foreign currency transaction gains and losses have not been material to our financial statements, and we do not have a formal hedging program with respect to foreign currency. A 10% increase or decrease in current exchange rates would not have a material effect on our financial results for the years ended December 31, 2021, 2020 and 2019.</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8"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An index of those financial statements is found in Index to the Consolidated Financial Statements on page F-1 of this Annual Report on Form 10-K, as incorporated into Item 15, Exhibits and Financial Statement Schedules, of this Annual Report on Form 10-K, by reference.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8"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We have established disclosure controls and procedures (as defined in Rules 13a-15(e) and 15d-15(e) under the Securities Exchange Act of 1934, as amended, or the Exchange Act) designed to ensure that information required to be disclosed in the reports that we file or submit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Annual Report on Form 10-K.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December 31, 2021, our disclosure controls and procedures were effective.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6" w:lineRule="exact"/>
        <w:rPr>
          <w:sz w:val="20"/>
          <w:szCs w:val="20"/>
          <w:color w:val="auto"/>
        </w:rPr>
      </w:pPr>
    </w:p>
    <w:p>
      <w:pPr>
        <w:ind w:left="760" w:right="460" w:hanging="378"/>
        <w:spacing w:after="0" w:line="261" w:lineRule="auto"/>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 company’s assets;</w:t>
      </w:r>
    </w:p>
    <w:p>
      <w:pPr>
        <w:spacing w:after="0" w:line="62" w:lineRule="exact"/>
        <w:rPr>
          <w:rFonts w:ascii="Arial" w:cs="Arial" w:eastAsia="Arial" w:hAnsi="Arial"/>
          <w:sz w:val="18"/>
          <w:szCs w:val="18"/>
          <w:color w:val="auto"/>
        </w:rPr>
      </w:pPr>
    </w:p>
    <w:p>
      <w:pPr>
        <w:ind w:left="760" w:right="40" w:hanging="378"/>
        <w:spacing w:after="0" w:line="248" w:lineRule="auto"/>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73" w:lineRule="exact"/>
        <w:rPr>
          <w:rFonts w:ascii="Arial" w:cs="Arial" w:eastAsia="Arial" w:hAnsi="Arial"/>
          <w:sz w:val="18"/>
          <w:szCs w:val="18"/>
          <w:color w:val="auto"/>
        </w:rPr>
      </w:pPr>
    </w:p>
    <w:p>
      <w:pPr>
        <w:ind w:left="760" w:right="300" w:hanging="378"/>
        <w:spacing w:after="0" w:line="261" w:lineRule="auto"/>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128" w:name="page129"/>
    <w:bookmarkEnd w:id="128"/>
    <w:p>
      <w:pPr>
        <w:spacing w:after="0" w:line="25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Our internal control over financial reporting is a process designed under the supervision of our principal executive officer and principal financial officer to provide reasonable assurance regarding the reliability of financial reporting and the preparation of our financial statements for external reporting purposes in accordance with U.S. generally accepted accounting principles.</w:t>
      </w:r>
    </w:p>
    <w:p>
      <w:pPr>
        <w:spacing w:after="0" w:line="174" w:lineRule="exact"/>
        <w:rPr>
          <w:sz w:val="20"/>
          <w:szCs w:val="20"/>
          <w:color w:val="auto"/>
        </w:rPr>
      </w:pPr>
    </w:p>
    <w:p>
      <w:pPr>
        <w:ind w:right="480"/>
        <w:spacing w:after="0" w:line="262" w:lineRule="auto"/>
        <w:rPr>
          <w:sz w:val="20"/>
          <w:szCs w:val="20"/>
          <w:color w:val="auto"/>
        </w:rPr>
      </w:pPr>
      <w:r>
        <w:rPr>
          <w:rFonts w:ascii="Arial" w:cs="Arial" w:eastAsia="Arial" w:hAnsi="Arial"/>
          <w:sz w:val="17"/>
          <w:szCs w:val="17"/>
          <w:color w:val="auto"/>
        </w:rPr>
        <w:t>Under the supervision of and with the participation of our principal executive officer and principal financial officer, our management assessed the effectiveness of our internal control over financial reporting as of December 31, 2021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2021.</w:t>
      </w:r>
    </w:p>
    <w:p>
      <w:pPr>
        <w:spacing w:after="0" w:line="17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Our independent registered public accounting firm has issued an attestation report of our internal control over financial reporting. This report appears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fiscal quarter ended December 31, 2021 that has materially affected, or is reasonably likely to materially affect, our internal control over financial reporting.</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Relay Therapeutics, Inc.</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audited Relay Therapeutics, Inc.’s internal control over financial reporting as of December 31, 2021, based on criteria established in Internal Control—Integrated Framework issued by the Committee of Sponsoring Organizations of the Treadway Commission (2013 framework) (the COSO criteria). In our opinion, Relay Therapeutics, Inc. (the Company) maintained, in all material respects, effective internal control over financial reporting as of December 31, 2021, based on the COSO criteria.</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operations and comprehensive loss, convertible preferred stock and stockholders’ equity (deficit), and cash flows for each of the three years in the period ended December 31, 2021, and the related notes and our report dated February 24, 2022 expressed an unqualified opinion thereon.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jc w:val="both"/>
        <w:spacing w:after="0" w:line="23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February 24, 2022</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color w:val="auto"/>
        </w:rPr>
        <w:t>On February 18, 2022, we entered into an employment agreement, or the Employment Agreement, with Thomas Catinazzo, who currently serves as our Chief Financial Officer. The Employment Agreement supersedes the prior letter agreement entered into between us and Mr. Catinazzo on March 1, 2018.</w:t>
      </w:r>
    </w:p>
    <w:p>
      <w:pPr>
        <w:spacing w:after="0" w:line="124"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color w:val="auto"/>
        </w:rPr>
        <w:t>Pursuant to the terms of the Employment Agreement, Mr. Catinazzo will receive an annual base salary of $420,000 and an annual target bonus equal to 40% of his annual base salary. The Employment Agreement also provides for Mr. Catinazzo’s eligibility to participate in our benefit plans generally.</w:t>
      </w:r>
    </w:p>
    <w:p>
      <w:pPr>
        <w:spacing w:after="0" w:line="124"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Additionally, the Employment Agreement provides that upon (i) a termination of Mr. Catinazzo’s employment by us for any reason other than for “cause”, death or disability or (ii) a resignation for “good reason”, in each case outside of the change in control period (i.e., the period beginning in anticipation of, and ending 12 months after, a change in control of the Company), he will be entitled to receive, subject to the execution and delivery of an effective separation agreement and release, (A) an amount equal to the sum of 12 months of his base salary and his target bonus opportunity for the then-current year, which amount shall be prorated, payable in substantially equal installments over 12 months following the date of termination of employment and (B) the employer portion of the premiums for health insurance benefits continuation under COBRA for up to 12 months.</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Upon (i) a termination of Mr. Catinazzo’s employment by us other than for cause, death or disability or (ii) a resignation for good reason, in each case, within the change in control period described above, he will be entitled to receive, subject to the execution and delivery of an effective separation agreement and release, (A) a lump sum payment equal to the sum of his then current base salary and target bonus opportunity for the then-current year, (B) the employer portion of the premiums for health insurance benefits continuation under COBRA for up to 12 months and (C) accelerated vesting of all stock options subject to time-based vesting and any other stock-based awards subject to time-based vesting, as of the later of (y) the date of termination of employment and (z) the effective date of the separation agreement and release.</w:t>
      </w:r>
    </w:p>
    <w:p>
      <w:pPr>
        <w:spacing w:after="0" w:line="175"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The Employment Agreement is in substantially the same form as our form of Amended and Restated Employment Agreement for executive officers. The foregoing description of the Employment Agreement is qualified in its entirety by reference to such form of Amended and Restated Employment Agreement, a copy of which was filed as Exhibit 10.8 to our Registration Statement on Form S-1/A (File No. 333-239412) filed with the Securities and Exchange Commission on July 9,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31" w:name="page132"/>
    <w:bookmarkEnd w:id="131"/>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Securities and Exchange Commission, or SEC, with respect to our 2022 Annual Meeting of Stockholders within 120 days of the end of our fiscal year pursuant to General Instruction G(3) of Form 10-K and is incorporated herein by reference.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2022 Annual Meeting of Stockholders within 120 days of the end of our fiscal year pursuant to General Instruction G(3) of Form 10-K and is incorporated herein by reference.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2022 Annual Meeting of Stockholders within 120 days of the end of our fiscal year pursuant to General Instruction G(3) of Form 10-K and is incorporated herein by reference.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2022 Annual Meeting of Stockholders within 120 days of the end of our fiscal year pursuant to General Instruction G(3) of Form 10-K and is incorporated herein by reference.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public accounting firm is Ernst &amp; Young LLP, Boston, Massachusetts, United States, PCAOB Auditor ID 42.</w:t>
      </w:r>
    </w:p>
    <w:p>
      <w:pPr>
        <w:spacing w:after="0" w:line="212"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2022 Annual Meeting of Stockholders within 120 days of the end of our fiscal year pursuant to General Instruction G(3) of Form 10-K and is incorporated herein by reference.</w:t>
      </w:r>
    </w:p>
    <w:p>
      <w:pPr>
        <w:spacing w:after="0" w:line="1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4" w:right="479" w:bottom="1440" w:gutter="0" w:footer="0" w:header="0"/>
        </w:sectPr>
      </w:pPr>
    </w:p>
    <w:bookmarkStart w:id="132" w:name="page133"/>
    <w:bookmarkEnd w:id="132"/>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8" w:lineRule="exact"/>
        <w:rPr>
          <w:sz w:val="20"/>
          <w:szCs w:val="20"/>
          <w:color w:val="auto"/>
        </w:rPr>
      </w:pPr>
    </w:p>
    <w:p>
      <w:pPr>
        <w:ind w:left="380" w:hanging="372"/>
        <w:spacing w:after="0" w:line="261"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a list of the financial statements included herein, see Index to the Consolidated Financial Statements on page F-1 of this Annual Report on Form 10-K, incorporated into this Item by reference.</w:t>
      </w:r>
    </w:p>
    <w:p>
      <w:pPr>
        <w:spacing w:after="0" w:line="62" w:lineRule="exact"/>
        <w:rPr>
          <w:rFonts w:ascii="Arial" w:cs="Arial" w:eastAsia="Arial" w:hAnsi="Arial"/>
          <w:sz w:val="18"/>
          <w:szCs w:val="18"/>
          <w:color w:val="auto"/>
        </w:rPr>
      </w:pPr>
    </w:p>
    <w:p>
      <w:pPr>
        <w:ind w:left="380" w:right="680" w:hanging="372"/>
        <w:spacing w:after="0" w:line="261"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62" w:lineRule="exact"/>
        <w:rPr>
          <w:rFonts w:ascii="Arial" w:cs="Arial" w:eastAsia="Arial" w:hAnsi="Arial"/>
          <w:sz w:val="18"/>
          <w:szCs w:val="18"/>
          <w:color w:val="auto"/>
        </w:rPr>
      </w:pPr>
    </w:p>
    <w:p>
      <w:pPr>
        <w:ind w:left="380" w:right="220" w:hanging="372"/>
        <w:spacing w:after="0" w:line="261"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exhibits filed as part of this Annual Report on Form 10-K are set forth on the Exhibit Index immediately preceding the signature page of this Annual Report on Form 10-K. The Exhibit Index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elected not to include summary information.</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24" w:right="519" w:bottom="1440" w:gutter="0" w:footer="0" w:header="0"/>
        </w:sectPr>
      </w:pPr>
    </w:p>
    <w:bookmarkStart w:id="133" w:name="page134"/>
    <w:bookmarkEnd w:id="133"/>
    <w:tbl>
      <w:tblPr>
        <w:tblLayout w:type="fixed"/>
        <w:tblInd w:w="1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80" w:type="dxa"/>
            <w:vAlign w:val="bottom"/>
            <w:gridSpan w:val="4"/>
          </w:tcPr>
          <w:p>
            <w:pPr>
              <w:jc w:val="center"/>
              <w:ind w:right="106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2100" w:type="dxa"/>
            <w:vAlign w:val="bottom"/>
          </w:tcPr>
          <w:p>
            <w:pPr>
              <w:spacing w:after="0"/>
              <w:rPr>
                <w:sz w:val="20"/>
                <w:szCs w:val="20"/>
                <w:color w:val="auto"/>
              </w:rPr>
            </w:pPr>
          </w:p>
        </w:tc>
      </w:tr>
      <w:tr>
        <w:trPr>
          <w:trHeight w:val="607"/>
        </w:trPr>
        <w:tc>
          <w:tcPr>
            <w:tcW w:w="4280" w:type="dxa"/>
            <w:vAlign w:val="bottom"/>
            <w:tcBorders>
              <w:bottom w:val="single" w:sz="8" w:color="0000EE"/>
            </w:tcBorders>
            <w:gridSpan w:val="4"/>
          </w:tcPr>
          <w:p>
            <w:pPr>
              <w:ind w:left="20"/>
              <w:spacing w:after="0"/>
              <w:rPr>
                <w:rFonts w:ascii="Arial" w:cs="Arial" w:eastAsia="Arial" w:hAnsi="Arial"/>
                <w:sz w:val="18"/>
                <w:szCs w:val="18"/>
                <w:color w:val="0000FF"/>
                <w:w w:val="92"/>
              </w:rPr>
            </w:pPr>
            <w:hyperlink w:anchor="page135">
              <w:r>
                <w:rPr>
                  <w:rFonts w:ascii="Arial" w:cs="Arial" w:eastAsia="Arial" w:hAnsi="Arial"/>
                  <w:sz w:val="18"/>
                  <w:szCs w:val="18"/>
                  <w:color w:val="0000FF"/>
                  <w:w w:val="92"/>
                </w:rPr>
                <w:t>Report of Independent Registered Public Accounting Firm</w:t>
              </w:r>
            </w:hyperlink>
          </w:p>
        </w:tc>
        <w:tc>
          <w:tcPr>
            <w:tcW w:w="4860" w:type="dxa"/>
            <w:vAlign w:val="bottom"/>
            <w:gridSpan w:val="3"/>
          </w:tcPr>
          <w:p>
            <w:pPr>
              <w:spacing w:after="0"/>
              <w:rPr>
                <w:sz w:val="24"/>
                <w:szCs w:val="24"/>
                <w:color w:val="auto"/>
              </w:rPr>
            </w:pPr>
          </w:p>
        </w:tc>
        <w:tc>
          <w:tcPr>
            <w:tcW w:w="2100" w:type="dxa"/>
            <w:vAlign w:val="bottom"/>
          </w:tcPr>
          <w:p>
            <w:pPr>
              <w:ind w:left="1840"/>
              <w:spacing w:after="0"/>
              <w:rPr>
                <w:sz w:val="20"/>
                <w:szCs w:val="20"/>
                <w:color w:val="auto"/>
              </w:rPr>
            </w:pPr>
            <w:r>
              <w:rPr>
                <w:rFonts w:ascii="Arial" w:cs="Arial" w:eastAsia="Arial" w:hAnsi="Arial"/>
                <w:sz w:val="18"/>
                <w:szCs w:val="18"/>
                <w:color w:val="auto"/>
                <w:w w:val="88"/>
              </w:rPr>
              <w:t>F-2</w:t>
            </w:r>
          </w:p>
        </w:tc>
      </w:tr>
      <w:tr>
        <w:trPr>
          <w:trHeight w:val="453"/>
        </w:trPr>
        <w:tc>
          <w:tcPr>
            <w:tcW w:w="9140" w:type="dxa"/>
            <w:vAlign w:val="bottom"/>
            <w:gridSpan w:val="7"/>
          </w:tcPr>
          <w:p>
            <w:pPr>
              <w:ind w:left="20"/>
              <w:spacing w:after="0"/>
              <w:rPr>
                <w:sz w:val="20"/>
                <w:szCs w:val="20"/>
                <w:color w:val="auto"/>
              </w:rPr>
            </w:pPr>
            <w:r>
              <w:rPr>
                <w:rFonts w:ascii="Arial" w:cs="Arial" w:eastAsia="Arial" w:hAnsi="Arial"/>
                <w:sz w:val="18"/>
                <w:szCs w:val="18"/>
                <w:color w:val="auto"/>
              </w:rPr>
              <w:t>Consolidated Financial Statements</w:t>
            </w:r>
          </w:p>
        </w:tc>
        <w:tc>
          <w:tcPr>
            <w:tcW w:w="2100" w:type="dxa"/>
            <w:vAlign w:val="bottom"/>
          </w:tcPr>
          <w:p>
            <w:pPr>
              <w:spacing w:after="0"/>
              <w:rPr>
                <w:sz w:val="24"/>
                <w:szCs w:val="24"/>
                <w:color w:val="auto"/>
              </w:rPr>
            </w:pPr>
          </w:p>
        </w:tc>
      </w:tr>
      <w:tr>
        <w:trPr>
          <w:trHeight w:val="378"/>
        </w:trPr>
        <w:tc>
          <w:tcPr>
            <w:tcW w:w="9140" w:type="dxa"/>
            <w:vAlign w:val="bottom"/>
            <w:gridSpan w:val="7"/>
          </w:tcPr>
          <w:p>
            <w:pPr>
              <w:ind w:left="20"/>
              <w:spacing w:after="0"/>
              <w:rPr>
                <w:rFonts w:ascii="Arial" w:cs="Arial" w:eastAsia="Arial" w:hAnsi="Arial"/>
                <w:sz w:val="18"/>
                <w:szCs w:val="18"/>
                <w:color w:val="0000FF"/>
              </w:rPr>
            </w:pPr>
            <w:hyperlink w:anchor="page137">
              <w:r>
                <w:rPr>
                  <w:rFonts w:ascii="Arial" w:cs="Arial" w:eastAsia="Arial" w:hAnsi="Arial"/>
                  <w:sz w:val="18"/>
                  <w:szCs w:val="18"/>
                  <w:color w:val="0000FF"/>
                </w:rPr>
                <w:t>Consolidated Balance Sheets</w:t>
              </w:r>
            </w:hyperlink>
          </w:p>
        </w:tc>
        <w:tc>
          <w:tcPr>
            <w:tcW w:w="2100" w:type="dxa"/>
            <w:vAlign w:val="bottom"/>
          </w:tcPr>
          <w:p>
            <w:pPr>
              <w:ind w:left="1840"/>
              <w:spacing w:after="0"/>
              <w:rPr>
                <w:sz w:val="20"/>
                <w:szCs w:val="20"/>
                <w:color w:val="auto"/>
              </w:rPr>
            </w:pPr>
            <w:r>
              <w:rPr>
                <w:rFonts w:ascii="Arial" w:cs="Arial" w:eastAsia="Arial" w:hAnsi="Arial"/>
                <w:sz w:val="18"/>
                <w:szCs w:val="18"/>
                <w:color w:val="auto"/>
                <w:w w:val="88"/>
              </w:rPr>
              <w:t>F-4</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4700" w:type="dxa"/>
            <w:vAlign w:val="bottom"/>
            <w:tcBorders>
              <w:bottom w:val="single" w:sz="8" w:color="0000FF"/>
            </w:tcBorders>
            <w:gridSpan w:val="5"/>
          </w:tcPr>
          <w:p>
            <w:pPr>
              <w:ind w:left="20"/>
              <w:spacing w:after="0" w:line="196" w:lineRule="exact"/>
              <w:rPr>
                <w:rFonts w:ascii="Arial" w:cs="Arial" w:eastAsia="Arial" w:hAnsi="Arial"/>
                <w:sz w:val="18"/>
                <w:szCs w:val="18"/>
                <w:color w:val="0000FF"/>
                <w:w w:val="89"/>
              </w:rPr>
            </w:pPr>
            <w:hyperlink w:anchor="page138">
              <w:r>
                <w:rPr>
                  <w:rFonts w:ascii="Arial" w:cs="Arial" w:eastAsia="Arial" w:hAnsi="Arial"/>
                  <w:sz w:val="18"/>
                  <w:szCs w:val="18"/>
                  <w:color w:val="0000FF"/>
                  <w:w w:val="89"/>
                </w:rPr>
                <w:t>Consolidated Statements of Operations and Comprehensive Loss</w:t>
              </w:r>
            </w:hyperlink>
          </w:p>
        </w:tc>
        <w:tc>
          <w:tcPr>
            <w:tcW w:w="4440" w:type="dxa"/>
            <w:vAlign w:val="bottom"/>
            <w:gridSpan w:val="2"/>
          </w:tcPr>
          <w:p>
            <w:pPr>
              <w:spacing w:after="0"/>
              <w:rPr>
                <w:sz w:val="17"/>
                <w:szCs w:val="17"/>
                <w:color w:val="auto"/>
              </w:rPr>
            </w:pPr>
          </w:p>
        </w:tc>
        <w:tc>
          <w:tcPr>
            <w:tcW w:w="2100" w:type="dxa"/>
            <w:vAlign w:val="bottom"/>
          </w:tcPr>
          <w:p>
            <w:pPr>
              <w:ind w:left="184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6640" w:type="dxa"/>
            <w:vAlign w:val="bottom"/>
            <w:tcBorders>
              <w:bottom w:val="single" w:sz="8" w:color="0000EE"/>
            </w:tcBorders>
            <w:gridSpan w:val="6"/>
          </w:tcPr>
          <w:p>
            <w:pPr>
              <w:ind w:left="20"/>
              <w:spacing w:after="0" w:line="196" w:lineRule="exact"/>
              <w:rPr>
                <w:rFonts w:ascii="Arial" w:cs="Arial" w:eastAsia="Arial" w:hAnsi="Arial"/>
                <w:sz w:val="18"/>
                <w:szCs w:val="18"/>
                <w:color w:val="0000FF"/>
                <w:w w:val="92"/>
              </w:rPr>
            </w:pPr>
            <w:hyperlink w:anchor="page139">
              <w:r>
                <w:rPr>
                  <w:rFonts w:ascii="Arial" w:cs="Arial" w:eastAsia="Arial" w:hAnsi="Arial"/>
                  <w:sz w:val="18"/>
                  <w:szCs w:val="18"/>
                  <w:color w:val="0000FF"/>
                  <w:w w:val="92"/>
                </w:rPr>
                <w:t>Consolidated Statements of Convertible Preferred Stock and Stockholders’ Equity (Deficit)</w:t>
              </w:r>
            </w:hyperlink>
          </w:p>
        </w:tc>
        <w:tc>
          <w:tcPr>
            <w:tcW w:w="2500" w:type="dxa"/>
            <w:vAlign w:val="bottom"/>
          </w:tcPr>
          <w:p>
            <w:pPr>
              <w:spacing w:after="0"/>
              <w:rPr>
                <w:sz w:val="17"/>
                <w:szCs w:val="17"/>
                <w:color w:val="auto"/>
              </w:rPr>
            </w:pPr>
          </w:p>
        </w:tc>
        <w:tc>
          <w:tcPr>
            <w:tcW w:w="2100" w:type="dxa"/>
            <w:vAlign w:val="bottom"/>
          </w:tcPr>
          <w:p>
            <w:pPr>
              <w:ind w:left="184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2900" w:type="dxa"/>
            <w:vAlign w:val="bottom"/>
            <w:tcBorders>
              <w:bottom w:val="single" w:sz="8" w:color="0000FF"/>
            </w:tcBorders>
            <w:gridSpan w:val="2"/>
          </w:tcPr>
          <w:p>
            <w:pPr>
              <w:ind w:left="20"/>
              <w:spacing w:after="0" w:line="196" w:lineRule="exact"/>
              <w:rPr>
                <w:rFonts w:ascii="Arial" w:cs="Arial" w:eastAsia="Arial" w:hAnsi="Arial"/>
                <w:sz w:val="18"/>
                <w:szCs w:val="18"/>
                <w:color w:val="0000FF"/>
                <w:w w:val="89"/>
              </w:rPr>
            </w:pPr>
            <w:hyperlink w:anchor="page140">
              <w:r>
                <w:rPr>
                  <w:rFonts w:ascii="Arial" w:cs="Arial" w:eastAsia="Arial" w:hAnsi="Arial"/>
                  <w:sz w:val="18"/>
                  <w:szCs w:val="18"/>
                  <w:color w:val="0000FF"/>
                  <w:w w:val="89"/>
                </w:rPr>
                <w:t>Consolidated Statements of Cash Flows</w:t>
              </w:r>
            </w:hyperlink>
          </w:p>
        </w:tc>
        <w:tc>
          <w:tcPr>
            <w:tcW w:w="6240" w:type="dxa"/>
            <w:vAlign w:val="bottom"/>
            <w:gridSpan w:val="5"/>
          </w:tcPr>
          <w:p>
            <w:pPr>
              <w:spacing w:after="0"/>
              <w:rPr>
                <w:sz w:val="17"/>
                <w:szCs w:val="17"/>
                <w:color w:val="auto"/>
              </w:rPr>
            </w:pPr>
          </w:p>
        </w:tc>
        <w:tc>
          <w:tcPr>
            <w:tcW w:w="2100" w:type="dxa"/>
            <w:vAlign w:val="bottom"/>
          </w:tcPr>
          <w:p>
            <w:pPr>
              <w:ind w:left="1840"/>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9140" w:type="dxa"/>
            <w:vAlign w:val="bottom"/>
            <w:gridSpan w:val="7"/>
          </w:tcPr>
          <w:p>
            <w:pPr>
              <w:ind w:left="20"/>
              <w:spacing w:after="0" w:line="196" w:lineRule="exact"/>
              <w:rPr>
                <w:rFonts w:ascii="Arial" w:cs="Arial" w:eastAsia="Arial" w:hAnsi="Arial"/>
                <w:sz w:val="18"/>
                <w:szCs w:val="18"/>
                <w:color w:val="0000FF"/>
              </w:rPr>
            </w:pPr>
            <w:hyperlink w:anchor="page142">
              <w:r>
                <w:rPr>
                  <w:rFonts w:ascii="Arial" w:cs="Arial" w:eastAsia="Arial" w:hAnsi="Arial"/>
                  <w:sz w:val="18"/>
                  <w:szCs w:val="18"/>
                  <w:color w:val="0000FF"/>
                </w:rPr>
                <w:t>Notes to Consolidated Financial Statements</w:t>
              </w:r>
            </w:hyperlink>
          </w:p>
        </w:tc>
        <w:tc>
          <w:tcPr>
            <w:tcW w:w="2100" w:type="dxa"/>
            <w:vAlign w:val="bottom"/>
          </w:tcPr>
          <w:p>
            <w:pPr>
              <w:ind w:left="1840"/>
              <w:spacing w:after="0" w:line="196" w:lineRule="exact"/>
              <w:rPr>
                <w:sz w:val="20"/>
                <w:szCs w:val="20"/>
                <w:color w:val="auto"/>
              </w:rPr>
            </w:pPr>
            <w:r>
              <w:rPr>
                <w:rFonts w:ascii="Arial" w:cs="Arial" w:eastAsia="Arial" w:hAnsi="Arial"/>
                <w:sz w:val="18"/>
                <w:szCs w:val="18"/>
                <w:color w:val="auto"/>
                <w:w w:val="88"/>
              </w:rPr>
              <w:t>F-9</w:t>
            </w:r>
          </w:p>
        </w:tc>
      </w:tr>
      <w:tr>
        <w:trPr>
          <w:trHeight w:val="655"/>
        </w:trPr>
        <w:tc>
          <w:tcPr>
            <w:tcW w:w="21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2"/>
          </w:tcPr>
          <w:p>
            <w:pPr>
              <w:jc w:val="center"/>
              <w:ind w:right="2600"/>
              <w:spacing w:after="0"/>
              <w:rPr>
                <w:sz w:val="20"/>
                <w:szCs w:val="20"/>
                <w:color w:val="auto"/>
              </w:rPr>
            </w:pPr>
            <w:r>
              <w:rPr>
                <w:rFonts w:ascii="Arial" w:cs="Arial" w:eastAsia="Arial" w:hAnsi="Arial"/>
                <w:sz w:val="18"/>
                <w:szCs w:val="18"/>
                <w:color w:val="auto"/>
                <w:w w:val="88"/>
              </w:rPr>
              <w:t>F-1</w:t>
            </w:r>
          </w:p>
        </w:tc>
        <w:tc>
          <w:tcPr>
            <w:tcW w:w="2100" w:type="dxa"/>
            <w:vAlign w:val="bottom"/>
          </w:tcPr>
          <w:p>
            <w:pPr>
              <w:spacing w:after="0"/>
              <w:rPr>
                <w:sz w:val="24"/>
                <w:szCs w:val="24"/>
                <w:color w:val="auto"/>
              </w:rPr>
            </w:pPr>
          </w:p>
        </w:tc>
      </w:tr>
      <w:tr>
        <w:trPr>
          <w:trHeight w:val="101"/>
        </w:trPr>
        <w:tc>
          <w:tcPr>
            <w:tcW w:w="2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Relay Therapeutics, Inc.</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have audited the accompanying consolidated balance sheets of Relay Therapeutics, Inc. (the Company) as of December 31, 2021 and 2020, the related consolidated statements of operations and comprehensive loss, convertible preferred stock and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8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24, 2022 expressed an unqualified opinion thereon.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35" w:name="page136"/>
    <w:bookmarkEnd w:id="135"/>
    <w:p>
      <w:pPr>
        <w:ind w:left="2100"/>
        <w:spacing w:after="0"/>
        <w:rPr>
          <w:sz w:val="20"/>
          <w:szCs w:val="20"/>
          <w:color w:val="auto"/>
        </w:rPr>
      </w:pPr>
      <w:r>
        <w:rPr>
          <w:rFonts w:ascii="Arial" w:cs="Arial" w:eastAsia="Arial" w:hAnsi="Arial"/>
          <w:sz w:val="15"/>
          <w:szCs w:val="15"/>
          <w:b w:val="1"/>
          <w:bCs w:val="1"/>
          <w:i w:val="1"/>
          <w:iCs w:val="1"/>
          <w:color w:val="auto"/>
        </w:rPr>
        <w:t>Valuation of Contingent Milestone Payment Liability</w:t>
      </w:r>
    </w:p>
    <w:p>
      <w:pPr>
        <w:sectPr>
          <w:pgSz w:w="11900" w:h="16838" w:orient="portrait"/>
          <w:cols w:equalWidth="0" w:num="1">
            <w:col w:w="11220"/>
          </w:cols>
          <w:pgMar w:left="320" w:top="328" w:right="359" w:bottom="1440" w:gutter="0" w:footer="0" w:header="0"/>
        </w:sectPr>
      </w:pPr>
    </w:p>
    <w:p>
      <w:pPr>
        <w:spacing w:after="0" w:line="58" w:lineRule="exact"/>
        <w:rPr>
          <w:sz w:val="20"/>
          <w:szCs w:val="20"/>
          <w:color w:val="auto"/>
        </w:rPr>
      </w:pPr>
    </w:p>
    <w:p>
      <w:pPr>
        <w:ind w:left="20" w:right="60"/>
        <w:spacing w:after="0" w:line="219"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As discussed in Notes 3 and 5 to the consolidated financial statements, the Company’s acquisition-related Contingent Milestone Payment liability is remeasured to its estimated fair value each reporting period. As of December 31, 2021, the acquisition-related Contingent Milestone Payment liability was $45.3 million.</w:t>
      </w:r>
    </w:p>
    <w:p>
      <w:pPr>
        <w:spacing w:after="0" w:line="123" w:lineRule="exact"/>
        <w:rPr>
          <w:sz w:val="20"/>
          <w:szCs w:val="20"/>
          <w:color w:val="auto"/>
        </w:rPr>
      </w:pPr>
    </w:p>
    <w:p>
      <w:pPr>
        <w:sectPr>
          <w:pgSz w:w="11900" w:h="16838" w:orient="portrait"/>
          <w:cols w:equalWidth="0" w:num="2">
            <w:col w:w="1380" w:space="720"/>
            <w:col w:w="9120"/>
          </w:cols>
          <w:pgMar w:left="320" w:top="328" w:right="359" w:bottom="1440" w:gutter="0" w:footer="0" w:header="0"/>
          <w:type w:val="continuous"/>
        </w:sectPr>
      </w:pPr>
    </w:p>
    <w:p>
      <w:pPr>
        <w:jc w:val="both"/>
        <w:ind w:left="2100"/>
        <w:spacing w:after="0" w:line="237" w:lineRule="auto"/>
        <w:rPr>
          <w:sz w:val="20"/>
          <w:szCs w:val="20"/>
          <w:color w:val="auto"/>
        </w:rPr>
      </w:pPr>
      <w:r>
        <w:rPr>
          <w:rFonts w:ascii="Arial" w:cs="Arial" w:eastAsia="Arial" w:hAnsi="Arial"/>
          <w:sz w:val="17"/>
          <w:szCs w:val="17"/>
          <w:color w:val="auto"/>
        </w:rPr>
        <w:t>Auditing the valuation of the Contingent Milestone Payment liability was especially subjective and judgmental due to the significant estimation required in determining the fair value. In particular, the fair value estimate was sensitive to significant assumptions including the probability of milestone achievement and the related timing thereof.</w:t>
      </w:r>
    </w:p>
    <w:p>
      <w:pPr>
        <w:sectPr>
          <w:pgSz w:w="11900" w:h="16838" w:orient="portrait"/>
          <w:cols w:equalWidth="0" w:num="1">
            <w:col w:w="11220"/>
          </w:cols>
          <w:pgMar w:left="320" w:top="328" w:right="359" w:bottom="1440" w:gutter="0" w:footer="0" w:header="0"/>
          <w:type w:val="continuous"/>
        </w:sectPr>
      </w:pPr>
    </w:p>
    <w:p>
      <w:pPr>
        <w:spacing w:after="0" w:line="150"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How We Addressed the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w:t>
      </w:r>
    </w:p>
    <w:p>
      <w:pPr>
        <w:spacing w:after="0" w:line="26" w:lineRule="exact"/>
        <w:rPr>
          <w:sz w:val="20"/>
          <w:szCs w:val="20"/>
          <w:color w:val="auto"/>
        </w:rPr>
      </w:pPr>
    </w:p>
    <w:p>
      <w:pPr>
        <w:sectPr>
          <w:pgSz w:w="11900" w:h="16838" w:orient="portrait"/>
          <w:cols w:equalWidth="0" w:num="2">
            <w:col w:w="1680" w:space="420"/>
            <w:col w:w="9120"/>
          </w:cols>
          <w:pgMar w:left="320" w:top="328" w:right="359" w:bottom="1440" w:gutter="0" w:footer="0" w:header="0"/>
          <w:type w:val="continuous"/>
        </w:sectPr>
      </w:pPr>
    </w:p>
    <w:p>
      <w:pPr>
        <w:ind w:left="20"/>
        <w:spacing w:after="0"/>
        <w:rPr>
          <w:sz w:val="20"/>
          <w:szCs w:val="20"/>
          <w:color w:val="auto"/>
        </w:rPr>
      </w:pPr>
      <w:r>
        <w:rPr>
          <w:rFonts w:ascii="Arial" w:cs="Arial" w:eastAsia="Arial" w:hAnsi="Arial"/>
          <w:sz w:val="17"/>
          <w:szCs w:val="17"/>
          <w:i w:val="1"/>
          <w:iCs w:val="1"/>
          <w:color w:val="auto"/>
        </w:rPr>
        <w:t>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valuation of the Contingent Milestone Payment liability. For example, we tested controls over management’s review of the</w:t>
      </w:r>
    </w:p>
    <w:p>
      <w:pPr>
        <w:spacing w:after="0" w:line="5" w:lineRule="exact"/>
        <w:rPr>
          <w:sz w:val="20"/>
          <w:szCs w:val="20"/>
          <w:color w:val="auto"/>
        </w:rPr>
      </w:pPr>
    </w:p>
    <w:p>
      <w:pPr>
        <w:sectPr>
          <w:pgSz w:w="11900" w:h="16838" w:orient="portrait"/>
          <w:cols w:equalWidth="0" w:num="2">
            <w:col w:w="1460" w:space="640"/>
            <w:col w:w="9120"/>
          </w:cols>
          <w:pgMar w:left="320" w:top="328" w:right="359" w:bottom="1440" w:gutter="0" w:footer="0" w:header="0"/>
          <w:type w:val="continuous"/>
        </w:sectPr>
      </w:pPr>
    </w:p>
    <w:p>
      <w:pPr>
        <w:ind w:left="2100"/>
        <w:spacing w:after="0" w:line="211" w:lineRule="auto"/>
        <w:rPr>
          <w:sz w:val="20"/>
          <w:szCs w:val="20"/>
          <w:color w:val="auto"/>
        </w:rPr>
      </w:pPr>
      <w:r>
        <w:rPr>
          <w:rFonts w:ascii="Arial" w:cs="Arial" w:eastAsia="Arial" w:hAnsi="Arial"/>
          <w:sz w:val="18"/>
          <w:szCs w:val="18"/>
          <w:color w:val="auto"/>
        </w:rPr>
        <w:t>valuation model and the significant assumptions utilized in the calculation, including the probability and expected timeline of achieving certain platform and program-related milestones.</w:t>
      </w:r>
    </w:p>
    <w:p>
      <w:pPr>
        <w:spacing w:after="0" w:line="121" w:lineRule="exact"/>
        <w:rPr>
          <w:sz w:val="20"/>
          <w:szCs w:val="20"/>
          <w:color w:val="auto"/>
        </w:rPr>
      </w:pPr>
    </w:p>
    <w:p>
      <w:pPr>
        <w:jc w:val="both"/>
        <w:ind w:left="2100"/>
        <w:spacing w:after="0" w:line="237" w:lineRule="auto"/>
        <w:rPr>
          <w:sz w:val="20"/>
          <w:szCs w:val="20"/>
          <w:color w:val="auto"/>
        </w:rPr>
      </w:pPr>
      <w:r>
        <w:rPr>
          <w:rFonts w:ascii="Arial" w:cs="Arial" w:eastAsia="Arial" w:hAnsi="Arial"/>
          <w:sz w:val="16"/>
          <w:szCs w:val="16"/>
          <w:color w:val="auto"/>
        </w:rPr>
        <w:t>To test the valuation of the Contingent Milestone Payment liability, we performed audit procedures that included, among others, assessing the terms of the arrangement, evaluating the methodology used, testing the significant assumptions discussed above and testing the completeness and accuracy of the underlying data. For example, to test the estimated probability and expected timeline of achieving milestones, we considered the stage of development of the research in relation to relevant external data and discussed these probabilities with the Company’s research and development executives. In addition, we performed sensitivity analyses of the significant assumptions to evaluate the change in the fair value of the Contingent Milestone Payment liability resulting from changes in the significant assumptions. We involved our valuation specialists to assist in the evaluation of the methodology used by the Company and certain assumptions in the valuation model.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ectPr>
          <w:pgSz w:w="11900" w:h="16838" w:orient="portrait"/>
          <w:cols w:equalWidth="0" w:num="1">
            <w:col w:w="11220"/>
          </w:cols>
          <w:pgMar w:left="320" w:top="328" w:right="359" w:bottom="1440" w:gutter="0" w:footer="0" w:header="0"/>
          <w:type w:val="continuous"/>
        </w:sect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type w:val="continuous"/>
        </w:sectPr>
      </w:pPr>
    </w:p>
    <w:bookmarkStart w:id="136" w:name="page137"/>
    <w:bookmarkEnd w:id="136"/>
    <w:p>
      <w:pPr>
        <w:jc w:val="center"/>
        <w:ind w:right="40"/>
        <w:spacing w:after="0"/>
        <w:rPr>
          <w:sz w:val="20"/>
          <w:szCs w:val="20"/>
          <w:color w:val="auto"/>
        </w:rPr>
      </w:pPr>
      <w:r>
        <w:rPr>
          <w:rFonts w:ascii="Arial" w:cs="Arial" w:eastAsia="Arial" w:hAnsi="Arial"/>
          <w:sz w:val="18"/>
          <w:szCs w:val="18"/>
          <w:color w:val="auto"/>
        </w:rPr>
        <w:t>Relay Therapeutics, Inc.</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Balance Sheets</w:t>
      </w: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2020</w:t>
            </w:r>
          </w:p>
        </w:tc>
      </w:tr>
      <w:tr>
        <w:trPr>
          <w:trHeight w:val="196"/>
        </w:trPr>
        <w:tc>
          <w:tcPr>
            <w:tcW w:w="76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280,119</w:t>
            </w:r>
          </w:p>
        </w:tc>
        <w:tc>
          <w:tcPr>
            <w:tcW w:w="420" w:type="dxa"/>
            <w:vAlign w:val="bottom"/>
            <w:gridSpan w:val="2"/>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447,646</w:t>
            </w:r>
          </w:p>
        </w:tc>
      </w:tr>
      <w:tr>
        <w:trPr>
          <w:trHeight w:val="203"/>
        </w:trPr>
        <w:tc>
          <w:tcPr>
            <w:tcW w:w="7640" w:type="dxa"/>
            <w:vAlign w:val="bottom"/>
          </w:tcPr>
          <w:p>
            <w:pPr>
              <w:ind w:left="200"/>
              <w:spacing w:after="0"/>
              <w:rPr>
                <w:sz w:val="20"/>
                <w:szCs w:val="20"/>
                <w:color w:val="auto"/>
              </w:rPr>
            </w:pPr>
            <w:r>
              <w:rPr>
                <w:rFonts w:ascii="Arial" w:cs="Arial" w:eastAsia="Arial" w:hAnsi="Arial"/>
                <w:sz w:val="17"/>
                <w:szCs w:val="17"/>
                <w:color w:val="auto"/>
              </w:rPr>
              <w:t>Investments</w:t>
            </w:r>
          </w:p>
        </w:tc>
        <w:tc>
          <w:tcPr>
            <w:tcW w:w="240" w:type="dxa"/>
            <w:vAlign w:val="bottom"/>
          </w:tcPr>
          <w:p>
            <w:pPr>
              <w:spacing w:after="0"/>
              <w:rPr>
                <w:sz w:val="17"/>
                <w:szCs w:val="17"/>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677,954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230,415</w:t>
            </w:r>
          </w:p>
        </w:tc>
      </w:tr>
      <w:tr>
        <w:trPr>
          <w:trHeight w:val="203"/>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Accounts receivable</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403</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75,000</w:t>
            </w:r>
          </w:p>
        </w:tc>
      </w:tr>
      <w:tr>
        <w:trPr>
          <w:trHeight w:val="203"/>
        </w:trPr>
        <w:tc>
          <w:tcPr>
            <w:tcW w:w="7640" w:type="dxa"/>
            <w:vAlign w:val="bottom"/>
          </w:tcPr>
          <w:p>
            <w:pPr>
              <w:ind w:left="200"/>
              <w:spacing w:after="0"/>
              <w:rPr>
                <w:sz w:val="20"/>
                <w:szCs w:val="20"/>
                <w:color w:val="auto"/>
              </w:rPr>
            </w:pPr>
            <w:r>
              <w:rPr>
                <w:rFonts w:ascii="Arial" w:cs="Arial" w:eastAsia="Arial" w:hAnsi="Arial"/>
                <w:sz w:val="17"/>
                <w:szCs w:val="17"/>
                <w:color w:val="auto"/>
              </w:rPr>
              <w:t>Contract asset</w:t>
            </w:r>
          </w:p>
        </w:tc>
        <w:tc>
          <w:tcPr>
            <w:tcW w:w="240" w:type="dxa"/>
            <w:vAlign w:val="bottom"/>
          </w:tcPr>
          <w:p>
            <w:pPr>
              <w:spacing w:after="0"/>
              <w:rPr>
                <w:sz w:val="17"/>
                <w:szCs w:val="17"/>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4,537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7,654</w:t>
            </w:r>
          </w:p>
        </w:tc>
      </w:tr>
      <w:tr>
        <w:trPr>
          <w:trHeight w:val="203"/>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13,229</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9,385</w:t>
            </w:r>
          </w:p>
        </w:tc>
      </w:tr>
      <w:tr>
        <w:trPr>
          <w:trHeight w:val="196"/>
        </w:trPr>
        <w:tc>
          <w:tcPr>
            <w:tcW w:w="764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240" w:type="dxa"/>
            <w:vAlign w:val="bottom"/>
          </w:tcPr>
          <w:p>
            <w:pPr>
              <w:spacing w:after="0"/>
              <w:rPr>
                <w:sz w:val="17"/>
                <w:szCs w:val="17"/>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976,242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770,100</w:t>
            </w:r>
          </w:p>
        </w:tc>
      </w:tr>
      <w:tr>
        <w:trPr>
          <w:trHeight w:val="203"/>
        </w:trPr>
        <w:tc>
          <w:tcPr>
            <w:tcW w:w="7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Property and equipment, net</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6,543</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6,250</w:t>
            </w:r>
          </w:p>
        </w:tc>
      </w:tr>
      <w:tr>
        <w:trPr>
          <w:trHeight w:val="203"/>
        </w:trPr>
        <w:tc>
          <w:tcPr>
            <w:tcW w:w="7640" w:type="dxa"/>
            <w:vAlign w:val="bottom"/>
          </w:tcPr>
          <w:p>
            <w:pPr>
              <w:ind w:left="20"/>
              <w:spacing w:after="0"/>
              <w:rPr>
                <w:sz w:val="20"/>
                <w:szCs w:val="20"/>
                <w:color w:val="auto"/>
              </w:rPr>
            </w:pPr>
            <w:r>
              <w:rPr>
                <w:rFonts w:ascii="Arial" w:cs="Arial" w:eastAsia="Arial" w:hAnsi="Arial"/>
                <w:sz w:val="17"/>
                <w:szCs w:val="17"/>
                <w:color w:val="auto"/>
              </w:rPr>
              <w:t>Operating lease assets</w:t>
            </w:r>
          </w:p>
        </w:tc>
        <w:tc>
          <w:tcPr>
            <w:tcW w:w="240" w:type="dxa"/>
            <w:vAlign w:val="bottom"/>
          </w:tcPr>
          <w:p>
            <w:pPr>
              <w:spacing w:after="0"/>
              <w:rPr>
                <w:sz w:val="17"/>
                <w:szCs w:val="17"/>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20,780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22,579</w:t>
            </w:r>
          </w:p>
        </w:tc>
      </w:tr>
      <w:tr>
        <w:trPr>
          <w:trHeight w:val="203"/>
        </w:trPr>
        <w:tc>
          <w:tcPr>
            <w:tcW w:w="7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Restricted cash</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2,578</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878</w:t>
            </w:r>
          </w:p>
        </w:tc>
      </w:tr>
      <w:tr>
        <w:trPr>
          <w:trHeight w:val="203"/>
        </w:trPr>
        <w:tc>
          <w:tcPr>
            <w:tcW w:w="7640" w:type="dxa"/>
            <w:vAlign w:val="bottom"/>
          </w:tcPr>
          <w:p>
            <w:pPr>
              <w:ind w:left="20"/>
              <w:spacing w:after="0"/>
              <w:rPr>
                <w:sz w:val="20"/>
                <w:szCs w:val="20"/>
                <w:color w:val="auto"/>
              </w:rPr>
            </w:pPr>
            <w:r>
              <w:rPr>
                <w:rFonts w:ascii="Arial" w:cs="Arial" w:eastAsia="Arial" w:hAnsi="Arial"/>
                <w:sz w:val="17"/>
                <w:szCs w:val="17"/>
                <w:color w:val="auto"/>
              </w:rPr>
              <w:t>Intangible asset</w:t>
            </w:r>
          </w:p>
        </w:tc>
        <w:tc>
          <w:tcPr>
            <w:tcW w:w="240" w:type="dxa"/>
            <w:vAlign w:val="bottom"/>
          </w:tcPr>
          <w:p>
            <w:pPr>
              <w:spacing w:after="0"/>
              <w:rPr>
                <w:sz w:val="17"/>
                <w:szCs w:val="17"/>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2,300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03"/>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22</w:t>
            </w:r>
          </w:p>
        </w:tc>
      </w:tr>
      <w:tr>
        <w:trPr>
          <w:trHeight w:val="196"/>
        </w:trPr>
        <w:tc>
          <w:tcPr>
            <w:tcW w:w="764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1,008,443</w:t>
            </w:r>
          </w:p>
        </w:tc>
        <w:tc>
          <w:tcPr>
            <w:tcW w:w="42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799,829</w:t>
            </w:r>
          </w:p>
        </w:tc>
      </w:tr>
      <w:tr>
        <w:trPr>
          <w:trHeight w:val="20"/>
        </w:trPr>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Liabilities and Stockholders’ Equity</w:t>
            </w: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r>
      <w:tr>
        <w:trPr>
          <w:trHeight w:val="203"/>
        </w:trPr>
        <w:tc>
          <w:tcPr>
            <w:tcW w:w="76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Accounts payable</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8,276</w:t>
            </w:r>
          </w:p>
        </w:tc>
        <w:tc>
          <w:tcPr>
            <w:tcW w:w="420" w:type="dxa"/>
            <w:vAlign w:val="bottom"/>
            <w:gridSpan w:val="2"/>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6,351</w:t>
            </w:r>
          </w:p>
        </w:tc>
      </w:tr>
      <w:tr>
        <w:trPr>
          <w:trHeight w:val="203"/>
        </w:trPr>
        <w:tc>
          <w:tcPr>
            <w:tcW w:w="7640" w:type="dxa"/>
            <w:vAlign w:val="bottom"/>
          </w:tcPr>
          <w:p>
            <w:pPr>
              <w:ind w:left="200"/>
              <w:spacing w:after="0"/>
              <w:rPr>
                <w:sz w:val="20"/>
                <w:szCs w:val="20"/>
                <w:color w:val="auto"/>
              </w:rPr>
            </w:pPr>
            <w:r>
              <w:rPr>
                <w:rFonts w:ascii="Arial" w:cs="Arial" w:eastAsia="Arial" w:hAnsi="Arial"/>
                <w:sz w:val="17"/>
                <w:szCs w:val="17"/>
                <w:color w:val="auto"/>
              </w:rPr>
              <w:t>Accrued expenses and other current liabilities</w:t>
            </w:r>
          </w:p>
        </w:tc>
        <w:tc>
          <w:tcPr>
            <w:tcW w:w="240" w:type="dxa"/>
            <w:vAlign w:val="bottom"/>
          </w:tcPr>
          <w:p>
            <w:pPr>
              <w:spacing w:after="0"/>
              <w:rPr>
                <w:sz w:val="17"/>
                <w:szCs w:val="17"/>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13,953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5,760</w:t>
            </w:r>
          </w:p>
        </w:tc>
      </w:tr>
      <w:tr>
        <w:trPr>
          <w:trHeight w:val="203"/>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Operating lease liabilities, current</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1,844</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1,521</w:t>
            </w:r>
          </w:p>
        </w:tc>
      </w:tr>
      <w:tr>
        <w:trPr>
          <w:trHeight w:val="203"/>
        </w:trPr>
        <w:tc>
          <w:tcPr>
            <w:tcW w:w="7640" w:type="dxa"/>
            <w:vAlign w:val="bottom"/>
          </w:tcPr>
          <w:p>
            <w:pPr>
              <w:ind w:left="200"/>
              <w:spacing w:after="0"/>
              <w:rPr>
                <w:sz w:val="20"/>
                <w:szCs w:val="20"/>
                <w:color w:val="auto"/>
              </w:rPr>
            </w:pPr>
            <w:r>
              <w:rPr>
                <w:rFonts w:ascii="Arial" w:cs="Arial" w:eastAsia="Arial" w:hAnsi="Arial"/>
                <w:sz w:val="17"/>
                <w:szCs w:val="17"/>
                <w:color w:val="auto"/>
              </w:rPr>
              <w:t>Deferred revenue</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248</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196"/>
        </w:trPr>
        <w:tc>
          <w:tcPr>
            <w:tcW w:w="7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Total current liabilities</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24,321</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13,632</w:t>
            </w:r>
          </w:p>
        </w:tc>
      </w:tr>
      <w:tr>
        <w:trPr>
          <w:trHeight w:val="203"/>
        </w:trPr>
        <w:tc>
          <w:tcPr>
            <w:tcW w:w="7640" w:type="dxa"/>
            <w:vAlign w:val="bottom"/>
          </w:tcPr>
          <w:p>
            <w:pPr>
              <w:ind w:left="20"/>
              <w:spacing w:after="0"/>
              <w:rPr>
                <w:sz w:val="20"/>
                <w:szCs w:val="20"/>
                <w:color w:val="auto"/>
              </w:rPr>
            </w:pPr>
            <w:r>
              <w:rPr>
                <w:rFonts w:ascii="Arial" w:cs="Arial" w:eastAsia="Arial" w:hAnsi="Arial"/>
                <w:sz w:val="17"/>
                <w:szCs w:val="17"/>
                <w:color w:val="auto"/>
              </w:rPr>
              <w:t>Operating lease liabilities, net of current portion</w:t>
            </w:r>
          </w:p>
        </w:tc>
        <w:tc>
          <w:tcPr>
            <w:tcW w:w="240" w:type="dxa"/>
            <w:vAlign w:val="bottom"/>
          </w:tcPr>
          <w:p>
            <w:pPr>
              <w:spacing w:after="0"/>
              <w:rPr>
                <w:sz w:val="17"/>
                <w:szCs w:val="17"/>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21,056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22,901</w:t>
            </w:r>
          </w:p>
        </w:tc>
      </w:tr>
      <w:tr>
        <w:trPr>
          <w:trHeight w:val="203"/>
        </w:trPr>
        <w:tc>
          <w:tcPr>
            <w:tcW w:w="7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Restricted stock liability</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3</w:t>
            </w:r>
          </w:p>
        </w:tc>
      </w:tr>
      <w:tr>
        <w:trPr>
          <w:trHeight w:val="203"/>
        </w:trPr>
        <w:tc>
          <w:tcPr>
            <w:tcW w:w="7640" w:type="dxa"/>
            <w:vAlign w:val="bottom"/>
          </w:tcPr>
          <w:p>
            <w:pPr>
              <w:ind w:left="20"/>
              <w:spacing w:after="0"/>
              <w:rPr>
                <w:sz w:val="20"/>
                <w:szCs w:val="20"/>
                <w:color w:val="auto"/>
              </w:rPr>
            </w:pPr>
            <w:r>
              <w:rPr>
                <w:rFonts w:ascii="Arial" w:cs="Arial" w:eastAsia="Arial" w:hAnsi="Arial"/>
                <w:sz w:val="17"/>
                <w:szCs w:val="17"/>
                <w:color w:val="auto"/>
              </w:rPr>
              <w:t>Contingent consideration liability</w:t>
            </w:r>
          </w:p>
        </w:tc>
        <w:tc>
          <w:tcPr>
            <w:tcW w:w="240" w:type="dxa"/>
            <w:vAlign w:val="bottom"/>
          </w:tcPr>
          <w:p>
            <w:pPr>
              <w:spacing w:after="0"/>
              <w:rPr>
                <w:sz w:val="17"/>
                <w:szCs w:val="17"/>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50,258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02"/>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Other liabilities</w:t>
            </w:r>
          </w:p>
        </w:tc>
        <w:tc>
          <w:tcPr>
            <w:tcW w:w="2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15,000</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w:t>
            </w:r>
          </w:p>
        </w:tc>
      </w:tr>
      <w:tr>
        <w:trPr>
          <w:trHeight w:val="196"/>
        </w:trPr>
        <w:tc>
          <w:tcPr>
            <w:tcW w:w="764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240" w:type="dxa"/>
            <w:vAlign w:val="bottom"/>
          </w:tcPr>
          <w:p>
            <w:pPr>
              <w:spacing w:after="0"/>
              <w:rPr>
                <w:sz w:val="17"/>
                <w:szCs w:val="17"/>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110,635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36,536</w:t>
            </w:r>
          </w:p>
        </w:tc>
      </w:tr>
      <w:tr>
        <w:trPr>
          <w:trHeight w:val="203"/>
        </w:trPr>
        <w:tc>
          <w:tcPr>
            <w:tcW w:w="7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Commitments and contingencies (Note 13)</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58"/>
        </w:trPr>
        <w:tc>
          <w:tcPr>
            <w:tcW w:w="764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Undesignated preferred stock, $0.001 par value, 10,000,000 shares</w:t>
            </w:r>
          </w:p>
        </w:tc>
        <w:tc>
          <w:tcPr>
            <w:tcW w:w="24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r>
      <w:tr>
        <w:trPr>
          <w:trHeight w:val="175"/>
        </w:trPr>
        <w:tc>
          <w:tcPr>
            <w:tcW w:w="7640" w:type="dxa"/>
            <w:vAlign w:val="bottom"/>
            <w:shd w:val="clear" w:color="auto" w:fill="CFF0FC"/>
          </w:tcPr>
          <w:p>
            <w:pPr>
              <w:ind w:left="320"/>
              <w:spacing w:after="0" w:line="176" w:lineRule="exact"/>
              <w:rPr>
                <w:sz w:val="20"/>
                <w:szCs w:val="20"/>
                <w:color w:val="auto"/>
              </w:rPr>
            </w:pPr>
            <w:r>
              <w:rPr>
                <w:rFonts w:ascii="Arial" w:cs="Arial" w:eastAsia="Arial" w:hAnsi="Arial"/>
                <w:sz w:val="17"/>
                <w:szCs w:val="17"/>
                <w:color w:val="auto"/>
              </w:rPr>
              <w:t>authorized as of December 31, 2021 and December 31, 2020; no</w:t>
            </w: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r>
      <w:tr>
        <w:trPr>
          <w:trHeight w:val="176"/>
        </w:trPr>
        <w:tc>
          <w:tcPr>
            <w:tcW w:w="7640" w:type="dxa"/>
            <w:vAlign w:val="bottom"/>
            <w:shd w:val="clear" w:color="auto" w:fill="CFF0FC"/>
          </w:tcPr>
          <w:p>
            <w:pPr>
              <w:ind w:left="320"/>
              <w:spacing w:after="0" w:line="176" w:lineRule="exact"/>
              <w:rPr>
                <w:sz w:val="20"/>
                <w:szCs w:val="20"/>
                <w:color w:val="auto"/>
              </w:rPr>
            </w:pPr>
            <w:r>
              <w:rPr>
                <w:rFonts w:ascii="Arial" w:cs="Arial" w:eastAsia="Arial" w:hAnsi="Arial"/>
                <w:sz w:val="17"/>
                <w:szCs w:val="17"/>
                <w:color w:val="auto"/>
              </w:rPr>
              <w:t>shares issued and outstanding at December 31, 2021 and</w:t>
            </w: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r>
      <w:tr>
        <w:trPr>
          <w:trHeight w:val="220"/>
        </w:trPr>
        <w:tc>
          <w:tcPr>
            <w:tcW w:w="7640" w:type="dxa"/>
            <w:vAlign w:val="bottom"/>
            <w:shd w:val="clear" w:color="auto" w:fill="CFF0FC"/>
          </w:tcPr>
          <w:p>
            <w:pPr>
              <w:ind w:left="320"/>
              <w:spacing w:after="0"/>
              <w:rPr>
                <w:sz w:val="20"/>
                <w:szCs w:val="20"/>
                <w:color w:val="auto"/>
              </w:rPr>
            </w:pPr>
            <w:r>
              <w:rPr>
                <w:rFonts w:ascii="Arial" w:cs="Arial" w:eastAsia="Arial" w:hAnsi="Arial"/>
                <w:sz w:val="17"/>
                <w:szCs w:val="17"/>
                <w:color w:val="auto"/>
              </w:rPr>
              <w:t>December 31, 2020</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r>
      <w:tr>
        <w:trPr>
          <w:trHeight w:val="158"/>
        </w:trPr>
        <w:tc>
          <w:tcPr>
            <w:tcW w:w="7640" w:type="dxa"/>
            <w:vAlign w:val="bottom"/>
          </w:tcPr>
          <w:p>
            <w:pPr>
              <w:ind w:left="200"/>
              <w:spacing w:after="0" w:line="158" w:lineRule="exact"/>
              <w:rPr>
                <w:sz w:val="20"/>
                <w:szCs w:val="20"/>
                <w:color w:val="auto"/>
              </w:rPr>
            </w:pPr>
            <w:r>
              <w:rPr>
                <w:rFonts w:ascii="Arial" w:cs="Arial" w:eastAsia="Arial" w:hAnsi="Arial"/>
                <w:sz w:val="17"/>
                <w:szCs w:val="17"/>
                <w:color w:val="auto"/>
              </w:rPr>
              <w:t>Common stock, $0.001 par value; 150,000,000 shares authorized</w:t>
            </w: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5"/>
        </w:trPr>
        <w:tc>
          <w:tcPr>
            <w:tcW w:w="7640" w:type="dxa"/>
            <w:vAlign w:val="bottom"/>
          </w:tcPr>
          <w:p>
            <w:pPr>
              <w:ind w:left="320"/>
              <w:spacing w:after="0" w:line="176" w:lineRule="exact"/>
              <w:rPr>
                <w:sz w:val="20"/>
                <w:szCs w:val="20"/>
                <w:color w:val="auto"/>
              </w:rPr>
            </w:pPr>
            <w:r>
              <w:rPr>
                <w:rFonts w:ascii="Arial" w:cs="Arial" w:eastAsia="Arial" w:hAnsi="Arial"/>
                <w:sz w:val="17"/>
                <w:szCs w:val="17"/>
                <w:color w:val="auto"/>
              </w:rPr>
              <w:t>at December 31, 2021 and December 31, 2020, respectively;</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7640" w:type="dxa"/>
            <w:vAlign w:val="bottom"/>
          </w:tcPr>
          <w:p>
            <w:pPr>
              <w:ind w:left="320"/>
              <w:spacing w:after="0" w:line="176" w:lineRule="exact"/>
              <w:rPr>
                <w:sz w:val="20"/>
                <w:szCs w:val="20"/>
                <w:color w:val="auto"/>
              </w:rPr>
            </w:pPr>
            <w:r>
              <w:rPr>
                <w:rFonts w:ascii="Arial" w:cs="Arial" w:eastAsia="Arial" w:hAnsi="Arial"/>
                <w:sz w:val="17"/>
                <w:szCs w:val="17"/>
                <w:color w:val="auto"/>
              </w:rPr>
              <w:t>108,210,318 and 89,991,324 shares issued at December 31, 2021 and</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7640" w:type="dxa"/>
            <w:vAlign w:val="bottom"/>
          </w:tcPr>
          <w:p>
            <w:pPr>
              <w:ind w:left="320"/>
              <w:spacing w:after="0" w:line="176" w:lineRule="exact"/>
              <w:rPr>
                <w:sz w:val="20"/>
                <w:szCs w:val="20"/>
                <w:color w:val="auto"/>
              </w:rPr>
            </w:pPr>
            <w:r>
              <w:rPr>
                <w:rFonts w:ascii="Arial" w:cs="Arial" w:eastAsia="Arial" w:hAnsi="Arial"/>
                <w:sz w:val="17"/>
                <w:szCs w:val="17"/>
                <w:color w:val="auto"/>
              </w:rPr>
              <w:t>December 31, 2020, respectively; 108,210,318 and 89,906,835 shares</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8"/>
        </w:trPr>
        <w:tc>
          <w:tcPr>
            <w:tcW w:w="7640" w:type="dxa"/>
            <w:vAlign w:val="bottom"/>
          </w:tcPr>
          <w:p>
            <w:pPr>
              <w:ind w:left="320"/>
              <w:spacing w:after="0"/>
              <w:rPr>
                <w:sz w:val="20"/>
                <w:szCs w:val="20"/>
                <w:color w:val="auto"/>
              </w:rPr>
            </w:pPr>
            <w:r>
              <w:rPr>
                <w:rFonts w:ascii="Arial" w:cs="Arial" w:eastAsia="Arial" w:hAnsi="Arial"/>
                <w:sz w:val="17"/>
                <w:szCs w:val="17"/>
                <w:color w:val="auto"/>
              </w:rPr>
              <w:t>outstanding at December 31, 2021 and December 31, 2020, respectively</w:t>
            </w:r>
          </w:p>
        </w:tc>
        <w:tc>
          <w:tcPr>
            <w:tcW w:w="240" w:type="dxa"/>
            <w:vAlign w:val="bottom"/>
          </w:tcPr>
          <w:p>
            <w:pPr>
              <w:spacing w:after="0"/>
              <w:rPr>
                <w:sz w:val="18"/>
                <w:szCs w:val="18"/>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109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90</w:t>
            </w:r>
          </w:p>
        </w:tc>
      </w:tr>
      <w:tr>
        <w:trPr>
          <w:trHeight w:val="205"/>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Additional paid-in capital</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1,666,887</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1,167,367</w:t>
            </w:r>
          </w:p>
        </w:tc>
      </w:tr>
      <w:tr>
        <w:trPr>
          <w:trHeight w:val="203"/>
        </w:trPr>
        <w:tc>
          <w:tcPr>
            <w:tcW w:w="7640" w:type="dxa"/>
            <w:vAlign w:val="bottom"/>
          </w:tcPr>
          <w:p>
            <w:pPr>
              <w:ind w:left="200"/>
              <w:spacing w:after="0"/>
              <w:rPr>
                <w:sz w:val="20"/>
                <w:szCs w:val="20"/>
                <w:color w:val="auto"/>
              </w:rPr>
            </w:pPr>
            <w:r>
              <w:rPr>
                <w:rFonts w:ascii="Arial" w:cs="Arial" w:eastAsia="Arial" w:hAnsi="Arial"/>
                <w:sz w:val="17"/>
                <w:szCs w:val="17"/>
                <w:color w:val="auto"/>
              </w:rPr>
              <w:t>Accumulated other comprehensive (loss) income</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(1,088 )</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64</w:t>
            </w:r>
          </w:p>
        </w:tc>
      </w:tr>
      <w:tr>
        <w:trPr>
          <w:trHeight w:val="203"/>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Accumulated deficit</w:t>
            </w:r>
          </w:p>
        </w:tc>
        <w:tc>
          <w:tcPr>
            <w:tcW w:w="2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(768,100 )</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(404,228 )</w:t>
            </w:r>
          </w:p>
        </w:tc>
      </w:tr>
      <w:tr>
        <w:trPr>
          <w:trHeight w:val="196"/>
        </w:trPr>
        <w:tc>
          <w:tcPr>
            <w:tcW w:w="7640" w:type="dxa"/>
            <w:vAlign w:val="bottom"/>
          </w:tcPr>
          <w:p>
            <w:pPr>
              <w:ind w:left="20"/>
              <w:spacing w:after="0"/>
              <w:rPr>
                <w:sz w:val="20"/>
                <w:szCs w:val="20"/>
                <w:color w:val="auto"/>
              </w:rPr>
            </w:pPr>
            <w:r>
              <w:rPr>
                <w:rFonts w:ascii="Arial" w:cs="Arial" w:eastAsia="Arial" w:hAnsi="Arial"/>
                <w:sz w:val="17"/>
                <w:szCs w:val="17"/>
                <w:color w:val="auto"/>
              </w:rPr>
              <w:t>Total stockholders’ equity</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897,808</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763,293</w:t>
            </w:r>
          </w:p>
        </w:tc>
      </w:tr>
      <w:tr>
        <w:trPr>
          <w:trHeight w:val="236"/>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1,008,443</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799,829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-4479925</wp:posOffset>
            </wp:positionV>
            <wp:extent cx="11112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-3699510</wp:posOffset>
            </wp:positionV>
            <wp:extent cx="11112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-2113915</wp:posOffset>
            </wp:positionV>
            <wp:extent cx="11112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-296545</wp:posOffset>
            </wp:positionV>
            <wp:extent cx="11112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1111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111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7" w:name="page138"/>
    <w:bookmarkEnd w:id="137"/>
    <w:p>
      <w:pPr>
        <w:jc w:val="center"/>
        <w:ind w:right="40"/>
        <w:spacing w:after="0"/>
        <w:rPr>
          <w:sz w:val="20"/>
          <w:szCs w:val="20"/>
          <w:color w:val="auto"/>
        </w:rPr>
      </w:pPr>
      <w:r>
        <w:rPr>
          <w:rFonts w:ascii="Arial" w:cs="Arial" w:eastAsia="Arial" w:hAnsi="Arial"/>
          <w:sz w:val="18"/>
          <w:szCs w:val="18"/>
          <w:color w:val="auto"/>
        </w:rPr>
        <w:t>Relay Therapeutics, Inc.</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Operations and Comprehensive Loss</w:t>
      </w: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License and other revenue</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3,029</w:t>
            </w: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82,654</w:t>
            </w:r>
          </w:p>
        </w:tc>
        <w:tc>
          <w:tcPr>
            <w:tcW w:w="4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3,029</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82,654</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 expenses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172,650</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99,862</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70,306</w:t>
            </w:r>
          </w:p>
        </w:tc>
        <w:tc>
          <w:tcPr>
            <w:tcW w:w="0" w:type="dxa"/>
            <w:vAlign w:val="bottom"/>
          </w:tcPr>
          <w:p>
            <w:pPr>
              <w:spacing w:after="0"/>
              <w:rPr>
                <w:sz w:val="1"/>
                <w:szCs w:val="1"/>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In-process research and development expenses</w:t>
            </w:r>
          </w:p>
        </w:tc>
        <w:tc>
          <w:tcPr>
            <w:tcW w:w="3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123,000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initial consolidation of variable interest entity</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11,855</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contingent consideration liability</w:t>
            </w:r>
          </w:p>
        </w:tc>
        <w:tc>
          <w:tcPr>
            <w:tcW w:w="3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2,836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 expenses</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57,386</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38,588</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13,742</w:t>
            </w:r>
          </w:p>
        </w:tc>
        <w:tc>
          <w:tcPr>
            <w:tcW w:w="0" w:type="dxa"/>
            <w:vAlign w:val="bottom"/>
          </w:tcPr>
          <w:p>
            <w:pPr>
              <w:spacing w:after="0"/>
              <w:rPr>
                <w:sz w:val="1"/>
                <w:szCs w:val="1"/>
                <w:color w:val="auto"/>
              </w:rPr>
            </w:pP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367,727</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138,450</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84,048</w:t>
            </w: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(364,698 )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(55,796 )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(84,048 )</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830</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3,400</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8,801</w:t>
            </w:r>
          </w:p>
        </w:tc>
        <w:tc>
          <w:tcPr>
            <w:tcW w:w="0" w:type="dxa"/>
            <w:vAlign w:val="bottom"/>
          </w:tcPr>
          <w:p>
            <w:pPr>
              <w:spacing w:after="0"/>
              <w:rPr>
                <w:sz w:val="1"/>
                <w:szCs w:val="1"/>
                <w:color w:val="auto"/>
              </w:rPr>
            </w:pPr>
          </w:p>
        </w:tc>
      </w:tr>
      <w:tr>
        <w:trPr>
          <w:trHeight w:val="202"/>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(4 )</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(16 )</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income, net</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826</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3,384</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8,743</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(363,872 )</w:t>
            </w:r>
          </w:p>
        </w:tc>
        <w:tc>
          <w:tcPr>
            <w:tcW w:w="480" w:type="dxa"/>
            <w:vAlign w:val="bottom"/>
            <w:tcBorders>
              <w:bottom w:val="single" w:sz="8" w:color="auto"/>
            </w:tcBorders>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(52,412 )</w:t>
            </w:r>
          </w:p>
        </w:tc>
        <w:tc>
          <w:tcPr>
            <w:tcW w:w="460" w:type="dxa"/>
            <w:vAlign w:val="bottom"/>
            <w:tcBorders>
              <w:bottom w:val="single" w:sz="8" w:color="auto"/>
            </w:tcBorders>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(75,305 )</w:t>
            </w:r>
          </w:p>
        </w:tc>
        <w:tc>
          <w:tcPr>
            <w:tcW w:w="0" w:type="dxa"/>
            <w:vAlign w:val="bottom"/>
          </w:tcPr>
          <w:p>
            <w:pPr>
              <w:spacing w:after="0"/>
              <w:rPr>
                <w:sz w:val="1"/>
                <w:szCs w:val="1"/>
                <w:color w:val="auto"/>
              </w:rPr>
            </w:pPr>
          </w:p>
        </w:tc>
      </w:tr>
      <w:tr>
        <w:trPr>
          <w:trHeight w:val="155"/>
        </w:trPr>
        <w:tc>
          <w:tcPr>
            <w:tcW w:w="656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Deemed dividend resulting from extinguishment upon modification of Series C</w:t>
            </w:r>
          </w:p>
        </w:tc>
        <w:tc>
          <w:tcPr>
            <w:tcW w:w="320" w:type="dxa"/>
            <w:vAlign w:val="bottom"/>
            <w:shd w:val="clear" w:color="auto" w:fill="CFF0FC"/>
          </w:tcPr>
          <w:p>
            <w:pPr>
              <w:spacing w:after="0"/>
              <w:rPr>
                <w:sz w:val="13"/>
                <w:szCs w:val="13"/>
                <w:color w:val="auto"/>
              </w:rPr>
            </w:pPr>
          </w:p>
        </w:tc>
        <w:tc>
          <w:tcPr>
            <w:tcW w:w="114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(177,789 )</w:t>
            </w: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preferred stock</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(363,872 )</w:t>
            </w:r>
          </w:p>
        </w:tc>
        <w:tc>
          <w:tcPr>
            <w:tcW w:w="48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(230,201 )</w:t>
            </w:r>
          </w:p>
        </w:tc>
        <w:tc>
          <w:tcPr>
            <w:tcW w:w="46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(75,305 )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attributable to common stockholders per share, basic and diluted</w:t>
            </w:r>
          </w:p>
        </w:tc>
        <w:tc>
          <w:tcPr>
            <w:tcW w:w="32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(3.82 )</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(5.40 )</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(21.82 )</w:t>
            </w:r>
          </w:p>
        </w:tc>
        <w:tc>
          <w:tcPr>
            <w:tcW w:w="0" w:type="dxa"/>
            <w:vAlign w:val="bottom"/>
          </w:tcPr>
          <w:p>
            <w:pPr>
              <w:spacing w:after="0"/>
              <w:rPr>
                <w:sz w:val="1"/>
                <w:szCs w:val="1"/>
                <w:color w:val="auto"/>
              </w:rPr>
            </w:pPr>
          </w:p>
        </w:tc>
      </w:tr>
      <w:tr>
        <w:trPr>
          <w:trHeight w:val="183"/>
        </w:trPr>
        <w:tc>
          <w:tcPr>
            <w:tcW w:w="6560" w:type="dxa"/>
            <w:vAlign w:val="bottom"/>
          </w:tcPr>
          <w:p>
            <w:pPr>
              <w:ind w:left="20"/>
              <w:spacing w:after="0" w:line="183" w:lineRule="exact"/>
              <w:rPr>
                <w:sz w:val="20"/>
                <w:szCs w:val="20"/>
                <w:color w:val="auto"/>
              </w:rPr>
            </w:pPr>
            <w:r>
              <w:rPr>
                <w:rFonts w:ascii="Arial" w:cs="Arial" w:eastAsia="Arial" w:hAnsi="Arial"/>
                <w:sz w:val="18"/>
                <w:szCs w:val="18"/>
                <w:color w:val="auto"/>
              </w:rPr>
              <w:t>Weighted average shares of common stock, basic and diluted</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
              <w:spacing w:after="0" w:line="183" w:lineRule="exact"/>
              <w:rPr>
                <w:sz w:val="20"/>
                <w:szCs w:val="20"/>
                <w:color w:val="auto"/>
              </w:rPr>
            </w:pPr>
            <w:r>
              <w:rPr>
                <w:rFonts w:ascii="Arial" w:cs="Arial" w:eastAsia="Arial" w:hAnsi="Arial"/>
                <w:sz w:val="18"/>
                <w:szCs w:val="18"/>
                <w:color w:val="auto"/>
              </w:rPr>
              <w:t>95,136,719</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1"/>
              <w:spacing w:after="0" w:line="183" w:lineRule="exact"/>
              <w:rPr>
                <w:sz w:val="20"/>
                <w:szCs w:val="20"/>
                <w:color w:val="auto"/>
              </w:rPr>
            </w:pPr>
            <w:r>
              <w:rPr>
                <w:rFonts w:ascii="Arial" w:cs="Arial" w:eastAsia="Arial" w:hAnsi="Arial"/>
                <w:sz w:val="18"/>
                <w:szCs w:val="18"/>
                <w:color w:val="auto"/>
              </w:rPr>
              <w:t>42,619,582</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1"/>
              <w:spacing w:after="0" w:line="183" w:lineRule="exact"/>
              <w:rPr>
                <w:sz w:val="20"/>
                <w:szCs w:val="20"/>
                <w:color w:val="auto"/>
              </w:rPr>
            </w:pPr>
            <w:r>
              <w:rPr>
                <w:rFonts w:ascii="Arial" w:cs="Arial" w:eastAsia="Arial" w:hAnsi="Arial"/>
                <w:sz w:val="18"/>
                <w:szCs w:val="18"/>
                <w:color w:val="auto"/>
              </w:rPr>
              <w:t>3,450,500</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Other comprehensive income (loss):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Unrealized holding (loss) gain</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(1,152 )</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(261 )</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other comprehensive (loss) income</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(1,152 )</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(261 )</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color w:val="auto"/>
              </w:rPr>
              <w:t>Total comprehensive loss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(365,024 )</w:t>
            </w:r>
          </w:p>
        </w:tc>
        <w:tc>
          <w:tcPr>
            <w:tcW w:w="48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(52,673 )</w:t>
            </w:r>
          </w:p>
        </w:tc>
        <w:tc>
          <w:tcPr>
            <w:tcW w:w="46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(74,980 )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-2971165</wp:posOffset>
            </wp:positionV>
            <wp:extent cx="9461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-2971165</wp:posOffset>
            </wp:positionV>
            <wp:extent cx="8572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-2190750</wp:posOffset>
            </wp:positionV>
            <wp:extent cx="9461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-2190750</wp:posOffset>
            </wp:positionV>
            <wp:extent cx="8572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-1024890</wp:posOffset>
            </wp:positionV>
            <wp:extent cx="9461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-1024890</wp:posOffset>
            </wp:positionV>
            <wp:extent cx="8572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-736600</wp:posOffset>
            </wp:positionV>
            <wp:extent cx="946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-719455</wp:posOffset>
            </wp:positionV>
            <wp:extent cx="9461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-736600</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-719455</wp:posOffset>
            </wp:positionV>
            <wp:extent cx="857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-159385</wp:posOffset>
            </wp:positionV>
            <wp:extent cx="9461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-159385</wp:posOffset>
            </wp:positionV>
            <wp:extent cx="8572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8" w:name="page139"/>
    <w:bookmarkEnd w:id="138"/>
    <w:p>
      <w:pPr>
        <w:jc w:val="center"/>
        <w:ind w:right="40"/>
        <w:spacing w:after="0"/>
        <w:rPr>
          <w:sz w:val="20"/>
          <w:szCs w:val="20"/>
          <w:color w:val="auto"/>
        </w:rPr>
      </w:pPr>
      <w:r>
        <w:rPr>
          <w:rFonts w:ascii="Arial" w:cs="Arial" w:eastAsia="Arial" w:hAnsi="Arial"/>
          <w:sz w:val="18"/>
          <w:szCs w:val="18"/>
          <w:color w:val="auto"/>
        </w:rPr>
        <w:t>Relay Therapeutics, Inc.</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Convertible Preferred Stock and Stockholders’ Equity (Deficit)</w:t>
      </w: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100" w:type="dxa"/>
            <w:vAlign w:val="bottom"/>
            <w:tcBorders>
              <w:right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Convertible Preferred</w:t>
            </w:r>
          </w:p>
        </w:tc>
        <w:tc>
          <w:tcPr>
            <w:tcW w:w="120" w:type="dxa"/>
            <w:vAlign w:val="bottom"/>
          </w:tcPr>
          <w:p>
            <w:pPr>
              <w:spacing w:after="0"/>
              <w:rPr>
                <w:sz w:val="14"/>
                <w:szCs w:val="14"/>
                <w:color w:val="auto"/>
              </w:rPr>
            </w:pPr>
          </w:p>
        </w:tc>
        <w:tc>
          <w:tcPr>
            <w:tcW w:w="156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9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116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860" w:type="dxa"/>
            <w:vAlign w:val="bottom"/>
            <w:tcBorders>
              <w:right w:val="single" w:sz="8" w:color="auto"/>
            </w:tcBorders>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ind w:right="28"/>
              <w:spacing w:after="0" w:line="133" w:lineRule="exact"/>
              <w:rPr>
                <w:sz w:val="20"/>
                <w:szCs w:val="20"/>
                <w:color w:val="auto"/>
              </w:rPr>
            </w:pPr>
            <w:r>
              <w:rPr>
                <w:rFonts w:ascii="Arial" w:cs="Arial" w:eastAsia="Arial" w:hAnsi="Arial"/>
                <w:sz w:val="14"/>
                <w:szCs w:val="14"/>
                <w:b w:val="1"/>
                <w:bCs w:val="1"/>
                <w:color w:val="auto"/>
                <w:w w:val="97"/>
              </w:rPr>
              <w:t>Par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8"/>
              </w:rPr>
              <w:t>Paid-in</w:t>
            </w:r>
          </w:p>
        </w:tc>
        <w:tc>
          <w:tcPr>
            <w:tcW w:w="122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Comprehensive</w:t>
            </w:r>
          </w:p>
        </w:tc>
        <w:tc>
          <w:tcPr>
            <w:tcW w:w="1100" w:type="dxa"/>
            <w:vAlign w:val="bottom"/>
            <w:gridSpan w:val="3"/>
          </w:tcPr>
          <w:p>
            <w:pPr>
              <w:jc w:val="right"/>
              <w:ind w:right="188"/>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86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Capital</w:t>
            </w: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94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69"/>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at December 31, 2018</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210,863,764</w:t>
            </w:r>
          </w:p>
        </w:tc>
        <w:tc>
          <w:tcPr>
            <w:tcW w:w="2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532,120</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2,998,017</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3,247</w:t>
            </w: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(114,177</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(110,927</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940" w:type="dxa"/>
            <w:vAlign w:val="bottom"/>
          </w:tcPr>
          <w:p>
            <w:pPr>
              <w:ind w:left="20"/>
              <w:spacing w:after="0" w:line="143" w:lineRule="exact"/>
              <w:rPr>
                <w:sz w:val="20"/>
                <w:szCs w:val="20"/>
                <w:color w:val="auto"/>
              </w:rPr>
            </w:pPr>
            <w:r>
              <w:rPr>
                <w:rFonts w:ascii="Arial" w:cs="Arial" w:eastAsia="Arial" w:hAnsi="Arial"/>
                <w:sz w:val="14"/>
                <w:szCs w:val="14"/>
                <w:color w:val="auto"/>
              </w:rPr>
              <w:t>Issuance of Series C convertible preferred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ind w:left="20"/>
              <w:spacing w:after="0" w:line="149" w:lineRule="exact"/>
              <w:rPr>
                <w:sz w:val="20"/>
                <w:szCs w:val="20"/>
                <w:color w:val="auto"/>
              </w:rPr>
            </w:pPr>
            <w:r>
              <w:rPr>
                <w:rFonts w:ascii="Arial" w:cs="Arial" w:eastAsia="Arial" w:hAnsi="Arial"/>
                <w:sz w:val="14"/>
                <w:szCs w:val="14"/>
                <w:color w:val="auto"/>
              </w:rPr>
              <w:t>stock,</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40" w:type="dxa"/>
            <w:vAlign w:val="bottom"/>
          </w:tcPr>
          <w:p>
            <w:pPr>
              <w:ind w:left="120"/>
              <w:spacing w:after="0"/>
              <w:rPr>
                <w:sz w:val="20"/>
                <w:szCs w:val="20"/>
                <w:color w:val="auto"/>
              </w:rPr>
            </w:pPr>
            <w:r>
              <w:rPr>
                <w:rFonts w:ascii="Arial" w:cs="Arial" w:eastAsia="Arial" w:hAnsi="Arial"/>
                <w:sz w:val="14"/>
                <w:szCs w:val="14"/>
                <w:color w:val="auto"/>
              </w:rPr>
              <w:t>net of issuance costs of $50</w:t>
            </w:r>
          </w:p>
        </w:tc>
        <w:tc>
          <w:tcPr>
            <w:tcW w:w="920" w:type="dxa"/>
            <w:vAlign w:val="bottom"/>
          </w:tcPr>
          <w:p>
            <w:pPr>
              <w:jc w:val="right"/>
              <w:spacing w:after="0"/>
              <w:rPr>
                <w:sz w:val="20"/>
                <w:szCs w:val="20"/>
                <w:color w:val="auto"/>
              </w:rPr>
            </w:pPr>
            <w:r>
              <w:rPr>
                <w:rFonts w:ascii="Arial" w:cs="Arial" w:eastAsia="Arial" w:hAnsi="Arial"/>
                <w:sz w:val="14"/>
                <w:szCs w:val="14"/>
                <w:color w:val="auto"/>
              </w:rPr>
              <w:t>1,779,093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5,661</w:t>
            </w: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9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upon exercise of</w:t>
            </w: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stock</w:t>
            </w: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options</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178,969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tcPr>
          <w:p>
            <w:pPr>
              <w:ind w:left="20"/>
              <w:spacing w:after="0"/>
              <w:rPr>
                <w:sz w:val="20"/>
                <w:szCs w:val="20"/>
                <w:color w:val="auto"/>
              </w:rPr>
            </w:pPr>
            <w:r>
              <w:rPr>
                <w:rFonts w:ascii="Arial" w:cs="Arial" w:eastAsia="Arial" w:hAnsi="Arial"/>
                <w:sz w:val="14"/>
                <w:szCs w:val="14"/>
                <w:color w:val="auto"/>
              </w:rPr>
              <w:t>Vesting of restricted common stock</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860,490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4,456</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4,456</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tcPr>
          <w:p>
            <w:pPr>
              <w:ind w:left="20"/>
              <w:spacing w:after="0"/>
              <w:rPr>
                <w:sz w:val="20"/>
                <w:szCs w:val="20"/>
                <w:color w:val="auto"/>
              </w:rPr>
            </w:pPr>
            <w:r>
              <w:rPr>
                <w:rFonts w:ascii="Arial" w:cs="Arial" w:eastAsia="Arial" w:hAnsi="Arial"/>
                <w:sz w:val="14"/>
                <w:szCs w:val="14"/>
                <w:color w:val="auto"/>
              </w:rPr>
              <w:t>Unrealized gain on investments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(75,305 )</w:t>
            </w: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(75,305 )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40" w:type="dxa"/>
            <w:vAlign w:val="bottom"/>
          </w:tcPr>
          <w:p>
            <w:pPr>
              <w:ind w:left="20"/>
              <w:spacing w:after="0"/>
              <w:rPr>
                <w:sz w:val="20"/>
                <w:szCs w:val="20"/>
                <w:color w:val="auto"/>
              </w:rPr>
            </w:pPr>
            <w:r>
              <w:rPr>
                <w:rFonts w:ascii="Arial" w:cs="Arial" w:eastAsia="Arial" w:hAnsi="Arial"/>
                <w:sz w:val="14"/>
                <w:szCs w:val="14"/>
                <w:color w:val="auto"/>
              </w:rPr>
              <w:t>Balances at December 31, 2019</w:t>
            </w:r>
          </w:p>
        </w:tc>
        <w:tc>
          <w:tcPr>
            <w:tcW w:w="920" w:type="dxa"/>
            <w:vAlign w:val="bottom"/>
          </w:tcPr>
          <w:p>
            <w:pPr>
              <w:jc w:val="right"/>
              <w:spacing w:after="0"/>
              <w:rPr>
                <w:sz w:val="20"/>
                <w:szCs w:val="20"/>
                <w:color w:val="auto"/>
              </w:rPr>
            </w:pPr>
            <w:r>
              <w:rPr>
                <w:rFonts w:ascii="Arial" w:cs="Arial" w:eastAsia="Arial" w:hAnsi="Arial"/>
                <w:sz w:val="14"/>
                <w:szCs w:val="14"/>
                <w:color w:val="auto"/>
              </w:rPr>
              <w:t>212,642,857</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537,781</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4,037,476</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8,715</w:t>
            </w:r>
          </w:p>
        </w:tc>
        <w:tc>
          <w:tcPr>
            <w:tcW w:w="22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325</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88"/>
              <w:spacing w:after="0"/>
              <w:rPr>
                <w:sz w:val="20"/>
                <w:szCs w:val="20"/>
                <w:color w:val="auto"/>
              </w:rPr>
            </w:pPr>
            <w:r>
              <w:rPr>
                <w:rFonts w:ascii="Arial" w:cs="Arial" w:eastAsia="Arial" w:hAnsi="Arial"/>
                <w:sz w:val="14"/>
                <w:szCs w:val="14"/>
                <w:color w:val="auto"/>
              </w:rPr>
              <w:t>(189,482 )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(180,438 )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940" w:type="dxa"/>
            <w:vAlign w:val="bottom"/>
            <w:shd w:val="clear" w:color="auto" w:fill="CFF0FC"/>
          </w:tcPr>
          <w:p>
            <w:pPr>
              <w:ind w:left="20"/>
              <w:spacing w:after="0" w:line="124" w:lineRule="exact"/>
              <w:rPr>
                <w:sz w:val="20"/>
                <w:szCs w:val="20"/>
                <w:color w:val="auto"/>
              </w:rPr>
            </w:pPr>
            <w:r>
              <w:rPr>
                <w:rFonts w:ascii="Arial" w:cs="Arial" w:eastAsia="Arial" w:hAnsi="Arial"/>
                <w:sz w:val="14"/>
                <w:szCs w:val="14"/>
                <w:color w:val="auto"/>
              </w:rPr>
              <w:t>Extinguishment upon modification of Series C</w:t>
            </w: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preferred stock</w:t>
            </w: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177,789</w:t>
            </w:r>
          </w:p>
        </w:tc>
        <w:tc>
          <w:tcPr>
            <w:tcW w:w="26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(15,455 )</w:t>
            </w: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(162,334 )</w:t>
            </w: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(177,789 )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40" w:type="dxa"/>
            <w:vAlign w:val="bottom"/>
          </w:tcPr>
          <w:p>
            <w:pPr>
              <w:ind w:left="20"/>
              <w:spacing w:after="0" w:line="143" w:lineRule="exact"/>
              <w:rPr>
                <w:sz w:val="20"/>
                <w:szCs w:val="20"/>
                <w:color w:val="auto"/>
              </w:rPr>
            </w:pPr>
            <w:r>
              <w:rPr>
                <w:rFonts w:ascii="Arial" w:cs="Arial" w:eastAsia="Arial" w:hAnsi="Arial"/>
                <w:sz w:val="14"/>
                <w:szCs w:val="14"/>
                <w:color w:val="auto"/>
              </w:rPr>
              <w:t>Conversion of convertible preferred stock into</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40" w:type="dxa"/>
            <w:vAlign w:val="bottom"/>
          </w:tcPr>
          <w:p>
            <w:pPr>
              <w:ind w:left="120"/>
              <w:spacing w:after="0"/>
              <w:rPr>
                <w:sz w:val="20"/>
                <w:szCs w:val="20"/>
                <w:color w:val="auto"/>
              </w:rPr>
            </w:pPr>
            <w:r>
              <w:rPr>
                <w:rFonts w:ascii="Arial" w:cs="Arial" w:eastAsia="Arial" w:hAnsi="Arial"/>
                <w:sz w:val="14"/>
                <w:szCs w:val="14"/>
                <w:color w:val="auto"/>
              </w:rPr>
              <w:t>common stock upon initial public offering</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(212,642,857 )</w:t>
            </w:r>
          </w:p>
        </w:tc>
        <w:tc>
          <w:tcPr>
            <w:tcW w:w="8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(715,570 )</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61,992,534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715,508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715,570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in follow-on</w:t>
            </w: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offering, net of</w:t>
            </w: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discounts and issuance costs of $34,707</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23,000,000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425,270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425,293</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4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upon exercise of</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ind w:left="20"/>
              <w:spacing w:after="0" w:line="149" w:lineRule="exact"/>
              <w:rPr>
                <w:sz w:val="20"/>
                <w:szCs w:val="20"/>
                <w:color w:val="auto"/>
              </w:rPr>
            </w:pPr>
            <w:r>
              <w:rPr>
                <w:rFonts w:ascii="Arial" w:cs="Arial" w:eastAsia="Arial" w:hAnsi="Arial"/>
                <w:sz w:val="14"/>
                <w:szCs w:val="14"/>
                <w:color w:val="auto"/>
              </w:rPr>
              <w:t>stock</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40" w:type="dxa"/>
            <w:vAlign w:val="bottom"/>
          </w:tcPr>
          <w:p>
            <w:pPr>
              <w:ind w:left="120"/>
              <w:spacing w:after="0"/>
              <w:rPr>
                <w:sz w:val="20"/>
                <w:szCs w:val="20"/>
                <w:color w:val="auto"/>
              </w:rPr>
            </w:pPr>
            <w:r>
              <w:rPr>
                <w:rFonts w:ascii="Arial" w:cs="Arial" w:eastAsia="Arial" w:hAnsi="Arial"/>
                <w:sz w:val="14"/>
                <w:szCs w:val="14"/>
                <w:color w:val="auto"/>
              </w:rPr>
              <w:t>options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297,000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1,216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common stock</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579,825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31,960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31,960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Unrealized loss on investments</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(261 )</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88"/>
              <w:spacing w:after="0"/>
              <w:rPr>
                <w:sz w:val="20"/>
                <w:szCs w:val="20"/>
                <w:color w:val="auto"/>
              </w:rPr>
            </w:pPr>
            <w:r>
              <w:rPr>
                <w:rFonts w:ascii="Arial" w:cs="Arial" w:eastAsia="Arial" w:hAnsi="Arial"/>
                <w:sz w:val="14"/>
                <w:szCs w:val="14"/>
                <w:color w:val="auto"/>
              </w:rPr>
              <w:t>(52,412 )</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(52,412 )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Balances at December 31, 2020</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right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89,906,835</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1,167,367</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(404,228</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763,293</w:t>
            </w:r>
          </w:p>
        </w:tc>
        <w:tc>
          <w:tcPr>
            <w:tcW w:w="6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940" w:type="dxa"/>
            <w:vAlign w:val="bottom"/>
          </w:tcPr>
          <w:p>
            <w:pPr>
              <w:ind w:left="20"/>
              <w:spacing w:after="0" w:line="156" w:lineRule="exact"/>
              <w:rPr>
                <w:sz w:val="20"/>
                <w:szCs w:val="20"/>
                <w:color w:val="auto"/>
              </w:rPr>
            </w:pPr>
            <w:r>
              <w:rPr>
                <w:rFonts w:ascii="Arial" w:cs="Arial" w:eastAsia="Arial" w:hAnsi="Arial"/>
                <w:sz w:val="14"/>
                <w:szCs w:val="14"/>
                <w:color w:val="auto"/>
              </w:rPr>
              <w:t>Purchase of common stock under ESPP</w:t>
            </w:r>
          </w:p>
        </w:tc>
        <w:tc>
          <w:tcPr>
            <w:tcW w:w="116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6" w:lineRule="exact"/>
              <w:rPr>
                <w:sz w:val="20"/>
                <w:szCs w:val="20"/>
                <w:color w:val="auto"/>
              </w:rPr>
            </w:pPr>
            <w:r>
              <w:rPr>
                <w:rFonts w:ascii="Arial" w:cs="Arial" w:eastAsia="Arial" w:hAnsi="Arial"/>
                <w:sz w:val="14"/>
                <w:szCs w:val="14"/>
                <w:color w:val="auto"/>
              </w:rPr>
              <w:t>43,685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line="156"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1,140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4"/>
                <w:szCs w:val="14"/>
                <w:color w:val="auto"/>
              </w:rPr>
              <w:t>1,141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9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upon exercise of</w:t>
            </w: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stock</w:t>
            </w: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options</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996,536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4,738</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4,739</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tcPr>
          <w:p>
            <w:pPr>
              <w:ind w:left="20"/>
              <w:spacing w:after="0"/>
              <w:rPr>
                <w:sz w:val="20"/>
                <w:szCs w:val="20"/>
                <w:color w:val="auto"/>
              </w:rPr>
            </w:pPr>
            <w:r>
              <w:rPr>
                <w:rFonts w:ascii="Arial" w:cs="Arial" w:eastAsia="Arial" w:hAnsi="Arial"/>
                <w:sz w:val="14"/>
                <w:szCs w:val="14"/>
                <w:color w:val="auto"/>
              </w:rPr>
              <w:t>Vesting of restricted common stock</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160,364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48,454</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48,454</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40" w:type="dxa"/>
            <w:vAlign w:val="bottom"/>
          </w:tcPr>
          <w:p>
            <w:pPr>
              <w:ind w:left="20"/>
              <w:spacing w:after="0" w:line="143" w:lineRule="exact"/>
              <w:rPr>
                <w:sz w:val="20"/>
                <w:szCs w:val="20"/>
                <w:color w:val="auto"/>
              </w:rPr>
            </w:pPr>
            <w:r>
              <w:rPr>
                <w:rFonts w:ascii="Arial" w:cs="Arial" w:eastAsia="Arial" w:hAnsi="Arial"/>
                <w:sz w:val="14"/>
                <w:szCs w:val="14"/>
                <w:color w:val="auto"/>
              </w:rPr>
              <w:t>Shares issued in connection with acquisition of</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40" w:type="dxa"/>
            <w:vAlign w:val="bottom"/>
          </w:tcPr>
          <w:p>
            <w:pPr>
              <w:ind w:left="120"/>
              <w:spacing w:after="0"/>
              <w:rPr>
                <w:sz w:val="20"/>
                <w:szCs w:val="20"/>
                <w:color w:val="auto"/>
              </w:rPr>
            </w:pPr>
            <w:r>
              <w:rPr>
                <w:rFonts w:ascii="Arial" w:cs="Arial" w:eastAsia="Arial" w:hAnsi="Arial"/>
                <w:sz w:val="14"/>
                <w:szCs w:val="14"/>
                <w:color w:val="auto"/>
              </w:rPr>
              <w:t>ZebiAI</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1,914,219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62,990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62,992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in follow-on</w:t>
            </w: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offering, net of</w:t>
            </w: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discounts and issuance costs of $20,290</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15,188,679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382,195</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382,210</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tcPr>
          <w:p>
            <w:pPr>
              <w:ind w:left="20"/>
              <w:spacing w:after="0"/>
              <w:rPr>
                <w:sz w:val="20"/>
                <w:szCs w:val="20"/>
                <w:color w:val="auto"/>
              </w:rPr>
            </w:pPr>
            <w:r>
              <w:rPr>
                <w:rFonts w:ascii="Arial" w:cs="Arial" w:eastAsia="Arial" w:hAnsi="Arial"/>
                <w:sz w:val="14"/>
                <w:szCs w:val="14"/>
                <w:color w:val="auto"/>
              </w:rPr>
              <w:t>Unrealized loss on investments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(1,152 )</w:t>
            </w:r>
          </w:p>
        </w:tc>
        <w:tc>
          <w:tcPr>
            <w:tcW w:w="16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(1,152 )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(363,872 )</w:t>
            </w: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(363,872 )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40" w:type="dxa"/>
            <w:vAlign w:val="bottom"/>
          </w:tcPr>
          <w:p>
            <w:pPr>
              <w:ind w:left="20"/>
              <w:spacing w:after="0"/>
              <w:rPr>
                <w:sz w:val="20"/>
                <w:szCs w:val="20"/>
                <w:color w:val="auto"/>
              </w:rPr>
            </w:pPr>
            <w:r>
              <w:rPr>
                <w:rFonts w:ascii="Arial" w:cs="Arial" w:eastAsia="Arial" w:hAnsi="Arial"/>
                <w:sz w:val="14"/>
                <w:szCs w:val="14"/>
                <w:color w:val="auto"/>
              </w:rPr>
              <w:t>Balances at December 31, 2021</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108,210,318</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109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1,666,887</w:t>
            </w:r>
          </w:p>
        </w:tc>
        <w:tc>
          <w:tcPr>
            <w:tcW w:w="22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(1,088 )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88"/>
              <w:spacing w:after="0"/>
              <w:rPr>
                <w:sz w:val="20"/>
                <w:szCs w:val="20"/>
                <w:color w:val="auto"/>
              </w:rPr>
            </w:pPr>
            <w:r>
              <w:rPr>
                <w:rFonts w:ascii="Arial" w:cs="Arial" w:eastAsia="Arial" w:hAnsi="Arial"/>
                <w:sz w:val="14"/>
                <w:szCs w:val="14"/>
                <w:color w:val="auto"/>
              </w:rPr>
              <w:t>(768,100 )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897,808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-3253740</wp:posOffset>
            </wp:positionV>
            <wp:extent cx="7683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-3253740</wp:posOffset>
            </wp:positionV>
            <wp:extent cx="7683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-3253740</wp:posOffset>
            </wp:positionV>
            <wp:extent cx="6858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-3253740</wp:posOffset>
            </wp:positionV>
            <wp:extent cx="685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-3253740</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-3253740</wp:posOffset>
            </wp:positionV>
            <wp:extent cx="685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-3253740</wp:posOffset>
            </wp:positionV>
            <wp:extent cx="685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-3253740</wp:posOffset>
            </wp:positionV>
            <wp:extent cx="3429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-1533525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-1517015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-1533525</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-1517015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-1533525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-1517015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-1533525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-1517015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-1533525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-1517015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-1533525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-1517015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-1533525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-1517015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-1533525</wp:posOffset>
            </wp:positionV>
            <wp:extent cx="342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-1517015</wp:posOffset>
            </wp:positionV>
            <wp:extent cx="342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-142240</wp:posOffset>
            </wp:positionV>
            <wp:extent cx="7683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-142240</wp:posOffset>
            </wp:positionV>
            <wp:extent cx="7683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-142240</wp:posOffset>
            </wp:positionV>
            <wp:extent cx="6858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-142240</wp:posOffset>
            </wp:positionV>
            <wp:extent cx="6858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-142240</wp:posOffset>
            </wp:positionV>
            <wp:extent cx="6858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-142240</wp:posOffset>
            </wp:positionV>
            <wp:extent cx="685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-142240</wp:posOffset>
            </wp:positionV>
            <wp:extent cx="6858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-142240</wp:posOffset>
            </wp:positionV>
            <wp:extent cx="3429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9" w:name="page140"/>
    <w:bookmarkEnd w:id="139"/>
    <w:p>
      <w:pPr>
        <w:jc w:val="center"/>
        <w:ind w:right="40"/>
        <w:spacing w:after="0"/>
        <w:rPr>
          <w:sz w:val="20"/>
          <w:szCs w:val="20"/>
          <w:color w:val="auto"/>
        </w:rPr>
      </w:pPr>
      <w:r>
        <w:rPr>
          <w:rFonts w:ascii="Arial" w:cs="Arial" w:eastAsia="Arial" w:hAnsi="Arial"/>
          <w:sz w:val="18"/>
          <w:szCs w:val="18"/>
          <w:color w:val="auto"/>
        </w:rPr>
        <w:t>Relay Therapeutics, Inc.</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Cash Flows</w:t>
      </w:r>
    </w:p>
    <w:p>
      <w:pPr>
        <w:jc w:val="center"/>
        <w:ind w:right="40"/>
        <w:spacing w:after="0"/>
        <w:rPr>
          <w:sz w:val="20"/>
          <w:szCs w:val="20"/>
          <w:color w:val="auto"/>
        </w:rPr>
      </w:pPr>
      <w:r>
        <w:rPr>
          <w:rFonts w:ascii="Arial" w:cs="Arial" w:eastAsia="Arial" w:hAnsi="Arial"/>
          <w:sz w:val="18"/>
          <w:szCs w:val="18"/>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5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(363,872 )</w:t>
            </w:r>
          </w:p>
        </w:tc>
        <w:tc>
          <w:tcPr>
            <w:tcW w:w="4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(52,412 )</w:t>
            </w:r>
          </w:p>
        </w:tc>
        <w:tc>
          <w:tcPr>
            <w:tcW w:w="14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(75,305 )</w:t>
            </w:r>
          </w:p>
        </w:tc>
        <w:tc>
          <w:tcPr>
            <w:tcW w:w="0" w:type="dxa"/>
            <w:vAlign w:val="bottom"/>
          </w:tcPr>
          <w:p>
            <w:pPr>
              <w:spacing w:after="0"/>
              <w:rPr>
                <w:sz w:val="1"/>
                <w:szCs w:val="1"/>
                <w:color w:val="auto"/>
              </w:rPr>
            </w:pPr>
          </w:p>
        </w:tc>
      </w:tr>
      <w:tr>
        <w:trPr>
          <w:trHeight w:val="189"/>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48,454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31,960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4,456</w:t>
            </w:r>
          </w:p>
        </w:tc>
        <w:tc>
          <w:tcPr>
            <w:tcW w:w="0" w:type="dxa"/>
            <w:vAlign w:val="bottom"/>
          </w:tcPr>
          <w:p>
            <w:pPr>
              <w:spacing w:after="0"/>
              <w:rPr>
                <w:sz w:val="1"/>
                <w:szCs w:val="1"/>
                <w:color w:val="auto"/>
              </w:rPr>
            </w:pPr>
          </w:p>
        </w:tc>
      </w:tr>
      <w:tr>
        <w:trPr>
          <w:trHeight w:val="189"/>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expense</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3,925</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3,549</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2,845</w:t>
            </w: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6"/>
                <w:szCs w:val="16"/>
                <w:color w:val="auto"/>
              </w:rPr>
              <w:t>Net amortization of premiums and discounts on investments</w:t>
            </w:r>
          </w:p>
        </w:tc>
        <w:tc>
          <w:tcPr>
            <w:tcW w:w="32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2,052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(416 )</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(2,495 )</w:t>
            </w:r>
          </w:p>
        </w:tc>
        <w:tc>
          <w:tcPr>
            <w:tcW w:w="0" w:type="dxa"/>
            <w:vAlign w:val="bottom"/>
          </w:tcPr>
          <w:p>
            <w:pPr>
              <w:spacing w:after="0"/>
              <w:rPr>
                <w:sz w:val="1"/>
                <w:szCs w:val="1"/>
                <w:color w:val="auto"/>
              </w:rPr>
            </w:pPr>
          </w:p>
        </w:tc>
      </w:tr>
      <w:tr>
        <w:trPr>
          <w:trHeight w:val="189"/>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Acquired in-process research and development</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123,000</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6"/>
                <w:szCs w:val="16"/>
                <w:color w:val="auto"/>
              </w:rPr>
              <w:t>Loss on initial consolidation of variable interest entity</w:t>
            </w:r>
          </w:p>
        </w:tc>
        <w:tc>
          <w:tcPr>
            <w:tcW w:w="32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11,855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 in fair value of contingent milestone liability</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2,836</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6"/>
                <w:szCs w:val="16"/>
                <w:color w:val="auto"/>
              </w:rPr>
              <w:t>Loss on sale of equipment</w:t>
            </w:r>
          </w:p>
        </w:tc>
        <w:tc>
          <w:tcPr>
            <w:tcW w:w="32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9"/>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(2,681 )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(4,665 )</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(2,123 )</w:t>
            </w:r>
          </w:p>
        </w:tc>
        <w:tc>
          <w:tcPr>
            <w:tcW w:w="0" w:type="dxa"/>
            <w:vAlign w:val="bottom"/>
          </w:tcPr>
          <w:p>
            <w:pPr>
              <w:spacing w:after="0"/>
              <w:rPr>
                <w:sz w:val="1"/>
                <w:szCs w:val="1"/>
                <w:color w:val="auto"/>
              </w:rPr>
            </w:pPr>
          </w:p>
        </w:tc>
      </w:tr>
      <w:tr>
        <w:trPr>
          <w:trHeight w:val="189"/>
        </w:trPr>
        <w:tc>
          <w:tcPr>
            <w:tcW w:w="6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assets and liabilities, net</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277</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571</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189"/>
        </w:trPr>
        <w:tc>
          <w:tcPr>
            <w:tcW w:w="65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(410 )</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189"/>
        </w:trPr>
        <w:tc>
          <w:tcPr>
            <w:tcW w:w="6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 and other liabilities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6,002</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2,010</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189"/>
        </w:trPr>
        <w:tc>
          <w:tcPr>
            <w:tcW w:w="652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74,677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(75,000 )</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Contract asset</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3,117</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(7,654 )</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520" w:type="dxa"/>
            <w:vAlign w:val="bottom"/>
          </w:tcPr>
          <w:p>
            <w:pPr>
              <w:ind w:left="20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15,000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w:t>
            </w:r>
          </w:p>
        </w:tc>
        <w:tc>
          <w:tcPr>
            <w:tcW w:w="1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(22 )</w:t>
            </w:r>
          </w:p>
        </w:tc>
        <w:tc>
          <w:tcPr>
            <w:tcW w:w="1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520" w:type="dxa"/>
            <w:vAlign w:val="bottom"/>
          </w:tcPr>
          <w:p>
            <w:pPr>
              <w:ind w:left="20"/>
              <w:spacing w:after="0" w:line="183" w:lineRule="exact"/>
              <w:rPr>
                <w:sz w:val="20"/>
                <w:szCs w:val="20"/>
                <w:color w:val="auto"/>
              </w:rPr>
            </w:pPr>
            <w:r>
              <w:rPr>
                <w:rFonts w:ascii="Arial" w:cs="Arial" w:eastAsia="Arial" w:hAnsi="Arial"/>
                <w:sz w:val="16"/>
                <w:szCs w:val="16"/>
                <w:color w:val="auto"/>
              </w:rPr>
              <w:t>Net cash used in operating activities</w:t>
            </w:r>
          </w:p>
        </w:tc>
        <w:tc>
          <w:tcPr>
            <w:tcW w:w="32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(74,406 )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(102,489 )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(66,133 )</w:t>
            </w:r>
          </w:p>
        </w:tc>
        <w:tc>
          <w:tcPr>
            <w:tcW w:w="0" w:type="dxa"/>
            <w:vAlign w:val="bottom"/>
          </w:tcPr>
          <w:p>
            <w:pPr>
              <w:spacing w:after="0"/>
              <w:rPr>
                <w:sz w:val="1"/>
                <w:szCs w:val="1"/>
                <w:color w:val="auto"/>
              </w:rPr>
            </w:pPr>
          </w:p>
        </w:tc>
      </w:tr>
      <w:tr>
        <w:trPr>
          <w:trHeight w:val="189"/>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(3,471 )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(1,931 )</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(8,002 )</w:t>
            </w:r>
          </w:p>
        </w:tc>
        <w:tc>
          <w:tcPr>
            <w:tcW w:w="0" w:type="dxa"/>
            <w:vAlign w:val="bottom"/>
          </w:tcPr>
          <w:p>
            <w:pPr>
              <w:spacing w:after="0"/>
              <w:rPr>
                <w:sz w:val="1"/>
                <w:szCs w:val="1"/>
                <w:color w:val="auto"/>
              </w:rPr>
            </w:pPr>
          </w:p>
        </w:tc>
      </w:tr>
      <w:tr>
        <w:trPr>
          <w:trHeight w:val="189"/>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sale of equipment</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(980,665 )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(266,455 )</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(553,517 )</w:t>
            </w:r>
          </w:p>
        </w:tc>
        <w:tc>
          <w:tcPr>
            <w:tcW w:w="0" w:type="dxa"/>
            <w:vAlign w:val="bottom"/>
          </w:tcPr>
          <w:p>
            <w:pPr>
              <w:spacing w:after="0"/>
              <w:rPr>
                <w:sz w:val="1"/>
                <w:szCs w:val="1"/>
                <w:color w:val="auto"/>
              </w:rPr>
            </w:pPr>
          </w:p>
        </w:tc>
      </w:tr>
      <w:tr>
        <w:trPr>
          <w:trHeight w:val="189"/>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maturities of investments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529,923</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350,058</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242,475</w:t>
            </w: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6"/>
                <w:szCs w:val="16"/>
                <w:color w:val="auto"/>
              </w:rPr>
              <w:t>Cash paid for acquisition of ZebiAI, net of cash acquired</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(25,298 )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65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(479,511 )</w:t>
            </w:r>
          </w:p>
        </w:tc>
        <w:tc>
          <w:tcPr>
            <w:tcW w:w="16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81,672</w:t>
            </w:r>
          </w:p>
        </w:tc>
        <w:tc>
          <w:tcPr>
            <w:tcW w:w="14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(319,024 )</w:t>
            </w: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convertible preferred stock, net of issuance costs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4,993</w:t>
            </w: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6"/>
                <w:szCs w:val="16"/>
                <w:color w:val="auto"/>
              </w:rPr>
              <w:t>Proceeds from issuance of common stock upon exercise of stock options</w:t>
            </w:r>
          </w:p>
        </w:tc>
        <w:tc>
          <w:tcPr>
            <w:tcW w:w="32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4,739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1,216</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189"/>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upon initial public offering, net</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425,293</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6"/>
                <w:szCs w:val="16"/>
                <w:color w:val="auto"/>
              </w:rPr>
              <w:t>Proceeds from issuance of common stock upon follow-on offering, net</w:t>
            </w:r>
          </w:p>
        </w:tc>
        <w:tc>
          <w:tcPr>
            <w:tcW w:w="32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382,210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under ESPP</w:t>
            </w:r>
          </w:p>
        </w:tc>
        <w:tc>
          <w:tcPr>
            <w:tcW w:w="3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1,141</w:t>
            </w:r>
          </w:p>
        </w:tc>
        <w:tc>
          <w:tcPr>
            <w:tcW w:w="16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520" w:type="dxa"/>
            <w:vAlign w:val="bottom"/>
          </w:tcPr>
          <w:p>
            <w:pPr>
              <w:ind w:left="2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388,090</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426,509</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5,606</w:t>
            </w:r>
          </w:p>
        </w:tc>
        <w:tc>
          <w:tcPr>
            <w:tcW w:w="0" w:type="dxa"/>
            <w:vAlign w:val="bottom"/>
          </w:tcPr>
          <w:p>
            <w:pPr>
              <w:spacing w:after="0"/>
              <w:rPr>
                <w:sz w:val="1"/>
                <w:szCs w:val="1"/>
                <w:color w:val="auto"/>
              </w:rPr>
            </w:pPr>
          </w:p>
        </w:tc>
      </w:tr>
      <w:tr>
        <w:trPr>
          <w:trHeight w:val="183"/>
        </w:trPr>
        <w:tc>
          <w:tcPr>
            <w:tcW w:w="65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Net (decrease) increase in cash, cash equivalents and restricted cash</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(165,827 )</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405,692</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(379,551 )</w:t>
            </w: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448,524</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42,832</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422,383</w:t>
            </w:r>
          </w:p>
        </w:tc>
        <w:tc>
          <w:tcPr>
            <w:tcW w:w="0" w:type="dxa"/>
            <w:vAlign w:val="bottom"/>
          </w:tcPr>
          <w:p>
            <w:pPr>
              <w:spacing w:after="0"/>
              <w:rPr>
                <w:sz w:val="1"/>
                <w:szCs w:val="1"/>
                <w:color w:val="auto"/>
              </w:rPr>
            </w:pPr>
          </w:p>
        </w:tc>
      </w:tr>
      <w:tr>
        <w:trPr>
          <w:trHeight w:val="183"/>
        </w:trPr>
        <w:tc>
          <w:tcPr>
            <w:tcW w:w="65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282,697</w:t>
            </w:r>
          </w:p>
        </w:tc>
        <w:tc>
          <w:tcPr>
            <w:tcW w:w="1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448,524</w:t>
            </w: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42,832</w:t>
            </w:r>
          </w:p>
        </w:tc>
        <w:tc>
          <w:tcPr>
            <w:tcW w:w="0" w:type="dxa"/>
            <w:vAlign w:val="bottom"/>
          </w:tcPr>
          <w:p>
            <w:pPr>
              <w:spacing w:after="0"/>
              <w:rPr>
                <w:sz w:val="1"/>
                <w:szCs w:val="1"/>
                <w:color w:val="auto"/>
              </w:rPr>
            </w:pPr>
          </w:p>
        </w:tc>
      </w:tr>
      <w:tr>
        <w:trPr>
          <w:trHeight w:val="183"/>
        </w:trPr>
        <w:tc>
          <w:tcPr>
            <w:tcW w:w="65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52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Property and equipment additions included in accounts</w:t>
            </w:r>
          </w:p>
        </w:tc>
        <w:tc>
          <w:tcPr>
            <w:tcW w:w="320" w:type="dxa"/>
            <w:vAlign w:val="bottom"/>
            <w:vMerge w:val="restart"/>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1,010</w:t>
            </w:r>
          </w:p>
        </w:tc>
        <w:tc>
          <w:tcPr>
            <w:tcW w:w="160" w:type="dxa"/>
            <w:vAlign w:val="bottom"/>
            <w:vMerge w:val="restart"/>
            <w:shd w:val="clear" w:color="auto" w:fill="CFF0FC"/>
          </w:tcPr>
          <w:p>
            <w:pPr>
              <w:spacing w:after="0"/>
              <w:rPr>
                <w:sz w:val="13"/>
                <w:szCs w:val="13"/>
                <w:color w:val="auto"/>
              </w:rPr>
            </w:pPr>
          </w:p>
        </w:tc>
        <w:tc>
          <w:tcPr>
            <w:tcW w:w="320" w:type="dxa"/>
            <w:vAlign w:val="bottom"/>
            <w:vMerge w:val="restart"/>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519</w:t>
            </w:r>
          </w:p>
        </w:tc>
        <w:tc>
          <w:tcPr>
            <w:tcW w:w="140" w:type="dxa"/>
            <w:vAlign w:val="bottom"/>
            <w:shd w:val="clear" w:color="auto" w:fill="CFF0FC"/>
          </w:tcPr>
          <w:p>
            <w:pPr>
              <w:spacing w:after="0"/>
              <w:rPr>
                <w:sz w:val="13"/>
                <w:szCs w:val="13"/>
                <w:color w:val="auto"/>
              </w:rPr>
            </w:pPr>
          </w:p>
        </w:tc>
        <w:tc>
          <w:tcPr>
            <w:tcW w:w="320" w:type="dxa"/>
            <w:vAlign w:val="bottom"/>
            <w:vMerge w:val="restart"/>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198"/>
        </w:trPr>
        <w:tc>
          <w:tcPr>
            <w:tcW w:w="6520" w:type="dxa"/>
            <w:vAlign w:val="bottom"/>
            <w:tcBorders>
              <w:bottom w:val="single" w:sz="8" w:color="CFF0FC"/>
            </w:tcBorders>
            <w:shd w:val="clear" w:color="auto" w:fill="CFF0FC"/>
          </w:tcPr>
          <w:p>
            <w:pPr>
              <w:ind w:left="320"/>
              <w:spacing w:after="0" w:line="138" w:lineRule="exact"/>
              <w:rPr>
                <w:sz w:val="20"/>
                <w:szCs w:val="20"/>
                <w:color w:val="auto"/>
              </w:rPr>
            </w:pPr>
            <w:r>
              <w:rPr>
                <w:rFonts w:ascii="Arial" w:cs="Arial" w:eastAsia="Arial" w:hAnsi="Arial"/>
                <w:sz w:val="16"/>
                <w:szCs w:val="16"/>
                <w:color w:val="auto"/>
              </w:rPr>
              <w:t>payable and accrued expenses</w:t>
            </w:r>
          </w:p>
        </w:tc>
        <w:tc>
          <w:tcPr>
            <w:tcW w:w="320" w:type="dxa"/>
            <w:vAlign w:val="bottom"/>
            <w:tcBorders>
              <w:bottom w:val="single" w:sz="8" w:color="auto"/>
            </w:tcBorders>
            <w:vMerge w:val="continue"/>
            <w:shd w:val="clear" w:color="auto" w:fill="CFF0FC"/>
          </w:tcPr>
          <w:p>
            <w:pPr>
              <w:spacing w:after="0"/>
              <w:rPr>
                <w:sz w:val="17"/>
                <w:szCs w:val="17"/>
                <w:color w:val="auto"/>
              </w:rPr>
            </w:pPr>
          </w:p>
        </w:tc>
        <w:tc>
          <w:tcPr>
            <w:tcW w:w="118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320" w:type="dxa"/>
            <w:vAlign w:val="bottom"/>
            <w:tcBorders>
              <w:bottom w:val="single" w:sz="8" w:color="auto"/>
            </w:tcBorders>
            <w:vMerge w:val="continue"/>
            <w:shd w:val="clear" w:color="auto" w:fill="CFF0FC"/>
          </w:tcPr>
          <w:p>
            <w:pPr>
              <w:spacing w:after="0"/>
              <w:rPr>
                <w:sz w:val="17"/>
                <w:szCs w:val="17"/>
                <w:color w:val="auto"/>
              </w:rPr>
            </w:pPr>
          </w:p>
        </w:tc>
        <w:tc>
          <w:tcPr>
            <w:tcW w:w="114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vMerge w:val="continue"/>
            <w:shd w:val="clear" w:color="auto" w:fill="CFF0FC"/>
          </w:tcPr>
          <w:p>
            <w:pPr>
              <w:spacing w:after="0"/>
              <w:rPr>
                <w:sz w:val="17"/>
                <w:szCs w:val="17"/>
                <w:color w:val="auto"/>
              </w:rPr>
            </w:pPr>
          </w:p>
        </w:tc>
        <w:tc>
          <w:tcPr>
            <w:tcW w:w="114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200"/>
              <w:spacing w:after="0" w:line="170" w:lineRule="exact"/>
              <w:rPr>
                <w:sz w:val="20"/>
                <w:szCs w:val="20"/>
                <w:color w:val="auto"/>
              </w:rPr>
            </w:pPr>
            <w:r>
              <w:rPr>
                <w:rFonts w:ascii="Arial" w:cs="Arial" w:eastAsia="Arial" w:hAnsi="Arial"/>
                <w:sz w:val="16"/>
                <w:szCs w:val="16"/>
                <w:color w:val="auto"/>
              </w:rPr>
              <w:t>Reclassification of restricted stock liability to additional paid-in capital</w:t>
            </w:r>
          </w:p>
        </w:tc>
        <w:tc>
          <w:tcPr>
            <w:tcW w:w="3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3</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line="170" w:lineRule="exact"/>
              <w:rPr>
                <w:sz w:val="20"/>
                <w:szCs w:val="20"/>
                <w:color w:val="auto"/>
              </w:rPr>
            </w:pPr>
            <w:r>
              <w:rPr>
                <w:rFonts w:ascii="Arial" w:cs="Arial" w:eastAsia="Arial" w:hAnsi="Arial"/>
                <w:sz w:val="16"/>
                <w:szCs w:val="16"/>
                <w:color w:val="auto"/>
              </w:rPr>
              <w:t>153</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line="170" w:lineRule="exact"/>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tcBorders>
              <w:bottom w:val="single" w:sz="8" w:color="CFF0FC"/>
            </w:tcBorders>
            <w:shd w:val="clear" w:color="auto" w:fill="CFF0FC"/>
          </w:tcPr>
          <w:p>
            <w:pPr>
              <w:ind w:left="200"/>
              <w:spacing w:after="0" w:line="170" w:lineRule="exact"/>
              <w:rPr>
                <w:sz w:val="20"/>
                <w:szCs w:val="20"/>
                <w:color w:val="auto"/>
              </w:rPr>
            </w:pPr>
            <w:r>
              <w:rPr>
                <w:rFonts w:ascii="Arial" w:cs="Arial" w:eastAsia="Arial" w:hAnsi="Arial"/>
                <w:sz w:val="16"/>
                <w:szCs w:val="16"/>
                <w:color w:val="auto"/>
              </w:rPr>
              <w:t>Assets obtained in asset acquisition</w:t>
            </w:r>
          </w:p>
        </w:tc>
        <w:tc>
          <w:tcPr>
            <w:tcW w:w="320" w:type="dxa"/>
            <w:vAlign w:val="bottom"/>
            <w:tcBorders>
              <w:top w:val="single" w:sz="8" w:color="auto"/>
              <w:bottom w:val="single" w:sz="8" w:color="auto"/>
            </w:tcBorders>
            <w:shd w:val="clear" w:color="auto" w:fill="CFF0FC"/>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662</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FF0FC"/>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FF0FC"/>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6520" w:type="dxa"/>
            <w:vAlign w:val="bottom"/>
          </w:tcPr>
          <w:p>
            <w:pPr>
              <w:ind w:left="200"/>
              <w:spacing w:after="0" w:line="170" w:lineRule="exact"/>
              <w:rPr>
                <w:sz w:val="20"/>
                <w:szCs w:val="20"/>
                <w:color w:val="auto"/>
              </w:rPr>
            </w:pPr>
            <w:r>
              <w:rPr>
                <w:rFonts w:ascii="Arial" w:cs="Arial" w:eastAsia="Arial" w:hAnsi="Arial"/>
                <w:sz w:val="16"/>
                <w:szCs w:val="16"/>
                <w:color w:val="auto"/>
              </w:rPr>
              <w:t>Liabilities assumed in asset acquisition</w:t>
            </w:r>
          </w:p>
        </w:tc>
        <w:tc>
          <w:tcPr>
            <w:tcW w:w="3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2,330</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tcBorders>
              <w:bottom w:val="single" w:sz="8" w:color="CFF0FC"/>
            </w:tcBorders>
            <w:shd w:val="clear" w:color="auto" w:fill="CFF0FC"/>
          </w:tcPr>
          <w:p>
            <w:pPr>
              <w:ind w:left="200"/>
              <w:spacing w:after="0" w:line="170" w:lineRule="exact"/>
              <w:rPr>
                <w:sz w:val="20"/>
                <w:szCs w:val="20"/>
                <w:color w:val="auto"/>
              </w:rPr>
            </w:pPr>
            <w:r>
              <w:rPr>
                <w:rFonts w:ascii="Arial" w:cs="Arial" w:eastAsia="Arial" w:hAnsi="Arial"/>
                <w:sz w:val="16"/>
                <w:szCs w:val="16"/>
                <w:color w:val="auto"/>
              </w:rPr>
              <w:t>Fair value of equity issued in connection with asset acquisition</w:t>
            </w:r>
          </w:p>
        </w:tc>
        <w:tc>
          <w:tcPr>
            <w:tcW w:w="320" w:type="dxa"/>
            <w:vAlign w:val="bottom"/>
            <w:tcBorders>
              <w:top w:val="single" w:sz="8" w:color="auto"/>
              <w:bottom w:val="single" w:sz="8" w:color="auto"/>
            </w:tcBorders>
            <w:shd w:val="clear" w:color="auto" w:fill="CFF0FC"/>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62,990</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FF0FC"/>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FF0FC"/>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6520" w:type="dxa"/>
            <w:vAlign w:val="bottom"/>
          </w:tcPr>
          <w:p>
            <w:pPr>
              <w:ind w:left="200"/>
              <w:spacing w:after="0" w:line="170" w:lineRule="exact"/>
              <w:rPr>
                <w:sz w:val="20"/>
                <w:szCs w:val="20"/>
                <w:color w:val="auto"/>
              </w:rPr>
            </w:pPr>
            <w:r>
              <w:rPr>
                <w:rFonts w:ascii="Arial" w:cs="Arial" w:eastAsia="Arial" w:hAnsi="Arial"/>
                <w:sz w:val="16"/>
                <w:szCs w:val="16"/>
                <w:color w:val="auto"/>
              </w:rPr>
              <w:t>Extinguishment upon modification of Series C preferred stock</w:t>
            </w:r>
          </w:p>
        </w:tc>
        <w:tc>
          <w:tcPr>
            <w:tcW w:w="320" w:type="dxa"/>
            <w:vAlign w:val="bottom"/>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Pr>
          <w:p>
            <w:pPr>
              <w:jc w:val="right"/>
              <w:ind w:right="39"/>
              <w:spacing w:after="0" w:line="170" w:lineRule="exact"/>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139"/>
              <w:spacing w:after="0" w:line="170"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70" w:lineRule="exact"/>
              <w:rPr>
                <w:sz w:val="20"/>
                <w:szCs w:val="20"/>
                <w:color w:val="auto"/>
              </w:rPr>
            </w:pPr>
            <w:r>
              <w:rPr>
                <w:rFonts w:ascii="Arial" w:cs="Arial" w:eastAsia="Arial" w:hAnsi="Arial"/>
                <w:sz w:val="16"/>
                <w:szCs w:val="16"/>
                <w:color w:val="auto"/>
              </w:rPr>
              <w:t>(177,789 )</w:t>
            </w:r>
          </w:p>
        </w:tc>
        <w:tc>
          <w:tcPr>
            <w:tcW w:w="140" w:type="dxa"/>
            <w:vAlign w:val="bottom"/>
          </w:tcPr>
          <w:p>
            <w:pPr>
              <w:spacing w:after="0"/>
              <w:rPr>
                <w:sz w:val="14"/>
                <w:szCs w:val="14"/>
                <w:color w:val="auto"/>
              </w:rPr>
            </w:pPr>
          </w:p>
        </w:tc>
        <w:tc>
          <w:tcPr>
            <w:tcW w:w="320" w:type="dxa"/>
            <w:vAlign w:val="bottom"/>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520" w:type="dxa"/>
            <w:vAlign w:val="bottom"/>
            <w:shd w:val="clear" w:color="auto" w:fill="CFF0FC"/>
          </w:tcPr>
          <w:p>
            <w:pPr>
              <w:ind w:left="200"/>
              <w:spacing w:after="0" w:line="133" w:lineRule="exact"/>
              <w:rPr>
                <w:sz w:val="20"/>
                <w:szCs w:val="20"/>
                <w:color w:val="auto"/>
              </w:rPr>
            </w:pPr>
            <w:r>
              <w:rPr>
                <w:rFonts w:ascii="Arial" w:cs="Arial" w:eastAsia="Arial" w:hAnsi="Arial"/>
                <w:sz w:val="15"/>
                <w:szCs w:val="15"/>
                <w:color w:val="auto"/>
              </w:rPr>
              <w:t>Conversion of preferred stock into common stock upon initial</w:t>
            </w:r>
          </w:p>
        </w:tc>
        <w:tc>
          <w:tcPr>
            <w:tcW w:w="320" w:type="dxa"/>
            <w:vAlign w:val="bottom"/>
            <w:vMerge w:val="restart"/>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FF0FC"/>
          </w:tcPr>
          <w:p>
            <w:pPr>
              <w:spacing w:after="0"/>
              <w:rPr>
                <w:sz w:val="11"/>
                <w:szCs w:val="11"/>
                <w:color w:val="auto"/>
              </w:rPr>
            </w:pPr>
          </w:p>
        </w:tc>
        <w:tc>
          <w:tcPr>
            <w:tcW w:w="320" w:type="dxa"/>
            <w:vAlign w:val="bottom"/>
            <w:vMerge w:val="restart"/>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715,508</w:t>
            </w: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4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6520" w:type="dxa"/>
            <w:vAlign w:val="bottom"/>
            <w:tcBorders>
              <w:bottom w:val="single" w:sz="8" w:color="CFF0FC"/>
            </w:tcBorders>
            <w:shd w:val="clear" w:color="auto" w:fill="CFF0FC"/>
          </w:tcPr>
          <w:p>
            <w:pPr>
              <w:ind w:left="320"/>
              <w:spacing w:after="0" w:line="138" w:lineRule="exact"/>
              <w:rPr>
                <w:sz w:val="20"/>
                <w:szCs w:val="20"/>
                <w:color w:val="auto"/>
              </w:rPr>
            </w:pPr>
            <w:r>
              <w:rPr>
                <w:rFonts w:ascii="Arial" w:cs="Arial" w:eastAsia="Arial" w:hAnsi="Arial"/>
                <w:sz w:val="16"/>
                <w:szCs w:val="16"/>
                <w:color w:val="auto"/>
              </w:rPr>
              <w:t>public offering</w:t>
            </w:r>
          </w:p>
        </w:tc>
        <w:tc>
          <w:tcPr>
            <w:tcW w:w="320" w:type="dxa"/>
            <w:vAlign w:val="bottom"/>
            <w:tcBorders>
              <w:bottom w:val="single" w:sz="8" w:color="auto"/>
            </w:tcBorders>
            <w:vMerge w:val="continue"/>
            <w:shd w:val="clear" w:color="auto" w:fill="CFF0FC"/>
          </w:tcPr>
          <w:p>
            <w:pPr>
              <w:spacing w:after="0"/>
              <w:rPr>
                <w:sz w:val="17"/>
                <w:szCs w:val="17"/>
                <w:color w:val="auto"/>
              </w:rPr>
            </w:pPr>
          </w:p>
        </w:tc>
        <w:tc>
          <w:tcPr>
            <w:tcW w:w="118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320" w:type="dxa"/>
            <w:vAlign w:val="bottom"/>
            <w:tcBorders>
              <w:bottom w:val="single" w:sz="8" w:color="auto"/>
            </w:tcBorders>
            <w:vMerge w:val="continue"/>
            <w:shd w:val="clear" w:color="auto" w:fill="CFF0FC"/>
          </w:tcPr>
          <w:p>
            <w:pPr>
              <w:spacing w:after="0"/>
              <w:rPr>
                <w:sz w:val="17"/>
                <w:szCs w:val="17"/>
                <w:color w:val="auto"/>
              </w:rPr>
            </w:pPr>
          </w:p>
        </w:tc>
        <w:tc>
          <w:tcPr>
            <w:tcW w:w="114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200"/>
              <w:spacing w:after="0" w:line="170" w:lineRule="exact"/>
              <w:rPr>
                <w:sz w:val="20"/>
                <w:szCs w:val="20"/>
                <w:color w:val="auto"/>
              </w:rPr>
            </w:pPr>
            <w:r>
              <w:rPr>
                <w:rFonts w:ascii="Arial" w:cs="Arial" w:eastAsia="Arial" w:hAnsi="Arial"/>
                <w:sz w:val="16"/>
                <w:szCs w:val="16"/>
                <w:color w:val="auto"/>
              </w:rPr>
              <w:t>Right of use asset obtained in exchange for lease obligation</w:t>
            </w:r>
          </w:p>
        </w:tc>
        <w:tc>
          <w:tcPr>
            <w:tcW w:w="320" w:type="dxa"/>
            <w:vAlign w:val="bottom"/>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Pr>
          <w:p>
            <w:pPr>
              <w:jc w:val="right"/>
              <w:ind w:right="39"/>
              <w:spacing w:after="0" w:line="170" w:lineRule="exact"/>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139"/>
              <w:spacing w:after="0" w:line="170"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line="170" w:lineRule="exact"/>
              <w:rPr>
                <w:sz w:val="20"/>
                <w:szCs w:val="20"/>
                <w:color w:val="auto"/>
              </w:rPr>
            </w:pPr>
            <w:r>
              <w:rPr>
                <w:rFonts w:ascii="Arial" w:cs="Arial" w:eastAsia="Arial" w:hAnsi="Arial"/>
                <w:sz w:val="16"/>
                <w:szCs w:val="16"/>
                <w:color w:val="auto"/>
              </w:rPr>
              <w:t>819</w:t>
            </w:r>
          </w:p>
        </w:tc>
        <w:tc>
          <w:tcPr>
            <w:tcW w:w="140" w:type="dxa"/>
            <w:vAlign w:val="bottom"/>
          </w:tcPr>
          <w:p>
            <w:pPr>
              <w:spacing w:after="0"/>
              <w:rPr>
                <w:sz w:val="14"/>
                <w:szCs w:val="14"/>
                <w:color w:val="auto"/>
              </w:rPr>
            </w:pPr>
          </w:p>
        </w:tc>
        <w:tc>
          <w:tcPr>
            <w:tcW w:w="320" w:type="dxa"/>
            <w:vAlign w:val="bottom"/>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line="170" w:lineRule="exact"/>
              <w:rPr>
                <w:sz w:val="20"/>
                <w:szCs w:val="20"/>
                <w:color w:val="auto"/>
              </w:rPr>
            </w:pPr>
            <w:r>
              <w:rPr>
                <w:rFonts w:ascii="Arial" w:cs="Arial" w:eastAsia="Arial" w:hAnsi="Arial"/>
                <w:sz w:val="16"/>
                <w:szCs w:val="16"/>
                <w:color w:val="auto"/>
              </w:rPr>
              <w:t>24,936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-3648075</wp:posOffset>
            </wp:positionV>
            <wp:extent cx="10287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-3648075</wp:posOffset>
            </wp:positionV>
            <wp:extent cx="9398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-1445260</wp:posOffset>
            </wp:positionV>
            <wp:extent cx="10287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-1445260</wp:posOffset>
            </wp:positionV>
            <wp:extent cx="939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-1122045</wp:posOffset>
            </wp:positionV>
            <wp:extent cx="1028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-1104900</wp:posOffset>
            </wp:positionV>
            <wp:extent cx="1028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-1122045</wp:posOffset>
            </wp:positionV>
            <wp:extent cx="939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-1104900</wp:posOffset>
            </wp:positionV>
            <wp:extent cx="939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-830580</wp:posOffset>
            </wp:positionV>
            <wp:extent cx="1028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-814070</wp:posOffset>
            </wp:positionV>
            <wp:extent cx="1028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-830580</wp:posOffset>
            </wp:positionV>
            <wp:extent cx="939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-814070</wp:posOffset>
            </wp:positionV>
            <wp:extent cx="939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-539115</wp:posOffset>
            </wp:positionV>
            <wp:extent cx="1028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-521970</wp:posOffset>
            </wp:positionV>
            <wp:extent cx="1028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-539115</wp:posOffset>
            </wp:positionV>
            <wp:extent cx="939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-521970</wp:posOffset>
            </wp:positionV>
            <wp:extent cx="939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1028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-153670</wp:posOffset>
            </wp:positionV>
            <wp:extent cx="1028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939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-153670</wp:posOffset>
            </wp:positionV>
            <wp:extent cx="939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Reconciliation of Cash, Cash Equivalents and Restricted Cash from Balance Sheets to 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600" w:type="dxa"/>
            <w:vAlign w:val="bottom"/>
          </w:tcPr>
          <w:p>
            <w:pPr>
              <w:ind w:left="20"/>
              <w:spacing w:after="0" w:line="183" w:lineRule="exact"/>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line="183" w:lineRule="exact"/>
              <w:rPr>
                <w:sz w:val="20"/>
                <w:szCs w:val="20"/>
                <w:color w:val="auto"/>
              </w:rPr>
            </w:pPr>
            <w:r>
              <w:rPr>
                <w:rFonts w:ascii="Arial" w:cs="Arial" w:eastAsia="Arial" w:hAnsi="Arial"/>
                <w:sz w:val="16"/>
                <w:szCs w:val="16"/>
                <w:color w:val="auto"/>
              </w:rPr>
              <w:t>280,119</w:t>
            </w:r>
          </w:p>
        </w:tc>
        <w:tc>
          <w:tcPr>
            <w:tcW w:w="140" w:type="dxa"/>
            <w:vAlign w:val="bottom"/>
          </w:tcPr>
          <w:p>
            <w:pPr>
              <w:spacing w:after="0"/>
              <w:rPr>
                <w:sz w:val="15"/>
                <w:szCs w:val="15"/>
                <w:color w:val="auto"/>
              </w:rPr>
            </w:pPr>
          </w:p>
        </w:tc>
        <w:tc>
          <w:tcPr>
            <w:tcW w:w="320" w:type="dxa"/>
            <w:vAlign w:val="bottom"/>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line="183" w:lineRule="exact"/>
              <w:rPr>
                <w:sz w:val="20"/>
                <w:szCs w:val="20"/>
                <w:color w:val="auto"/>
              </w:rPr>
            </w:pPr>
            <w:r>
              <w:rPr>
                <w:rFonts w:ascii="Arial" w:cs="Arial" w:eastAsia="Arial" w:hAnsi="Arial"/>
                <w:sz w:val="16"/>
                <w:szCs w:val="16"/>
                <w:color w:val="auto"/>
              </w:rPr>
              <w:t>447,646</w:t>
            </w:r>
          </w:p>
        </w:tc>
        <w:tc>
          <w:tcPr>
            <w:tcW w:w="160" w:type="dxa"/>
            <w:vAlign w:val="bottom"/>
          </w:tcPr>
          <w:p>
            <w:pPr>
              <w:spacing w:after="0"/>
              <w:rPr>
                <w:sz w:val="15"/>
                <w:szCs w:val="15"/>
                <w:color w:val="auto"/>
              </w:rPr>
            </w:pPr>
          </w:p>
        </w:tc>
        <w:tc>
          <w:tcPr>
            <w:tcW w:w="300" w:type="dxa"/>
            <w:vAlign w:val="bottom"/>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line="183" w:lineRule="exact"/>
              <w:rPr>
                <w:sz w:val="20"/>
                <w:szCs w:val="20"/>
                <w:color w:val="auto"/>
              </w:rPr>
            </w:pPr>
            <w:r>
              <w:rPr>
                <w:rFonts w:ascii="Arial" w:cs="Arial" w:eastAsia="Arial" w:hAnsi="Arial"/>
                <w:sz w:val="16"/>
                <w:szCs w:val="16"/>
                <w:color w:val="auto"/>
              </w:rPr>
              <w:t>41,954</w:t>
            </w:r>
          </w:p>
        </w:tc>
        <w:tc>
          <w:tcPr>
            <w:tcW w:w="0" w:type="dxa"/>
            <w:vAlign w:val="bottom"/>
          </w:tcPr>
          <w:p>
            <w:pPr>
              <w:spacing w:after="0"/>
              <w:rPr>
                <w:sz w:val="1"/>
                <w:szCs w:val="1"/>
                <w:color w:val="auto"/>
              </w:rPr>
            </w:pPr>
          </w:p>
        </w:tc>
      </w:tr>
      <w:tr>
        <w:trPr>
          <w:trHeight w:val="189"/>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Restricted cash</w:t>
            </w: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2,578</w:t>
            </w:r>
          </w:p>
        </w:tc>
        <w:tc>
          <w:tcPr>
            <w:tcW w:w="1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878</w:t>
            </w: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146"/>
        </w:trPr>
        <w:tc>
          <w:tcPr>
            <w:tcW w:w="6600" w:type="dxa"/>
            <w:vAlign w:val="bottom"/>
          </w:tcPr>
          <w:p>
            <w:pPr>
              <w:ind w:left="20"/>
              <w:spacing w:after="0" w:line="146" w:lineRule="exact"/>
              <w:rPr>
                <w:sz w:val="20"/>
                <w:szCs w:val="20"/>
                <w:color w:val="auto"/>
              </w:rPr>
            </w:pPr>
            <w:r>
              <w:rPr>
                <w:rFonts w:ascii="Arial" w:cs="Arial" w:eastAsia="Arial" w:hAnsi="Arial"/>
                <w:sz w:val="16"/>
                <w:szCs w:val="16"/>
                <w:color w:val="auto"/>
              </w:rPr>
              <w:t>Total cash, cash equivalents and restricted cash as shown on consolidated</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ind w:right="41"/>
              <w:spacing w:after="0"/>
              <w:rPr>
                <w:sz w:val="20"/>
                <w:szCs w:val="20"/>
                <w:color w:val="auto"/>
              </w:rPr>
            </w:pPr>
            <w:r>
              <w:rPr>
                <w:rFonts w:ascii="Arial" w:cs="Arial" w:eastAsia="Arial" w:hAnsi="Arial"/>
                <w:sz w:val="16"/>
                <w:szCs w:val="16"/>
                <w:color w:val="auto"/>
              </w:rPr>
              <w:t>282,697</w:t>
            </w:r>
          </w:p>
        </w:tc>
        <w:tc>
          <w:tcPr>
            <w:tcW w:w="46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41"/>
              <w:spacing w:after="0"/>
              <w:rPr>
                <w:sz w:val="20"/>
                <w:szCs w:val="20"/>
                <w:color w:val="auto"/>
              </w:rPr>
            </w:pPr>
            <w:r>
              <w:rPr>
                <w:rFonts w:ascii="Arial" w:cs="Arial" w:eastAsia="Arial" w:hAnsi="Arial"/>
                <w:sz w:val="16"/>
                <w:szCs w:val="16"/>
                <w:color w:val="auto"/>
              </w:rPr>
              <w:t>448,524</w:t>
            </w:r>
          </w:p>
        </w:tc>
        <w:tc>
          <w:tcPr>
            <w:tcW w:w="160" w:type="dxa"/>
            <w:vAlign w:val="bottom"/>
          </w:tcPr>
          <w:p>
            <w:pPr>
              <w:spacing w:after="0"/>
              <w:rPr>
                <w:sz w:val="12"/>
                <w:szCs w:val="12"/>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41"/>
              <w:spacing w:after="0"/>
              <w:rPr>
                <w:sz w:val="20"/>
                <w:szCs w:val="20"/>
                <w:color w:val="auto"/>
              </w:rPr>
            </w:pPr>
            <w:r>
              <w:rPr>
                <w:rFonts w:ascii="Arial" w:cs="Arial" w:eastAsia="Arial" w:hAnsi="Arial"/>
                <w:sz w:val="16"/>
                <w:szCs w:val="16"/>
                <w:color w:val="auto"/>
              </w:rPr>
              <w:t>42,832</w:t>
            </w:r>
          </w:p>
        </w:tc>
        <w:tc>
          <w:tcPr>
            <w:tcW w:w="0" w:type="dxa"/>
            <w:vAlign w:val="bottom"/>
          </w:tcPr>
          <w:p>
            <w:pPr>
              <w:spacing w:after="0"/>
              <w:rPr>
                <w:sz w:val="1"/>
                <w:szCs w:val="1"/>
                <w:color w:val="auto"/>
              </w:rPr>
            </w:pPr>
          </w:p>
        </w:tc>
      </w:tr>
      <w:tr>
        <w:trPr>
          <w:trHeight w:val="158"/>
        </w:trPr>
        <w:tc>
          <w:tcPr>
            <w:tcW w:w="6600" w:type="dxa"/>
            <w:vAlign w:val="bottom"/>
          </w:tcPr>
          <w:p>
            <w:pPr>
              <w:ind w:left="140"/>
              <w:spacing w:after="0" w:line="138" w:lineRule="exact"/>
              <w:rPr>
                <w:sz w:val="20"/>
                <w:szCs w:val="20"/>
                <w:color w:val="auto"/>
              </w:rPr>
            </w:pPr>
            <w:r>
              <w:rPr>
                <w:rFonts w:ascii="Arial" w:cs="Arial" w:eastAsia="Arial" w:hAnsi="Arial"/>
                <w:sz w:val="16"/>
                <w:szCs w:val="16"/>
                <w:color w:val="auto"/>
              </w:rPr>
              <w:t>statements of cash flows</w:t>
            </w:r>
          </w:p>
        </w:tc>
        <w:tc>
          <w:tcPr>
            <w:tcW w:w="30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-227965</wp:posOffset>
            </wp:positionV>
            <wp:extent cx="939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-227965</wp:posOffset>
            </wp:positionV>
            <wp:extent cx="9398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18"/>
          <w:szCs w:val="18"/>
          <w:color w:val="auto"/>
        </w:rPr>
        <w:t>Relay Therapeutics, Inc.</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w:t>
      </w:r>
    </w:p>
    <w:p>
      <w:pPr>
        <w:jc w:val="center"/>
        <w:ind w:right="20"/>
        <w:spacing w:after="0"/>
        <w:rPr>
          <w:sz w:val="20"/>
          <w:szCs w:val="20"/>
          <w:color w:val="auto"/>
        </w:rPr>
      </w:pPr>
      <w:r>
        <w:rPr>
          <w:rFonts w:ascii="Arial" w:cs="Arial" w:eastAsia="Arial" w:hAnsi="Arial"/>
          <w:sz w:val="18"/>
          <w:szCs w:val="18"/>
          <w:color w:val="auto"/>
        </w:rPr>
        <w:t>(In thousands, except share and per share data)</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Basis of Presentation</w:t>
      </w:r>
    </w:p>
    <w:p>
      <w:pPr>
        <w:spacing w:after="0" w:line="10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Relay Therapeutics, Inc. (the “Company”) was incorporated in Delaware on May 4, 2015 and is headquartered in Cambridge, Massachusetts. The Company is a clinical-stage, precision medicines company transforming the drug discovery process by combining leading-edge computational and experimental technologies with the goal of bringing life-changing therapies to patients. The Company is among the first of a new breed of biotech created at the intersection of disparate disciplines. The Company’s Dynamo™ platform integrates an array of leading-edge computational and experimental approaches designed to drug protein targets that have previously been intractable or inadequately addressed. The Company’s initial focus is on enhancing small molecule therapeutic discovery in targeted oncology and genetic disease indications. The Company’s lead product candidates, RLY-4008, RLY-2608 and RLY-1971, are in clinical development. The Company also has over five discovery stage programs across both precision oncology and genetic disease indications.</w:t>
      </w:r>
    </w:p>
    <w:p>
      <w:pPr>
        <w:spacing w:after="0" w:line="194"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89" w:lineRule="exact"/>
        <w:rPr>
          <w:sz w:val="20"/>
          <w:szCs w:val="20"/>
          <w:color w:val="auto"/>
        </w:rPr>
      </w:pPr>
    </w:p>
    <w:p>
      <w:pPr>
        <w:jc w:val="both"/>
        <w:ind w:right="500"/>
        <w:spacing w:after="0" w:line="248" w:lineRule="auto"/>
        <w:rPr>
          <w:sz w:val="20"/>
          <w:szCs w:val="20"/>
          <w:color w:val="auto"/>
        </w:rPr>
      </w:pPr>
      <w:r>
        <w:rPr>
          <w:rFonts w:ascii="Arial" w:cs="Arial" w:eastAsia="Arial" w:hAnsi="Arial"/>
          <w:sz w:val="18"/>
          <w:szCs w:val="18"/>
          <w:color w:val="auto"/>
        </w:rPr>
        <w:t>The Company has devoted substantially all of its resources to developing its product candidates, including RLY-4008, RLY-2608 and RLY-1971, by developing its computation and experimental approaches, building its intellectual property portfolio, business planning, raising capital and providing general and administrative support for these operations.</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Company has incurred net operating losses since inception and had an accumulated deficit of $768.1 million as of December 31, 2021. The Company expects that its existing cash, cash equivalents and investments as of December 31, 2021 will enable it to fund its planned operating expenses and capital expenditure requirements for at least one year from the date of the issuance of these consolidated financial statements. The future viability of the Company is dependent on its ability to generate cash from operating activities or to raise additional capital to finance its operations. The Company’s failure to raise capital as and when needed could have a material adverse effect on its financial condition and ability to pursue its business strategies. The Company may not be able to obtain financing on acceptable terms, or at all, and the Company may not be able to enter into license or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portfolio expansion or commercialization efforts, which could adversely affect its business prospects. In the event the Company requires additional funding, there can be no assurance that it will be successful in obtaining sufficient funding on terms acceptable to the Company to fund its continuing operations, if at all.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42" w:name="page143"/>
    <w:bookmarkEnd w:id="142"/>
    <w:p>
      <w:pPr>
        <w:ind w:right="8640" w:firstLine="8"/>
        <w:spacing w:after="0" w:line="383" w:lineRule="auto"/>
        <w:tabs>
          <w:tab w:leader="none" w:pos="18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Basis of presentation</w:t>
      </w:r>
    </w:p>
    <w:p>
      <w:pPr>
        <w:spacing w:after="0" w:line="1"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The accompanying consolidated financial statements have been prepared in conformity with accounting principles generally accepted in the United States of America (“GAAP”) and pursuant to the rules and regulations of the U.S. Securities and Exchange Commission (“SEC”) for reporting on Form 10-K. The Company’s consolidated financial statements include the accounts of Relay Therapeutics, Inc. and its wholly-owned subsidiaries, Relay Therapeutics Securities Corporation and Relay ML Discovery, LLC. All intercompany balances and transactions have been eliminated.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accrual of research and development and manufacturing expenses, the valuation of equity instruments, the determination of the transaction price and standalone selling price of performance obligations under Financial Accounting Standards Board ("FASB")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the incremental borrowing rate for determining the operating lease assets and liabilities and the fair value of contingent consideration and the fair value of net assets acquired in the acquisition of ZebiAI Therapeutics, Inc. (“ZebiAI”). Estimates are periodically reviewed in light of changes in circumstances, facts and experience.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0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manages its operations as a single segment for the purposes of assessing performance and making operating decisions. The Company’s singular focus is on using innovative experimental and computational approaches on protein motion for making medicines to drug protein targets that have previously been intractable or inadequately addressed. The Company operates in the United States and all tangible assets are held in the United States.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Company considers all short-term, highly liquid investments with original maturities of 90 days or less at acquisition date to be cash equivalents. Cash equivalents, which consist of money market funds, are stated at fair value.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0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Company had restricted cash of $2.6 million and $0.9 million as of December 31, 2021 and 2020, respectively, to secure letters of credit in connection with the leases of the Company’s facilities (see Note 14). The Company classified the restricted cash as a noncurrent asset on its consolidated balance sheets, consistent with the terms of the underlying lease agreements.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08"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Investments in marketable securities are classified as available-for-sale. Available-for-sale securities are measured and reported at fair value using quoted prices in active markets for similar securities. Unrealized gains and losses on available-for-sale securities are reported as a separate component of stockholders’ equity. Premiums or discounts from par value are amortized to investment income over the life of the underlying investment. All of the Company’s available-for-sale securities are available to the Company for use in current operations. As a result, the Company classified all of these securities as current assets even though the stated maturity of some individual securities may be one year or more beyond the balance sheet date.</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143" w:name="page144"/>
    <w:bookmarkEnd w:id="143"/>
    <w:p>
      <w:pPr>
        <w:ind w:right="160"/>
        <w:spacing w:after="0" w:line="243" w:lineRule="auto"/>
        <w:rPr>
          <w:sz w:val="20"/>
          <w:szCs w:val="20"/>
          <w:color w:val="auto"/>
        </w:rPr>
      </w:pPr>
      <w:r>
        <w:rPr>
          <w:rFonts w:ascii="Arial" w:cs="Arial" w:eastAsia="Arial" w:hAnsi="Arial"/>
          <w:sz w:val="18"/>
          <w:szCs w:val="18"/>
          <w:color w:val="auto"/>
        </w:rPr>
        <w:t>The cost of securities sold is determined on a specific identification basis, and realized gains and losses are included in other income (expense) within the consolidated statements of operations and comprehensive loss. If any adjustment is required to reflect a decline in the value of the investment that the Company considers to be “other than temporary”, the Company recognizes a charge to the consolidated statement of operations and comprehensive loss. No such adjustments were necessary during the periods presented.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Significant Suppliers</w:t>
      </w:r>
    </w:p>
    <w:p>
      <w:pPr>
        <w:spacing w:after="0" w:line="108"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cash equivalents and investments. From time to time, the Company has maintained all of its cash, cash equivalents and investments at certain accredited financial institutions in amounts that exceed federally insured limits. The Company generally invests its excess capital in money market funds, U.S. treasury bonds, U.S. treasury bills and agency bonds, all of which are subject to minimal credit and market risk. Management has established guidelines relative to credit ratings and maturities intended to safeguard principal balances and maintain liquidity. The investment portfolio is maintained in accordance with the Company’s investment policy, which defines allowable investments, specifies credit quality standards and limits the credit exposure of any single issuer.</w:t>
      </w:r>
    </w:p>
    <w:p>
      <w:pPr>
        <w:spacing w:after="0" w:line="162"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The Company is dependent on third-party suppliers for research and development activities of its programs, including preclinical and clinical testing. In particular, the Company relies and expects to continue to rely on a small number of these suppliers, including D. E. Shaw Research, LLC as discussed in Note 13, to meet its requirements for its programs. These programs could be adversely affected by a significant interruption in pre-clinical and clinical testing and the supply of active pharmaceutical ingredients and formulated drugs.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8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3" w:lineRule="exact"/>
        <w:rPr>
          <w:sz w:val="20"/>
          <w:szCs w:val="20"/>
          <w:color w:val="auto"/>
        </w:rPr>
      </w:pPr>
    </w:p>
    <w:p>
      <w:pPr>
        <w:ind w:left="760" w:hanging="378"/>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03" w:lineRule="exact"/>
        <w:rPr>
          <w:rFonts w:ascii="Arial" w:cs="Arial" w:eastAsia="Arial" w:hAnsi="Arial"/>
          <w:sz w:val="18"/>
          <w:szCs w:val="18"/>
          <w:color w:val="auto"/>
        </w:rPr>
      </w:pPr>
    </w:p>
    <w:p>
      <w:pPr>
        <w:ind w:left="760" w:right="300" w:hanging="378"/>
        <w:spacing w:after="0" w:line="248" w:lineRule="auto"/>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3" w:lineRule="exact"/>
        <w:rPr>
          <w:rFonts w:ascii="Arial" w:cs="Arial" w:eastAsia="Arial" w:hAnsi="Arial"/>
          <w:sz w:val="18"/>
          <w:szCs w:val="18"/>
          <w:color w:val="auto"/>
        </w:rPr>
      </w:pPr>
    </w:p>
    <w:p>
      <w:pPr>
        <w:ind w:left="760" w:right="60" w:hanging="378"/>
        <w:spacing w:after="0" w:line="261" w:lineRule="auto"/>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 xml:space="preserve">The Company accounts for revenue recognition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customer(s); (ii) identify the performance obligation(s) in the contract(s);</w:t>
      </w:r>
    </w:p>
    <w:p>
      <w:pPr>
        <w:spacing w:after="0" w:line="1" w:lineRule="exact"/>
        <w:rPr>
          <w:sz w:val="20"/>
          <w:szCs w:val="20"/>
          <w:color w:val="auto"/>
        </w:rPr>
      </w:pPr>
    </w:p>
    <w:p>
      <w:pPr>
        <w:ind w:right="180" w:firstLine="8"/>
        <w:spacing w:after="0" w:line="243" w:lineRule="auto"/>
        <w:tabs>
          <w:tab w:leader="none" w:pos="3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determine the transaction price; (iv) allocate the transaction price to the performance obligation(s) in the contract(s); and (v) recognize revenue when (or as) the entity satisfies a performance obligation.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44" w:name="page145"/>
    <w:bookmarkEnd w:id="144"/>
    <w:p>
      <w:pPr>
        <w:ind w:right="80"/>
        <w:spacing w:after="0" w:line="257" w:lineRule="auto"/>
        <w:rPr>
          <w:sz w:val="20"/>
          <w:szCs w:val="20"/>
          <w:color w:val="auto"/>
        </w:rPr>
      </w:pPr>
      <w:r>
        <w:rPr>
          <w:rFonts w:ascii="Arial" w:cs="Arial" w:eastAsia="Arial" w:hAnsi="Arial"/>
          <w:sz w:val="17"/>
          <w:szCs w:val="17"/>
          <w:color w:val="auto"/>
        </w:rPr>
        <w:t>At contract inception, once the contract is determined to be within the scope of ASC 606, the Company assesses the goods or services promised within the contract and determines those that are performance obligations. The Company then determines the transaction price and allocates it to the performance obligations. As part of the accounting for these arrangements, the Company must use significant judgment to determine: (a) the number of performance obligations based on the determination under step (ii) above; (b) the transaction price under step (iii) above, including the determination of whether milestones or other variable consideration should be included in the transaction price; and (c) the stand-alone selling price for each performance obligation identified in the contract for the allocation of the transaction price in step (iv) above.</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Company utilizes key assumptions and judgments to determine the stand-alone selling price for each performance obligation, which may include discounted cash flow models, evaluation of comparable transactions, pricing considered in negotiating the transaction and estimated costs, to determine how the transaction price is allocated among the performance obligations. The Company uses judgment to determine whether milestones or other variable consideration should be included in the transaction price. As part of management’s evaluation of the transaction price, the Company considers numerous factors, including whether the achievement of the milestones is outside of our control, contingent upon the efforts of others or subject to scientific risks of success. If the Company concludes it is probable that a significant revenue reversal would not occur, the associated milestone payment is included in the transaction price. Milestone payments that are not within our control, such as regulatory approvals, are generally not considered probable until those milestones are achieved. The Company re-evaluates the transaction price, including estimated variable consideration included in the transaction price and all constrained amounts, in each reporting period and as uncertain events are resolved or other changes in circumstances occur. For revenue-based royalties, including milestone payments based on the level of sales, the Company will include royalties in the transaction price at the later of (i) when the related sales occur, or (ii) when the performance obligation to which some or all of the royalty is allocated has been satisfied (or partially satisfied).</w:t>
      </w:r>
    </w:p>
    <w:p>
      <w:pPr>
        <w:spacing w:after="0" w:line="167" w:lineRule="exact"/>
        <w:rPr>
          <w:sz w:val="20"/>
          <w:szCs w:val="20"/>
          <w:color w:val="auto"/>
        </w:rPr>
      </w:pPr>
    </w:p>
    <w:p>
      <w:pPr>
        <w:jc w:val="both"/>
        <w:ind w:right="140"/>
        <w:spacing w:after="0" w:line="243" w:lineRule="auto"/>
        <w:rPr>
          <w:sz w:val="20"/>
          <w:szCs w:val="20"/>
          <w:color w:val="auto"/>
        </w:rPr>
      </w:pPr>
      <w:r>
        <w:rPr>
          <w:rFonts w:ascii="Arial" w:cs="Arial" w:eastAsia="Arial" w:hAnsi="Arial"/>
          <w:sz w:val="18"/>
          <w:szCs w:val="18"/>
          <w:color w:val="auto"/>
        </w:rPr>
        <w:t>Once the performance obligations are identified, the transaction price is allocated to each performance obligation based on the relative stand-alone selling price. The Company then recognizes as revenue the amount of the transaction price that is allocated to the respective performance obligation when (or as) the performance obligation is satisfied, either at a point in time or over time. If the performance obligation is satisfied over time, the Company recognizes revenue based on the use of either an output or input method.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1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The Company enters into collaborative agreements with third parties to research, develop and commercialize drug candidates, pursuant to which the risks and rewards for such activities are shared between the parties. Such arrangements also provide for cost sharing between the parties during the research and development phase, as well as potential future profit share payments during the commercialization phase. In general, such contracts are evaluated under the provisions of FASB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(“ASC 808”). The amounts receivable and payable for research and development activities are presented net within research and development expense on the consolidated statement of operations, as such the net costs reflect the Company’s share of the ongoing research and development efforts. The amounts receivable and payable for commercialization activities are presented net as either collaboration revenue, separate from revenue from contracts with customers, or collaboration expense on the consolidated statement of operations, as appropriate.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Agreements</w:t>
      </w:r>
    </w:p>
    <w:p>
      <w:pPr>
        <w:spacing w:after="0" w:line="108" w:lineRule="exact"/>
        <w:rPr>
          <w:sz w:val="20"/>
          <w:szCs w:val="20"/>
          <w:color w:val="auto"/>
        </w:rPr>
      </w:pPr>
    </w:p>
    <w:p>
      <w:pPr>
        <w:jc w:val="both"/>
        <w:ind w:right="320"/>
        <w:spacing w:after="0" w:line="294" w:lineRule="auto"/>
        <w:rPr>
          <w:sz w:val="20"/>
          <w:szCs w:val="20"/>
          <w:color w:val="auto"/>
        </w:rPr>
      </w:pPr>
      <w:r>
        <w:rPr>
          <w:rFonts w:ascii="Arial" w:cs="Arial" w:eastAsia="Arial" w:hAnsi="Arial"/>
          <w:sz w:val="16"/>
          <w:szCs w:val="16"/>
          <w:color w:val="auto"/>
        </w:rPr>
        <w:t xml:space="preserve">Under ASC 842, </w:t>
      </w:r>
      <w:r>
        <w:rPr>
          <w:rFonts w:ascii="Arial" w:cs="Arial" w:eastAsia="Arial" w:hAnsi="Arial"/>
          <w:sz w:val="16"/>
          <w:szCs w:val="16"/>
          <w:i w:val="1"/>
          <w:iCs w:val="1"/>
          <w:color w:val="auto"/>
        </w:rPr>
        <w:t>Leases</w:t>
      </w:r>
      <w:r>
        <w:rPr>
          <w:rFonts w:ascii="Arial" w:cs="Arial" w:eastAsia="Arial" w:hAnsi="Arial"/>
          <w:sz w:val="16"/>
          <w:szCs w:val="16"/>
          <w:color w:val="auto"/>
        </w:rPr>
        <w:t>, the Company determines if an arrangement is or contains a lease at inception. For leases with a term of 12 months or less, the Company does not recognize a right-of-use asset or lease liability. The Company’s operating leases are recognized on its consolidated balance sheets as other noncurrent assets, other current liabilities and other noncurrent liabilities. The Company does not have any finance leases.</w:t>
      </w:r>
    </w:p>
    <w:p>
      <w:pPr>
        <w:spacing w:after="0" w:line="147"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As the Company’s leases typically do not provide an implicit rate, the Company uses an estimate of its incremental borrowing rate based on the information available at the lease commencement date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45" w:name="page146"/>
    <w:bookmarkEnd w:id="145"/>
    <w:p>
      <w:pPr>
        <w:ind w:right="240"/>
        <w:spacing w:after="0" w:line="248" w:lineRule="auto"/>
        <w:rPr>
          <w:sz w:val="20"/>
          <w:szCs w:val="20"/>
          <w:color w:val="auto"/>
        </w:rPr>
      </w:pPr>
      <w:r>
        <w:rPr>
          <w:rFonts w:ascii="Arial" w:cs="Arial" w:eastAsia="Arial" w:hAnsi="Arial"/>
          <w:sz w:val="18"/>
          <w:szCs w:val="18"/>
          <w:color w:val="auto"/>
        </w:rPr>
        <w:t>determining the present value of lease payments. Operating lease right-of-use assets also include the effect of any lease payments made prior to commencement and excludes lease incentives. The lease terms may include options to extend or terminate the lease when it is reasonably certain that the Company will exercise that option. Lease expense is recognized on a straight-line basis over the lease term.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lease agreements with lease and non-lease components, which are accounted for as a combined element.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Property and equipment are stated at cost less accumulated depreciation. Depreciation expense is recognized using the straight-line method over the useful life of the asset. Laboratory and computer equipment are depreciated over three years. Furniture and fixtures are depreciated over five years. Leasehold improvements are amortized over the shorter of the lease term or the estimated useful life of the related asset.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08" w:lineRule="exact"/>
        <w:rPr>
          <w:sz w:val="20"/>
          <w:szCs w:val="20"/>
          <w:color w:val="auto"/>
        </w:rPr>
      </w:pPr>
    </w:p>
    <w:p>
      <w:pPr>
        <w:jc w:val="both"/>
        <w:ind w:right="140"/>
        <w:spacing w:after="0" w:line="241" w:lineRule="auto"/>
        <w:rPr>
          <w:sz w:val="20"/>
          <w:szCs w:val="20"/>
          <w:color w:val="auto"/>
        </w:rPr>
      </w:pPr>
      <w:r>
        <w:rPr>
          <w:rFonts w:ascii="Arial" w:cs="Arial" w:eastAsia="Arial" w:hAnsi="Arial"/>
          <w:sz w:val="18"/>
          <w:szCs w:val="18"/>
          <w:color w:val="auto"/>
        </w:rPr>
        <w:t>The Company continually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in an amount by which the book values of the assets exceed their fair value. The Company did not recognize any impairment losses for the years ended December 31, 2021, 2020 and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08" w:lineRule="exact"/>
        <w:rPr>
          <w:sz w:val="20"/>
          <w:szCs w:val="20"/>
          <w:color w:val="auto"/>
        </w:rPr>
      </w:pPr>
    </w:p>
    <w:p>
      <w:pPr>
        <w:ind w:right="300"/>
        <w:spacing w:after="0" w:line="282" w:lineRule="auto"/>
        <w:rPr>
          <w:sz w:val="20"/>
          <w:szCs w:val="20"/>
          <w:color w:val="auto"/>
        </w:rPr>
      </w:pPr>
      <w:r>
        <w:rPr>
          <w:rFonts w:ascii="Arial" w:cs="Arial" w:eastAsia="Arial" w:hAnsi="Arial"/>
          <w:sz w:val="16"/>
          <w:szCs w:val="16"/>
          <w:color w:val="auto"/>
        </w:rPr>
        <w:t>The Company measures stock options and other stock-based awards granted to employees, directors and non-employees based on their fair value on the date of grant and recognizes compensation expense for those awards over the requisite service period, which is generally the vesting period of the</w:t>
      </w:r>
    </w:p>
    <w:p>
      <w:pPr>
        <w:spacing w:after="0"/>
        <w:rPr>
          <w:sz w:val="20"/>
          <w:szCs w:val="20"/>
          <w:color w:val="auto"/>
        </w:rPr>
      </w:pPr>
      <w:r>
        <w:rPr>
          <w:rFonts w:ascii="Arial" w:cs="Arial" w:eastAsia="Arial" w:hAnsi="Arial"/>
          <w:sz w:val="18"/>
          <w:szCs w:val="18"/>
          <w:color w:val="auto"/>
        </w:rPr>
        <w:t>respective award. The Company recognizes the impact of forfeitures on stock-based compensation expense as forfeitures occur.</w:t>
      </w:r>
    </w:p>
    <w:p>
      <w:pPr>
        <w:spacing w:after="0" w:line="22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Company estimates the fair value of each stock option grant on the date of grant using the Black-Scholes option-pricing model, which uses as inputs the fair value of the Company’s common stock and assumptions the Company makes for the volatility of its common stock, the expected term of the stock options, the risk-free interest rate for a period that approximates the expected term of the stock options and the expected dividend yield.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Prior to the Company’s IPO, the estimated fair value of its common stock was determined by the board of directors, or compensation committee thereof, as of the date of each option grant, with input from management, considering the most recently available third-party valuations of common stock and the board of directors’ assessment of additional objective and subjective factors that it believed were relevant and which may have changed from the date of the most recent valuation through the date of the grant. Historically, these independent third-party valuations of the Company’s equity instruments were performed contemporaneously with identified value inflection points.</w:t>
      </w:r>
    </w:p>
    <w:p>
      <w:pPr>
        <w:spacing w:after="0" w:line="174"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 xml:space="preserve">These third-party valuations were performed in accordance with the guidance outlined in the American Institute of Certified Public Accountants’ Accounting and Valuation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(the “Practice Aid”). The Practice Aid identifies various available methods for allocating the enterprise value across classes of series of capital stock in determining the fair value of the Company’s common stock at each valuation date.</w:t>
      </w:r>
    </w:p>
    <w:p>
      <w:pPr>
        <w:spacing w:after="0" w:line="18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Following the Company’s IPO, in connection with the accounting for granted stock options and other awards the Company may grant, the fair value of the Company’s common stock is determined based on the quoted market price of its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Research and development costs are expensed as incurred. Research and development expenses include salaries, stock-based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Manufacturing Contracts</w:t>
      </w:r>
    </w:p>
    <w:p>
      <w:pPr>
        <w:spacing w:after="0" w:line="1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whose costs are included in research and development expense in the accompanying consolidated statements of operations and comprehensive loss. These agreements are generally cancelable and related payments are recorded as research and development expenses as the underlying services are performed. When evaluating the adequacy of the expense recognized, the Company analyzes progress of the services, including the phase or completion of events, invoices received and contracted costs. Judgments and estimates are made in determining the expense recognized and the related prepaid or accrued balances at the end of any reporting period. Actual results could differ from the Company’s estimates. The Company’s historical estimates have not been materially different from the actual costs.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In-Process Research and Development</w:t>
      </w:r>
    </w:p>
    <w:p>
      <w:pPr>
        <w:spacing w:after="0" w:line="108"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In an asset acquisition, the cost allocated to acquire in-process research and development (“IPR&amp;D”) with no alternative future use is charged to expense at the acquisition date. Refer to Note 5, Acquisition of ZebiAI, for a more detailed description of the accounting policies applied to the asset acquisition.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0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For the years ended December 31, 2021, 2020</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and 2019, other comprehensive income (loss) consisted of changes in unrealized gains and losses from available-for-sale investments.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108" w:lineRule="exact"/>
        <w:rPr>
          <w:sz w:val="20"/>
          <w:szCs w:val="20"/>
          <w:color w:val="auto"/>
        </w:rPr>
      </w:pPr>
    </w:p>
    <w:p>
      <w:pPr>
        <w:ind w:right="360"/>
        <w:spacing w:after="0" w:line="324" w:lineRule="auto"/>
        <w:rPr>
          <w:sz w:val="20"/>
          <w:szCs w:val="20"/>
          <w:color w:val="auto"/>
        </w:rPr>
      </w:pPr>
      <w:r>
        <w:rPr>
          <w:rFonts w:ascii="Arial" w:cs="Arial" w:eastAsia="Arial" w:hAnsi="Arial"/>
          <w:sz w:val="16"/>
          <w:szCs w:val="16"/>
          <w:color w:val="auto"/>
        </w:rPr>
        <w:t>Basic net loss per share is computed using the weighted average number of common shares outstanding during the period. Diluted net loss per share is computed using the sum of the weighted average number of common shares outstanding during the period and the effect of dilutive securities.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applies the two-class method to calculate its basic and diluted net loss per share as the Company has issued shares that meet the definition of participating securities. The two-class method is an earnings allocation formula that treats a participating security as having rights to earnings that otherwise would have been available to common stockholders. The Company’s participating securities contractually entitle the holders of such shares to participate in dividends; but do not contractually require the holders of such shares to participate in losses of the Company. Accordingly, in periods in which the Company reports a net loss, such losses are not allocated to such participating securities.</w:t>
      </w:r>
    </w:p>
    <w:p>
      <w:pPr>
        <w:spacing w:after="0" w:line="174"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 xml:space="preserve">Additionally, in periods in which the Company reports a net loss, diluted net loss per share is the same as basic net loss per share, since dilutive common shares are not assumed to have been issued if their effect is anti-dilutive. For additional discussion of net loss per common share, please see Note 12, </w:t>
      </w:r>
      <w:r>
        <w:rPr>
          <w:rFonts w:ascii="Arial" w:cs="Arial" w:eastAsia="Arial" w:hAnsi="Arial"/>
          <w:sz w:val="18"/>
          <w:szCs w:val="18"/>
          <w:i w:val="1"/>
          <w:iCs w:val="1"/>
          <w:color w:val="auto"/>
        </w:rPr>
        <w:t>Net</w:t>
      </w:r>
      <w:r>
        <w:rPr>
          <w:rFonts w:ascii="Arial" w:cs="Arial" w:eastAsia="Arial" w:hAnsi="Arial"/>
          <w:sz w:val="18"/>
          <w:szCs w:val="18"/>
          <w:color w:val="auto"/>
        </w:rPr>
        <w:t xml:space="preserve"> </w:t>
      </w:r>
      <w:r>
        <w:rPr>
          <w:rFonts w:ascii="Arial" w:cs="Arial" w:eastAsia="Arial" w:hAnsi="Arial"/>
          <w:sz w:val="18"/>
          <w:szCs w:val="18"/>
          <w:i w:val="1"/>
          <w:iCs w:val="1"/>
          <w:color w:val="auto"/>
        </w:rPr>
        <w:t>Loss Per Share.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08"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 xml:space="preserve">The Company adopted Accounting Standards Update (“ASU”) No. 2020-06, </w:t>
      </w:r>
      <w:r>
        <w:rPr>
          <w:rFonts w:ascii="Arial" w:cs="Arial" w:eastAsia="Arial" w:hAnsi="Arial"/>
          <w:sz w:val="18"/>
          <w:szCs w:val="18"/>
          <w:i w:val="1"/>
          <w:iCs w:val="1"/>
          <w:color w:val="auto"/>
        </w:rPr>
        <w:t>Debt – Debt with Conversion and Other Options</w:t>
      </w:r>
      <w:r>
        <w:rPr>
          <w:rFonts w:ascii="Arial" w:cs="Arial" w:eastAsia="Arial" w:hAnsi="Arial"/>
          <w:sz w:val="18"/>
          <w:szCs w:val="18"/>
          <w:color w:val="auto"/>
        </w:rPr>
        <w:t xml:space="preserve"> (Subtopic 470-20) </w:t>
      </w:r>
      <w:r>
        <w:rPr>
          <w:rFonts w:ascii="Arial" w:cs="Arial" w:eastAsia="Arial" w:hAnsi="Arial"/>
          <w:sz w:val="18"/>
          <w:szCs w:val="18"/>
          <w:i w:val="1"/>
          <w:iCs w:val="1"/>
          <w:color w:val="auto"/>
        </w:rPr>
        <w:t>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Derivatives and Hedging—Contracts in Entity’s Own Equity </w:t>
      </w:r>
      <w:r>
        <w:rPr>
          <w:rFonts w:ascii="Arial" w:cs="Arial" w:eastAsia="Arial" w:hAnsi="Arial"/>
          <w:sz w:val="18"/>
          <w:szCs w:val="18"/>
          <w:color w:val="auto"/>
        </w:rPr>
        <w:t>(Subtopic 815-40) (“ASU 2020-06”). This standard amends the guidance on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the derivatives scope exception for contracts in an entity’s own equity and amends the related earnings per share (“EPS”) guidance. The Company adopted this standard on January 1, 2021 and the adoption of this standard did not have a material impact on the Company’s consolidated financial statements or disclosures.</w:t>
      </w:r>
    </w:p>
    <w:p>
      <w:pPr>
        <w:spacing w:after="0" w:line="189"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 xml:space="preserve">The Company adopted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the accounting for income taxes. ASU 2019-12 removes certain exceptions to the general principles in Topic 740 and also clarifies and amends certain aspects of the existing guidance to improve consistent application. The adoption of this standard did not have a material impact on the Company’s consolidated financial statements or disclosures.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(“ASU 2016-13”). This standard requires that credit losses be reported as an allowance using an expected losses model, representing the entity’s current estimate of credit losses expected to be incurred. The accounting guidance in effect for the Company through December 31, 2021 is based on an incurred losses model. For available-for-sale debt securities with expected credit losses, this standard now requires allowances to be recorded instead of reducing the amortized cost of the investment. The Company adopted this standard on January 1, 2022. The adoption of this standard did not have a material impact on the Company’s consolidated financial statements or disclosures.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3. Fair Value of Financial Assets</w:t>
      </w:r>
    </w:p>
    <w:p>
      <w:pPr>
        <w:spacing w:after="0" w:line="10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tables present information about the Company’s financial assets and liabilities measured at fair value on a recurring basis and indicate the level of the fair value hierarchy utilized to determine such fair values: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right"/>
              <w:ind w:right="293"/>
              <w:spacing w:after="0"/>
              <w:rPr>
                <w:sz w:val="20"/>
                <w:szCs w:val="20"/>
                <w:color w:val="auto"/>
              </w:rPr>
            </w:pPr>
            <w:r>
              <w:rPr>
                <w:rFonts w:ascii="Arial" w:cs="Arial" w:eastAsia="Arial" w:hAnsi="Arial"/>
                <w:sz w:val="14"/>
                <w:szCs w:val="14"/>
                <w:b w:val="1"/>
                <w:bCs w:val="1"/>
                <w:color w:val="auto"/>
                <w:w w:val="93"/>
              </w:rPr>
              <w:t>Fair Value Measurements as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5"/>
        </w:trPr>
        <w:tc>
          <w:tcPr>
            <w:tcW w:w="4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653"/>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3"/>
        </w:trPr>
        <w:tc>
          <w:tcPr>
            <w:tcW w:w="4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33"/>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196"/>
        </w:trPr>
        <w:tc>
          <w:tcPr>
            <w:tcW w:w="48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251,891</w:t>
            </w:r>
          </w:p>
        </w:tc>
        <w:tc>
          <w:tcPr>
            <w:tcW w:w="12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4"/>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251,891</w:t>
            </w: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US treasury bills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469,386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469,386</w:t>
            </w:r>
          </w:p>
        </w:tc>
      </w:tr>
      <w:tr>
        <w:trPr>
          <w:trHeight w:val="203"/>
        </w:trPr>
        <w:tc>
          <w:tcPr>
            <w:tcW w:w="48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US agency securities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208,568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208,568</w:t>
            </w:r>
          </w:p>
        </w:tc>
      </w:tr>
      <w:tr>
        <w:trPr>
          <w:trHeight w:val="196"/>
        </w:trPr>
        <w:tc>
          <w:tcPr>
            <w:tcW w:w="482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investments</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677,954</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677,954</w:t>
            </w:r>
          </w:p>
        </w:tc>
      </w:tr>
      <w:tr>
        <w:trPr>
          <w:trHeight w:val="196"/>
        </w:trPr>
        <w:tc>
          <w:tcPr>
            <w:tcW w:w="482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9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251,891</w:t>
            </w:r>
          </w:p>
        </w:tc>
        <w:tc>
          <w:tcPr>
            <w:tcW w:w="120" w:type="dxa"/>
            <w:vAlign w:val="bottom"/>
          </w:tcPr>
          <w:p>
            <w:pPr>
              <w:spacing w:after="0"/>
              <w:rPr>
                <w:sz w:val="17"/>
                <w:szCs w:val="17"/>
                <w:color w:val="auto"/>
              </w:rPr>
            </w:pPr>
          </w:p>
        </w:tc>
        <w:tc>
          <w:tcPr>
            <w:tcW w:w="1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677,954</w:t>
            </w:r>
          </w:p>
        </w:tc>
        <w:tc>
          <w:tcPr>
            <w:tcW w:w="120" w:type="dxa"/>
            <w:vAlign w:val="bottom"/>
          </w:tcPr>
          <w:p>
            <w:pPr>
              <w:spacing w:after="0"/>
              <w:rPr>
                <w:sz w:val="17"/>
                <w:szCs w:val="17"/>
                <w:color w:val="auto"/>
              </w:rPr>
            </w:pPr>
          </w:p>
        </w:tc>
        <w:tc>
          <w:tcPr>
            <w:tcW w:w="2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gridSpan w:val="4"/>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929,845</w:t>
            </w:r>
          </w:p>
        </w:tc>
      </w:tr>
      <w:tr>
        <w:trPr>
          <w:trHeight w:val="20"/>
        </w:trPr>
        <w:tc>
          <w:tcPr>
            <w:tcW w:w="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820" w:type="dxa"/>
            <w:vAlign w:val="bottom"/>
            <w:gridSpan w:val="2"/>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r>
      <w:tr>
        <w:trPr>
          <w:trHeight w:val="202"/>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Contingent Milestone Payments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45,258</w:t>
            </w:r>
          </w:p>
        </w:tc>
        <w:tc>
          <w:tcPr>
            <w:tcW w:w="38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45,258</w:t>
            </w:r>
          </w:p>
        </w:tc>
      </w:tr>
      <w:tr>
        <w:trPr>
          <w:trHeight w:val="236"/>
        </w:trPr>
        <w:tc>
          <w:tcPr>
            <w:tcW w:w="4820" w:type="dxa"/>
            <w:vAlign w:val="bottom"/>
            <w:tcBorders>
              <w:top w:val="single" w:sz="8" w:color="CFF0FC"/>
              <w:bottom w:val="single" w:sz="8" w:color="CFF0FC"/>
            </w:tcBorders>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45,258</w:t>
            </w: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45,258</w:t>
            </w:r>
          </w:p>
        </w:tc>
      </w:tr>
      <w:tr>
        <w:trPr>
          <w:trHeight w:val="363"/>
        </w:trPr>
        <w:tc>
          <w:tcPr>
            <w:tcW w:w="4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5"/>
          </w:tcPr>
          <w:p>
            <w:pPr>
              <w:jc w:val="right"/>
              <w:ind w:right="233"/>
              <w:spacing w:after="0"/>
              <w:rPr>
                <w:sz w:val="20"/>
                <w:szCs w:val="20"/>
                <w:color w:val="auto"/>
              </w:rPr>
            </w:pPr>
            <w:r>
              <w:rPr>
                <w:rFonts w:ascii="Arial" w:cs="Arial" w:eastAsia="Arial" w:hAnsi="Arial"/>
                <w:sz w:val="14"/>
                <w:szCs w:val="14"/>
                <w:b w:val="1"/>
                <w:bCs w:val="1"/>
                <w:color w:val="auto"/>
                <w:w w:val="96"/>
              </w:rPr>
              <w:t>Fair Value Measurements as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4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3"/>
        </w:trPr>
        <w:tc>
          <w:tcPr>
            <w:tcW w:w="4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176"/>
        </w:trPr>
        <w:tc>
          <w:tcPr>
            <w:tcW w:w="48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8"/>
                <w:szCs w:val="18"/>
                <w:color w:val="auto"/>
                <w:w w:val="85"/>
              </w:rPr>
              <w:t>Assets</w:t>
            </w:r>
          </w:p>
        </w:tc>
        <w:tc>
          <w:tcPr>
            <w:tcW w:w="43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3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447,146</w:t>
            </w:r>
          </w:p>
        </w:tc>
        <w:tc>
          <w:tcPr>
            <w:tcW w:w="2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4"/>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447,146</w:t>
            </w: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US treasury bills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33,026</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33,026</w:t>
            </w:r>
          </w:p>
        </w:tc>
      </w:tr>
      <w:tr>
        <w:trPr>
          <w:trHeight w:val="203"/>
        </w:trPr>
        <w:tc>
          <w:tcPr>
            <w:tcW w:w="48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US agency securities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197,389</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197,389</w:t>
            </w:r>
          </w:p>
        </w:tc>
      </w:tr>
      <w:tr>
        <w:trPr>
          <w:trHeight w:val="196"/>
        </w:trPr>
        <w:tc>
          <w:tcPr>
            <w:tcW w:w="482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230,415</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230,415</w:t>
            </w:r>
          </w:p>
        </w:tc>
      </w:tr>
      <w:tr>
        <w:trPr>
          <w:trHeight w:val="196"/>
        </w:trPr>
        <w:tc>
          <w:tcPr>
            <w:tcW w:w="482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447,146</w:t>
            </w:r>
          </w:p>
        </w:tc>
        <w:tc>
          <w:tcPr>
            <w:tcW w:w="2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230,415</w:t>
            </w:r>
          </w:p>
        </w:tc>
        <w:tc>
          <w:tcPr>
            <w:tcW w:w="2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gridSpan w:val="4"/>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677,561</w:t>
            </w:r>
          </w:p>
        </w:tc>
      </w:tr>
      <w:tr>
        <w:trPr>
          <w:trHeight w:val="20"/>
        </w:trPr>
        <w:tc>
          <w:tcPr>
            <w:tcW w:w="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-2148205</wp:posOffset>
            </wp:positionV>
            <wp:extent cx="7747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-2148205</wp:posOffset>
            </wp:positionV>
            <wp:extent cx="6858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-2148205</wp:posOffset>
            </wp:positionV>
            <wp:extent cx="6858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-1593850</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-1576705</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-1731010</wp:posOffset>
            </wp:positionV>
            <wp:extent cx="774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-1593850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-1576705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-1731010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-1593850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-1576705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-1731010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-159385</wp:posOffset>
            </wp:positionV>
            <wp:extent cx="6858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-159385</wp:posOffset>
            </wp:positionV>
            <wp:extent cx="6032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-159385</wp:posOffset>
            </wp:positionV>
            <wp:extent cx="5969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determining the fair value of its investments at each date presented above, the Company relied on quoted prices for similar securities in active markets or using other inputs that are observable or can be corroborated by observable market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Contingent Consideration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April 2021, the Company acquired ZebiAI, as discussed further in Note 5.</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Company’s Level 3 contingent consideration liability is related to $85.0 million of platform and program-related milestones (“Contingent Milestone Payments”) potentially payable to ZebiAI’s former equity holders. The contingent consideration liability for the Contingent Milestone Payments is measured at fair value at each reporting date pursuant to FASB ASC Topic 480, Distinguishing Liabilities from Equity (“ASC 480”), as discussed further in Note 5. The Company determines the fair value of the Contingent Milestone Payments based on the probability of achieving the milestones, the related timing, and, to a lesser extent, an appropriate discount rate. Significant judgment is used in determining the appropriateness of these assumptions. Due to the uncertainties associated with the development of platforms and drug candidates in the pharmaceutical industry and the effects of changes in assumptions including probability of success and related timing, the Company expects its estimates regarding the fair value of Contingent Milestone Payments to continue to change in the future, resulting in adjustments to the fair value of the Company’s Contingent Milestone Payments, and the effect of any such adjustments could be material.</w:t>
      </w:r>
    </w:p>
    <w:p>
      <w:pPr>
        <w:spacing w:after="0" w:line="83" w:lineRule="exact"/>
        <w:rPr>
          <w:sz w:val="20"/>
          <w:szCs w:val="20"/>
          <w:color w:val="auto"/>
        </w:rPr>
      </w:pPr>
    </w:p>
    <w:p>
      <w:pPr>
        <w:ind w:right="820"/>
        <w:spacing w:after="0" w:line="291" w:lineRule="auto"/>
        <w:rPr>
          <w:sz w:val="20"/>
          <w:szCs w:val="20"/>
          <w:color w:val="auto"/>
        </w:rPr>
      </w:pPr>
      <w:r>
        <w:rPr>
          <w:rFonts w:ascii="Arial" w:cs="Arial" w:eastAsia="Arial" w:hAnsi="Arial"/>
          <w:sz w:val="17"/>
          <w:szCs w:val="17"/>
          <w:color w:val="auto"/>
        </w:rPr>
        <w:t>The Company also has a contingent consideration liability related to the fair value of the $100.0 million earnout payments (“Contingent Earnout Payments”), which was a nonrecurring fair value measurement as of the acquisition date, as further discussed in Note 5.</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The following table reconciles the change in fair value of the contingent consideration liability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2"/>
              </w:rPr>
              <w:t>Year Ended December 31, 2021</w:t>
            </w:r>
          </w:p>
        </w:tc>
        <w:tc>
          <w:tcPr>
            <w:tcW w:w="60" w:type="dxa"/>
            <w:vAlign w:val="bottom"/>
          </w:tcPr>
          <w:p>
            <w:pPr>
              <w:spacing w:after="0"/>
              <w:rPr>
                <w:sz w:val="16"/>
                <w:szCs w:val="16"/>
                <w:color w:val="auto"/>
              </w:rPr>
            </w:pPr>
          </w:p>
        </w:tc>
      </w:tr>
      <w:tr>
        <w:trPr>
          <w:trHeight w:val="203"/>
        </w:trPr>
        <w:tc>
          <w:tcPr>
            <w:tcW w:w="8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8980" w:type="dxa"/>
            <w:vAlign w:val="bottom"/>
          </w:tcPr>
          <w:p>
            <w:pPr>
              <w:ind w:left="20"/>
              <w:spacing w:after="0" w:line="202" w:lineRule="exact"/>
              <w:rPr>
                <w:sz w:val="20"/>
                <w:szCs w:val="20"/>
                <w:color w:val="auto"/>
              </w:rPr>
            </w:pPr>
            <w:r>
              <w:rPr>
                <w:rFonts w:ascii="Arial" w:cs="Arial" w:eastAsia="Arial" w:hAnsi="Arial"/>
                <w:sz w:val="18"/>
                <w:szCs w:val="18"/>
                <w:color w:val="auto"/>
              </w:rPr>
              <w:t>Contingent Milestone Payments related to acquisition of ZebiAI</w:t>
            </w:r>
          </w:p>
        </w:tc>
        <w:tc>
          <w:tcPr>
            <w:tcW w:w="12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42,422</w:t>
            </w:r>
          </w:p>
        </w:tc>
        <w:tc>
          <w:tcPr>
            <w:tcW w:w="60" w:type="dxa"/>
            <w:vAlign w:val="bottom"/>
          </w:tcPr>
          <w:p>
            <w:pPr>
              <w:spacing w:after="0"/>
              <w:rPr>
                <w:sz w:val="17"/>
                <w:szCs w:val="17"/>
                <w:color w:val="auto"/>
              </w:rPr>
            </w:pPr>
          </w:p>
        </w:tc>
      </w:tr>
      <w:tr>
        <w:trPr>
          <w:trHeight w:val="203"/>
        </w:trPr>
        <w:tc>
          <w:tcPr>
            <w:tcW w:w="8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Contingent Earnout Payments related to acquisition of ZebiAI</w:t>
            </w:r>
          </w:p>
        </w:tc>
        <w:tc>
          <w:tcPr>
            <w:tcW w:w="120" w:type="dxa"/>
            <w:vAlign w:val="bottom"/>
            <w:shd w:val="clear" w:color="auto" w:fill="CFF0FC"/>
          </w:tcPr>
          <w:p>
            <w:pPr>
              <w:spacing w:after="0"/>
              <w:rPr>
                <w:sz w:val="17"/>
                <w:szCs w:val="17"/>
                <w:color w:val="auto"/>
              </w:rPr>
            </w:pPr>
          </w:p>
        </w:tc>
        <w:tc>
          <w:tcPr>
            <w:tcW w:w="2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w:t>
            </w:r>
          </w:p>
        </w:tc>
        <w:tc>
          <w:tcPr>
            <w:tcW w:w="60" w:type="dxa"/>
            <w:vAlign w:val="bottom"/>
            <w:shd w:val="clear" w:color="auto" w:fill="CFF0FC"/>
          </w:tcPr>
          <w:p>
            <w:pPr>
              <w:spacing w:after="0"/>
              <w:rPr>
                <w:sz w:val="17"/>
                <w:szCs w:val="17"/>
                <w:color w:val="auto"/>
              </w:rPr>
            </w:pPr>
          </w:p>
        </w:tc>
      </w:tr>
      <w:tr>
        <w:trPr>
          <w:trHeight w:val="203"/>
        </w:trPr>
        <w:tc>
          <w:tcPr>
            <w:tcW w:w="8980" w:type="dxa"/>
            <w:vAlign w:val="bottom"/>
          </w:tcPr>
          <w:p>
            <w:pPr>
              <w:ind w:left="20"/>
              <w:spacing w:after="0" w:line="202" w:lineRule="exact"/>
              <w:rPr>
                <w:sz w:val="20"/>
                <w:szCs w:val="20"/>
                <w:color w:val="auto"/>
              </w:rPr>
            </w:pPr>
            <w:r>
              <w:rPr>
                <w:rFonts w:ascii="Arial" w:cs="Arial" w:eastAsia="Arial" w:hAnsi="Arial"/>
                <w:sz w:val="18"/>
                <w:szCs w:val="18"/>
                <w:color w:val="auto"/>
              </w:rPr>
              <w:t>Increase in fair value of Contingent Milestone Payments</w:t>
            </w: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2,836</w:t>
            </w:r>
          </w:p>
        </w:tc>
        <w:tc>
          <w:tcPr>
            <w:tcW w:w="60" w:type="dxa"/>
            <w:vAlign w:val="bottom"/>
          </w:tcPr>
          <w:p>
            <w:pPr>
              <w:spacing w:after="0"/>
              <w:rPr>
                <w:sz w:val="17"/>
                <w:szCs w:val="17"/>
                <w:color w:val="auto"/>
              </w:rPr>
            </w:pPr>
          </w:p>
        </w:tc>
      </w:tr>
      <w:tr>
        <w:trPr>
          <w:trHeight w:val="236"/>
        </w:trPr>
        <w:tc>
          <w:tcPr>
            <w:tcW w:w="89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50,258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fair value of Contingent Milestone Payments” in the table above was primarily attributable to the time value of money.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available-for-sale investments by type of security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4"/>
                <w:szCs w:val="14"/>
                <w:b w:val="1"/>
                <w:bCs w:val="1"/>
                <w:color w:val="auto"/>
              </w:rPr>
              <w:t>December 31, 2021</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33"/>
        </w:trPr>
        <w:tc>
          <w:tcPr>
            <w:tcW w:w="5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tcPr>
          <w:p>
            <w:pPr>
              <w:jc w:val="center"/>
              <w:ind w:right="420"/>
              <w:spacing w:after="0" w:line="133"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277"/>
              <w:spacing w:after="0" w:line="133"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454"/>
              <w:spacing w:after="0" w:line="133" w:lineRule="exact"/>
              <w:rPr>
                <w:sz w:val="20"/>
                <w:szCs w:val="20"/>
                <w:color w:val="auto"/>
              </w:rPr>
            </w:pPr>
            <w:r>
              <w:rPr>
                <w:rFonts w:ascii="Arial" w:cs="Arial" w:eastAsia="Arial" w:hAnsi="Arial"/>
                <w:sz w:val="14"/>
                <w:szCs w:val="14"/>
                <w:b w:val="1"/>
                <w:bCs w:val="1"/>
                <w:color w:val="auto"/>
              </w:rPr>
              <w:t>Fair</w:t>
            </w:r>
          </w:p>
        </w:tc>
      </w:tr>
      <w:tr>
        <w:trPr>
          <w:trHeight w:val="185"/>
        </w:trPr>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437"/>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Value</w:t>
            </w: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Investments:</w:t>
            </w:r>
          </w:p>
        </w:tc>
        <w:tc>
          <w:tcPr>
            <w:tcW w:w="1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U.S treasury bills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189,406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(228 )</w:t>
            </w:r>
          </w:p>
        </w:tc>
        <w:tc>
          <w:tcPr>
            <w:tcW w:w="34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189,178</w:t>
            </w:r>
          </w:p>
        </w:tc>
      </w:tr>
      <w:tr>
        <w:trPr>
          <w:trHeight w:val="203"/>
        </w:trPr>
        <w:tc>
          <w:tcPr>
            <w:tcW w:w="57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U.S agency securities</w:t>
            </w:r>
          </w:p>
        </w:tc>
        <w:tc>
          <w:tcPr>
            <w:tcW w:w="1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108,895</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(138 )</w:t>
            </w: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108,757</w:t>
            </w:r>
          </w:p>
        </w:tc>
      </w:tr>
      <w:tr>
        <w:trPr>
          <w:trHeight w:val="196"/>
        </w:trPr>
        <w:tc>
          <w:tcPr>
            <w:tcW w:w="5760" w:type="dxa"/>
            <w:vAlign w:val="bottom"/>
          </w:tcPr>
          <w:p>
            <w:pPr>
              <w:ind w:left="200"/>
              <w:spacing w:after="0" w:line="196" w:lineRule="exact"/>
              <w:rPr>
                <w:sz w:val="20"/>
                <w:szCs w:val="20"/>
                <w:color w:val="auto"/>
              </w:rPr>
            </w:pPr>
            <w:r>
              <w:rPr>
                <w:rFonts w:ascii="Arial" w:cs="Arial" w:eastAsia="Arial" w:hAnsi="Arial"/>
                <w:sz w:val="18"/>
                <w:szCs w:val="18"/>
                <w:color w:val="auto"/>
              </w:rPr>
              <w:t>Total investments with a maturity of one year or less</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298,301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(366 )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297,935</w:t>
            </w:r>
          </w:p>
        </w:tc>
      </w:tr>
      <w:tr>
        <w:trPr>
          <w:trHeight w:val="196"/>
        </w:trPr>
        <w:tc>
          <w:tcPr>
            <w:tcW w:w="5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U.S treasury bills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280,743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(535 )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280,208</w:t>
            </w:r>
          </w:p>
        </w:tc>
      </w:tr>
      <w:tr>
        <w:trPr>
          <w:trHeight w:val="203"/>
        </w:trPr>
        <w:tc>
          <w:tcPr>
            <w:tcW w:w="57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U.S agency securities</w:t>
            </w:r>
          </w:p>
        </w:tc>
        <w:tc>
          <w:tcPr>
            <w:tcW w:w="1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99,998</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(187 )</w:t>
            </w: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99,811</w:t>
            </w:r>
          </w:p>
        </w:tc>
      </w:tr>
      <w:tr>
        <w:trPr>
          <w:trHeight w:val="196"/>
        </w:trPr>
        <w:tc>
          <w:tcPr>
            <w:tcW w:w="5760" w:type="dxa"/>
            <w:vAlign w:val="bottom"/>
          </w:tcPr>
          <w:p>
            <w:pPr>
              <w:ind w:left="200"/>
              <w:spacing w:after="0" w:line="196" w:lineRule="exact"/>
              <w:rPr>
                <w:sz w:val="20"/>
                <w:szCs w:val="20"/>
                <w:color w:val="auto"/>
              </w:rPr>
            </w:pPr>
            <w:r>
              <w:rPr>
                <w:rFonts w:ascii="Arial" w:cs="Arial" w:eastAsia="Arial" w:hAnsi="Arial"/>
                <w:sz w:val="18"/>
                <w:szCs w:val="18"/>
                <w:color w:val="auto"/>
              </w:rPr>
              <w:t>Total investments with a maturity of one to two years</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380,741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(722 )</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380,019</w:t>
            </w:r>
          </w:p>
        </w:tc>
      </w:tr>
      <w:tr>
        <w:trPr>
          <w:trHeight w:val="236"/>
        </w:trPr>
        <w:tc>
          <w:tcPr>
            <w:tcW w:w="57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investments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679,042</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(1,088 )</w:t>
            </w:r>
          </w:p>
        </w:tc>
        <w:tc>
          <w:tcPr>
            <w:tcW w:w="140" w:type="dxa"/>
            <w:vAlign w:val="bottom"/>
            <w:tcBorders>
              <w:bottom w:val="single" w:sz="8" w:color="CFF0FC"/>
            </w:tcBorders>
            <w:gridSpan w:val="2"/>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677,954</w:t>
            </w:r>
          </w:p>
        </w:tc>
      </w:tr>
      <w:tr>
        <w:trPr>
          <w:trHeight w:val="413"/>
        </w:trPr>
        <w:tc>
          <w:tcPr>
            <w:tcW w:w="5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33"/>
        </w:trPr>
        <w:tc>
          <w:tcPr>
            <w:tcW w:w="5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217"/>
              <w:spacing w:after="0" w:line="133"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574"/>
              <w:spacing w:after="0" w:line="133" w:lineRule="exact"/>
              <w:rPr>
                <w:sz w:val="20"/>
                <w:szCs w:val="20"/>
                <w:color w:val="auto"/>
              </w:rPr>
            </w:pPr>
            <w:r>
              <w:rPr>
                <w:rFonts w:ascii="Arial" w:cs="Arial" w:eastAsia="Arial" w:hAnsi="Arial"/>
                <w:sz w:val="14"/>
                <w:szCs w:val="14"/>
                <w:b w:val="1"/>
                <w:bCs w:val="1"/>
                <w:color w:val="auto"/>
              </w:rPr>
              <w:t>Fair</w:t>
            </w:r>
          </w:p>
        </w:tc>
      </w:tr>
      <w:tr>
        <w:trPr>
          <w:trHeight w:val="185"/>
        </w:trPr>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7"/>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514"/>
              <w:spacing w:after="0"/>
              <w:rPr>
                <w:sz w:val="20"/>
                <w:szCs w:val="20"/>
                <w:color w:val="auto"/>
              </w:rPr>
            </w:pPr>
            <w:r>
              <w:rPr>
                <w:rFonts w:ascii="Arial" w:cs="Arial" w:eastAsia="Arial" w:hAnsi="Arial"/>
                <w:sz w:val="14"/>
                <w:szCs w:val="14"/>
                <w:b w:val="1"/>
                <w:bCs w:val="1"/>
                <w:color w:val="auto"/>
              </w:rPr>
              <w:t>Value</w:t>
            </w: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Investments:</w:t>
            </w:r>
          </w:p>
        </w:tc>
        <w:tc>
          <w:tcPr>
            <w:tcW w:w="1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U.S treasury bills</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29,997</w:t>
            </w:r>
          </w:p>
        </w:tc>
        <w:tc>
          <w:tcPr>
            <w:tcW w:w="2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3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30,018</w:t>
            </w:r>
          </w:p>
        </w:tc>
      </w:tr>
      <w:tr>
        <w:trPr>
          <w:trHeight w:val="203"/>
        </w:trPr>
        <w:tc>
          <w:tcPr>
            <w:tcW w:w="57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U.S agency securities</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20,996</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54"/>
              <w:spacing w:after="0" w:line="202" w:lineRule="exact"/>
              <w:rPr>
                <w:sz w:val="20"/>
                <w:szCs w:val="20"/>
                <w:color w:val="auto"/>
              </w:rPr>
            </w:pPr>
            <w:r>
              <w:rPr>
                <w:rFonts w:ascii="Arial" w:cs="Arial" w:eastAsia="Arial" w:hAnsi="Arial"/>
                <w:sz w:val="18"/>
                <w:szCs w:val="18"/>
                <w:color w:val="auto"/>
              </w:rPr>
              <w:t>21,001</w:t>
            </w:r>
          </w:p>
        </w:tc>
      </w:tr>
      <w:tr>
        <w:trPr>
          <w:trHeight w:val="196"/>
        </w:trPr>
        <w:tc>
          <w:tcPr>
            <w:tcW w:w="5760" w:type="dxa"/>
            <w:vAlign w:val="bottom"/>
          </w:tcPr>
          <w:p>
            <w:pPr>
              <w:ind w:left="200"/>
              <w:spacing w:after="0" w:line="196" w:lineRule="exact"/>
              <w:rPr>
                <w:sz w:val="20"/>
                <w:szCs w:val="20"/>
                <w:color w:val="auto"/>
              </w:rPr>
            </w:pPr>
            <w:r>
              <w:rPr>
                <w:rFonts w:ascii="Arial" w:cs="Arial" w:eastAsia="Arial" w:hAnsi="Arial"/>
                <w:sz w:val="18"/>
                <w:szCs w:val="18"/>
                <w:color w:val="auto"/>
              </w:rPr>
              <w:t>Total investments with a maturity of one year or less</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50,993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4"/>
              <w:spacing w:after="0" w:line="196" w:lineRule="exact"/>
              <w:rPr>
                <w:sz w:val="20"/>
                <w:szCs w:val="20"/>
                <w:color w:val="auto"/>
              </w:rPr>
            </w:pPr>
            <w:r>
              <w:rPr>
                <w:rFonts w:ascii="Arial" w:cs="Arial" w:eastAsia="Arial" w:hAnsi="Arial"/>
                <w:sz w:val="18"/>
                <w:szCs w:val="18"/>
                <w:color w:val="auto"/>
              </w:rPr>
              <w:t>51,019</w:t>
            </w:r>
          </w:p>
        </w:tc>
      </w:tr>
      <w:tr>
        <w:trPr>
          <w:trHeight w:val="196"/>
        </w:trPr>
        <w:tc>
          <w:tcPr>
            <w:tcW w:w="5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2"/>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U.S treasury bills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3,008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3,008</w:t>
            </w:r>
          </w:p>
        </w:tc>
      </w:tr>
      <w:tr>
        <w:trPr>
          <w:trHeight w:val="203"/>
        </w:trPr>
        <w:tc>
          <w:tcPr>
            <w:tcW w:w="57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U.S agency securities</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176,350</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w:t>
            </w: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54"/>
              <w:spacing w:after="0" w:line="202" w:lineRule="exact"/>
              <w:rPr>
                <w:sz w:val="20"/>
                <w:szCs w:val="20"/>
                <w:color w:val="auto"/>
              </w:rPr>
            </w:pPr>
            <w:r>
              <w:rPr>
                <w:rFonts w:ascii="Arial" w:cs="Arial" w:eastAsia="Arial" w:hAnsi="Arial"/>
                <w:sz w:val="18"/>
                <w:szCs w:val="18"/>
                <w:color w:val="auto"/>
              </w:rPr>
              <w:t>176,388</w:t>
            </w:r>
          </w:p>
        </w:tc>
      </w:tr>
      <w:tr>
        <w:trPr>
          <w:trHeight w:val="196"/>
        </w:trPr>
        <w:tc>
          <w:tcPr>
            <w:tcW w:w="5760" w:type="dxa"/>
            <w:vAlign w:val="bottom"/>
          </w:tcPr>
          <w:p>
            <w:pPr>
              <w:ind w:left="200"/>
              <w:spacing w:after="0" w:line="196" w:lineRule="exact"/>
              <w:rPr>
                <w:sz w:val="20"/>
                <w:szCs w:val="20"/>
                <w:color w:val="auto"/>
              </w:rPr>
            </w:pPr>
            <w:r>
              <w:rPr>
                <w:rFonts w:ascii="Arial" w:cs="Arial" w:eastAsia="Arial" w:hAnsi="Arial"/>
                <w:sz w:val="18"/>
                <w:szCs w:val="18"/>
                <w:color w:val="auto"/>
              </w:rPr>
              <w:t>Total investments with a maturity of one to two years</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179,358</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4"/>
              <w:spacing w:after="0" w:line="196" w:lineRule="exact"/>
              <w:rPr>
                <w:sz w:val="20"/>
                <w:szCs w:val="20"/>
                <w:color w:val="auto"/>
              </w:rPr>
            </w:pPr>
            <w:r>
              <w:rPr>
                <w:rFonts w:ascii="Arial" w:cs="Arial" w:eastAsia="Arial" w:hAnsi="Arial"/>
                <w:sz w:val="18"/>
                <w:szCs w:val="18"/>
                <w:color w:val="auto"/>
              </w:rPr>
              <w:t>179,396</w:t>
            </w:r>
          </w:p>
        </w:tc>
      </w:tr>
      <w:tr>
        <w:trPr>
          <w:trHeight w:val="236"/>
        </w:trPr>
        <w:tc>
          <w:tcPr>
            <w:tcW w:w="57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investments</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230,351</w:t>
            </w: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gridSpan w:val="2"/>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154"/>
              <w:spacing w:after="0" w:line="196" w:lineRule="exact"/>
              <w:rPr>
                <w:sz w:val="20"/>
                <w:szCs w:val="20"/>
                <w:color w:val="auto"/>
              </w:rPr>
            </w:pPr>
            <w:r>
              <w:rPr>
                <w:rFonts w:ascii="Arial" w:cs="Arial" w:eastAsia="Arial" w:hAnsi="Arial"/>
                <w:sz w:val="18"/>
                <w:szCs w:val="18"/>
                <w:color w:val="auto"/>
              </w:rPr>
              <w:t>230,415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-2542540</wp:posOffset>
            </wp:positionV>
            <wp:extent cx="8572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-2542540</wp:posOffset>
            </wp:positionV>
            <wp:extent cx="7747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-2542540</wp:posOffset>
            </wp:positionV>
            <wp:extent cx="7683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-2011045</wp:posOffset>
            </wp:positionV>
            <wp:extent cx="8572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-2011045</wp:posOffset>
            </wp:positionV>
            <wp:extent cx="7747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-2011045</wp:posOffset>
            </wp:positionV>
            <wp:extent cx="7683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-1739265</wp:posOffset>
            </wp:positionV>
            <wp:extent cx="857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-1722120</wp:posOffset>
            </wp:positionV>
            <wp:extent cx="857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-1739265</wp:posOffset>
            </wp:positionV>
            <wp:extent cx="774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-1722120</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-1739265</wp:posOffset>
            </wp:positionV>
            <wp:extent cx="768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-1722120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-828040</wp:posOffset>
            </wp:positionV>
            <wp:extent cx="7683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-828040</wp:posOffset>
            </wp:positionV>
            <wp:extent cx="7747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-828040</wp:posOffset>
            </wp:positionV>
            <wp:extent cx="6858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-296545</wp:posOffset>
            </wp:positionV>
            <wp:extent cx="7683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-296545</wp:posOffset>
            </wp:positionV>
            <wp:extent cx="7747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-296545</wp:posOffset>
            </wp:positionV>
            <wp:extent cx="6858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768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774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774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color w:val="auto"/>
        </w:rPr>
        <w:t>The Company held 88 and 9 debt securities that were in an unrealized loss position as of December 31, 2021 and 2020, respectively. The aggregate fair value of debt securities in an unrealized loss position was $667.0 million and $70.5 million as of December 31, 2021 and 2020, respectively. As of December 31, 2021 and 2020, the Company did not hold any debt securities in a continuous unrealized loss position for more than 12 months.</w:t>
      </w:r>
    </w:p>
    <w:p>
      <w:pPr>
        <w:spacing w:after="0" w:line="174" w:lineRule="exact"/>
        <w:rPr>
          <w:sz w:val="20"/>
          <w:szCs w:val="20"/>
          <w:color w:val="auto"/>
        </w:rPr>
      </w:pPr>
    </w:p>
    <w:p>
      <w:pPr>
        <w:ind w:right="500"/>
        <w:spacing w:after="0" w:line="282" w:lineRule="auto"/>
        <w:rPr>
          <w:sz w:val="20"/>
          <w:szCs w:val="20"/>
          <w:color w:val="auto"/>
        </w:rPr>
      </w:pPr>
      <w:r>
        <w:rPr>
          <w:rFonts w:ascii="Arial" w:cs="Arial" w:eastAsia="Arial" w:hAnsi="Arial"/>
          <w:sz w:val="16"/>
          <w:szCs w:val="16"/>
          <w:color w:val="auto"/>
        </w:rPr>
        <w:t>The Company reviews investments for other-than-temporary impairment whenever the fair value of an investment is less than the amortized cost and evidence indicates that an investment’s carrying amount is not recoverable within a reasonable period of time. Other-than-temporary impairments of</w:t>
      </w:r>
    </w:p>
    <w:p>
      <w:pPr>
        <w:ind w:right="120"/>
        <w:spacing w:after="0" w:line="248" w:lineRule="auto"/>
        <w:rPr>
          <w:sz w:val="20"/>
          <w:szCs w:val="20"/>
          <w:color w:val="auto"/>
        </w:rPr>
      </w:pPr>
      <w:r>
        <w:rPr>
          <w:rFonts w:ascii="Arial" w:cs="Arial" w:eastAsia="Arial" w:hAnsi="Arial"/>
          <w:sz w:val="18"/>
          <w:szCs w:val="18"/>
          <w:color w:val="auto"/>
        </w:rPr>
        <w:t>investments are recognized in the consolidated statements of operations if we have the intent to sell the investment or if it is more likely than not that the Company will be required to sell the investment before recovery of the amortized cost basis. Evidence considered in this assessment includes reasons for the impairment, compliance with our investment policy, the severity and the duration of the impairment, and changes in value subsequent to the end of the period. The unrealized losses at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0" w:name="page151"/>
    <w:bookmarkEnd w:id="150"/>
    <w:p>
      <w:pPr>
        <w:ind w:right="500"/>
        <w:spacing w:after="0" w:line="261" w:lineRule="auto"/>
        <w:rPr>
          <w:sz w:val="20"/>
          <w:szCs w:val="20"/>
          <w:color w:val="auto"/>
        </w:rPr>
      </w:pPr>
      <w:r>
        <w:rPr>
          <w:rFonts w:ascii="Arial" w:cs="Arial" w:eastAsia="Arial" w:hAnsi="Arial"/>
          <w:sz w:val="18"/>
          <w:szCs w:val="18"/>
          <w:color w:val="auto"/>
        </w:rPr>
        <w:t>December 31, 2021 and 2020 are attributable to changes in interest rates, and we do not believe any unrealized losses represent other-than-temporary impairments.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 of ZebiAI</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On April 22, 2021 (the “Acquisition Date”), the Company acquired ZebiAI, a privately held company focused on using machine learning combined with DNA encoded library data sets for drug discovery. Pursuant to the Agreement and Plan of Merger (the “Merger Agreement”), the Company was required to pay ZebiAI’s former stockholders, option holders and warrant holders (“the ZebiAI Holders”) upfront consideration of approximately $20.0 million in cash and issue 1,914,219 shares of the Company’s common stock at an aggregate fair value of $61.8 million. In addition, (i) the ZebiAI Holders will be eligible to receive up to an additional $85.0 million in milestone payments upon the achievement of certain platform or program-related milestones, payable in common stock (the “Contingent Milestone Payments”), and (ii) the Company will pay to the ZebiAI Holders 10% of the payments it receives within three years of the closing date of the Merger Agreement from partnering, collaboration or other agreements related to ZebiAI’s platform up to an aggregate maximum amount of $100.0 million, payable in cash (the “Contingent Earnout Payments”).</w:t>
      </w:r>
    </w:p>
    <w:p>
      <w:pPr>
        <w:spacing w:after="0" w:line="181"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The Company assessed if ZebiAI represented an asset or a business under FASB ASC Topic 805, Business Combinations (“ASC 805”), as amended by ASU 2017-01. Under ASC 805, the Company determined that ZebiAI did not constitute a business, since substantially all of the fair value of the gross assets acquired is concentrated in a single asset, which is the intellectual property for the AI platform and the related data sets in development by ZebiAI. The intellectual property acquired from ZebiAI is at an early stage of development and will require a significant investment of time and capital for development. There is no assurance that the Company will be successful in completing the additional research and development activities.</w:t>
      </w:r>
    </w:p>
    <w:p>
      <w:pPr>
        <w:spacing w:after="0" w:line="159"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The Company also determined that the acquisition represented an initial consolidation of a variable interest entity that does not constitute a business in accordance with FASB Topic 810, Consolidation (“ASC 810”), primarily as a result of the fact that ZebiAI was deemed to be a variable interest entity, as it did not have sufficient equity to finance its activities without additional subordinated financial support. Prior to the Acquisition Date, the source of funding for ZebiAl had primarily been preferred stock financings and convertible notes. The Company acquired all of the outstanding shares of ZebiAI and, therefore, is the sole equity holder. The Company will absorb the losses of ZebiAI, has the rights to the benefits derived from the ZebiAI platform, and the power to direct all activities and, therefore, is the primary beneficiary. As a result, the net assets acquired and liabilities assumed in connection with the ZebiAI acquisition were recorded at their estimated fair values as of the Acquisition Date. Total consideration transferred of $135.5 million included the cash and shares issued to ZebiAI Holders, the fair value of the Contingent Milestone Payments and the Contingent Earnout Payments and an insignificant amount attributed to the replacement of stock options to ZebiAI Holders. The Contingent Milestone Payments were determined to be liabilities pursuant to ASC 480 and, therefore, were included in consideration transferred. The Contingent Earnout Payments were required to be included in total consideration transferred as a result of the guidance under ASC 810. The difference between total consideration transferred and the fair value of net assets acquired and liabilities assumed of $11.9 million was recorded as loss on initial consolidation of a variable interest entity pursuant to ASC 810.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assets acquired based on their estimated fair values as of the Acquisition Date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Acquired IPR&amp;D asset</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123,000</w:t>
            </w:r>
          </w:p>
        </w:tc>
        <w:tc>
          <w:tcPr>
            <w:tcW w:w="100" w:type="dxa"/>
            <w:vAlign w:val="bottom"/>
            <w:shd w:val="clear" w:color="auto" w:fill="CFF0FC"/>
          </w:tcPr>
          <w:p>
            <w:pPr>
              <w:spacing w:after="0"/>
              <w:rPr>
                <w:sz w:val="18"/>
                <w:szCs w:val="18"/>
                <w:color w:val="auto"/>
              </w:rPr>
            </w:pPr>
          </w:p>
        </w:tc>
      </w:tr>
      <w:tr>
        <w:trPr>
          <w:trHeight w:val="203"/>
        </w:trPr>
        <w:tc>
          <w:tcPr>
            <w:tcW w:w="9080" w:type="dxa"/>
            <w:vAlign w:val="bottom"/>
          </w:tcPr>
          <w:p>
            <w:pPr>
              <w:ind w:left="20"/>
              <w:spacing w:after="0" w:line="202" w:lineRule="exact"/>
              <w:rPr>
                <w:sz w:val="20"/>
                <w:szCs w:val="20"/>
                <w:color w:val="auto"/>
              </w:rPr>
            </w:pPr>
            <w:r>
              <w:rPr>
                <w:rFonts w:ascii="Arial" w:cs="Arial" w:eastAsia="Arial" w:hAnsi="Arial"/>
                <w:sz w:val="18"/>
                <w:szCs w:val="18"/>
                <w:color w:val="auto"/>
              </w:rPr>
              <w:t>Loss on initial consolidation of VIE</w:t>
            </w:r>
          </w:p>
        </w:tc>
        <w:tc>
          <w:tcPr>
            <w:tcW w:w="7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11,855</w:t>
            </w:r>
          </w:p>
        </w:tc>
        <w:tc>
          <w:tcPr>
            <w:tcW w:w="100" w:type="dxa"/>
            <w:vAlign w:val="bottom"/>
          </w:tcPr>
          <w:p>
            <w:pPr>
              <w:spacing w:after="0"/>
              <w:rPr>
                <w:sz w:val="17"/>
                <w:szCs w:val="17"/>
                <w:color w:val="auto"/>
              </w:rPr>
            </w:pPr>
          </w:p>
        </w:tc>
      </w:tr>
      <w:tr>
        <w:trPr>
          <w:trHeight w:val="203"/>
        </w:trPr>
        <w:tc>
          <w:tcPr>
            <w:tcW w:w="9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Assets obtained in asset acquisition</w:t>
            </w:r>
          </w:p>
        </w:tc>
        <w:tc>
          <w:tcPr>
            <w:tcW w:w="7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662</w:t>
            </w:r>
          </w:p>
        </w:tc>
        <w:tc>
          <w:tcPr>
            <w:tcW w:w="100" w:type="dxa"/>
            <w:vAlign w:val="bottom"/>
            <w:shd w:val="clear" w:color="auto" w:fill="CFF0FC"/>
          </w:tcPr>
          <w:p>
            <w:pPr>
              <w:spacing w:after="0"/>
              <w:rPr>
                <w:sz w:val="17"/>
                <w:szCs w:val="17"/>
                <w:color w:val="auto"/>
              </w:rPr>
            </w:pPr>
          </w:p>
        </w:tc>
      </w:tr>
      <w:tr>
        <w:trPr>
          <w:trHeight w:val="203"/>
        </w:trPr>
        <w:tc>
          <w:tcPr>
            <w:tcW w:w="9080" w:type="dxa"/>
            <w:vAlign w:val="bottom"/>
          </w:tcPr>
          <w:p>
            <w:pPr>
              <w:ind w:left="20"/>
              <w:spacing w:after="0" w:line="202" w:lineRule="exact"/>
              <w:rPr>
                <w:sz w:val="20"/>
                <w:szCs w:val="20"/>
                <w:color w:val="auto"/>
              </w:rPr>
            </w:pPr>
            <w:r>
              <w:rPr>
                <w:rFonts w:ascii="Arial" w:cs="Arial" w:eastAsia="Arial" w:hAnsi="Arial"/>
                <w:sz w:val="18"/>
                <w:szCs w:val="18"/>
                <w:color w:val="auto"/>
              </w:rPr>
              <w:t>Liabilities assumed in asset acquisition</w:t>
            </w:r>
          </w:p>
        </w:tc>
        <w:tc>
          <w:tcPr>
            <w:tcW w:w="780" w:type="dxa"/>
            <w:vAlign w:val="bottom"/>
          </w:tcPr>
          <w:p>
            <w:pPr>
              <w:spacing w:after="0"/>
              <w:rPr>
                <w:sz w:val="17"/>
                <w:szCs w:val="17"/>
                <w:color w:val="auto"/>
              </w:rPr>
            </w:pPr>
          </w:p>
        </w:tc>
        <w:tc>
          <w:tcPr>
            <w:tcW w:w="1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(2,330 )</w:t>
            </w:r>
          </w:p>
        </w:tc>
      </w:tr>
      <w:tr>
        <w:trPr>
          <w:trHeight w:val="203"/>
        </w:trPr>
        <w:tc>
          <w:tcPr>
            <w:tcW w:w="90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w:t>
            </w:r>
          </w:p>
        </w:tc>
        <w:tc>
          <w:tcPr>
            <w:tcW w:w="7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080" w:type="dxa"/>
            <w:vAlign w:val="bottom"/>
          </w:tcPr>
          <w:p>
            <w:pPr>
              <w:ind w:left="20"/>
              <w:spacing w:after="0" w:line="196" w:lineRule="exact"/>
              <w:rPr>
                <w:sz w:val="20"/>
                <w:szCs w:val="20"/>
                <w:color w:val="auto"/>
              </w:rPr>
            </w:pPr>
            <w:r>
              <w:rPr>
                <w:rFonts w:ascii="Arial" w:cs="Arial" w:eastAsia="Arial" w:hAnsi="Arial"/>
                <w:sz w:val="18"/>
                <w:szCs w:val="18"/>
                <w:color w:val="auto"/>
              </w:rPr>
              <w:t>Net acquired assets</w:t>
            </w:r>
          </w:p>
        </w:tc>
        <w:tc>
          <w:tcPr>
            <w:tcW w:w="78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135,487</w:t>
            </w:r>
          </w:p>
        </w:tc>
        <w:tc>
          <w:tcPr>
            <w:tcW w:w="100" w:type="dxa"/>
            <w:vAlign w:val="bottom"/>
          </w:tcPr>
          <w:p>
            <w:pPr>
              <w:spacing w:after="0"/>
              <w:rPr>
                <w:sz w:val="17"/>
                <w:szCs w:val="17"/>
                <w:color w:val="auto"/>
              </w:rPr>
            </w:pPr>
          </w:p>
        </w:tc>
      </w:tr>
      <w:tr>
        <w:trPr>
          <w:trHeight w:val="20"/>
        </w:trPr>
        <w:tc>
          <w:tcPr>
            <w:tcW w:w="9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8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estimating the fair value of the acquired tangible assets and liabilities assumed, the Company used the carrying value of the net working capital balances as the most reliable indicator of fair value based on the associated short-term nature of the balances. The remaining fair value was attributable to the acquired IPR&amp;D and an intangible asset. The fair value attributable to the IPR&amp;D asset was determined using an Avoided Cost Method that includes all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1" w:name="page152"/>
    <w:bookmarkEnd w:id="151"/>
    <w:p>
      <w:pPr>
        <w:spacing w:after="0" w:line="254" w:lineRule="auto"/>
        <w:rPr>
          <w:sz w:val="20"/>
          <w:szCs w:val="20"/>
          <w:color w:val="auto"/>
        </w:rPr>
      </w:pPr>
      <w:r>
        <w:rPr>
          <w:rFonts w:ascii="Arial" w:cs="Arial" w:eastAsia="Arial" w:hAnsi="Arial"/>
          <w:sz w:val="17"/>
          <w:szCs w:val="17"/>
          <w:color w:val="auto"/>
        </w:rPr>
        <w:t>costs to develop the IPR&amp;D asset, including appropriate mark-ups on the cost estimate and an expected return related to developing the IPR&amp;D asset over a period of time. The fair value of the IPR&amp;D asset was expensed in the Company’s consolidated statements of operations and comprehensive loss for the year ended December 31, 2021, as the acquired IPR&amp;D had no alternative future use, as determined by the Company in accordance with U.S. GAAP, including ASC 730. The intangible asset represents the assembled workforce, for which the Company concluded there were no indicators of impairment through December 31, 2021. The Company recognized stock-based compensation expense associated with the accelerated vesting for certain stock options in connection with the acquisition of ZebiAI in the amount of $4.6 million in the consolidated statement of operations for the year ended December 31, 2021. Finally, the Company also recognized acquisition-related costs of $0.9 million within general and administrative expenses in the consolidated statement of operations for the year ended December 31, 2021.</w:t>
      </w:r>
    </w:p>
    <w:p>
      <w:pPr>
        <w:spacing w:after="0" w:line="18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 xml:space="preserve">For the Contingent Milestone Payments and Contingent Earnout Payments, the Company recorded contingent consideration liabilities of $42.4 million and $5.0 million, respectively, representing the fair value of the payment provisions noted as of the Acquisition Date. The Company is required to re-assess the fair value of the Contingent Milestone Payments at each reporting period pursuant to ASC 480 (refer to Note 3). In connection therewith, the Company adjusted the contingent consideration liability for the Contingent Milestone Payments to $45.3 million as of December 31, 2021, representing the fair value of the payment provision noted as of the balance sheet date. The Contingent Milestone Payments are payable in common shares based on a fixed amount assigned to each milestone and the weighted average share price of the Company’s stock for the 5-day period prior to the milestone achievement. Accordingly, the number of shares to be issued upon a milestone achievement vary dependent on the Company’s stock price. The settlement amounts of Contingent Milestone Payments are predominantly fixed. If the milestones had been achieved in full on December 31, 2021, the number of shares to be issued would have been 2,817,555 based on a weighted-average per share price of $30.17 for the 5-day period prior to December 31, 2021. The Contingent Earnout Payments were not accounted for as derivatives under FASB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and, therefore, are not re-assessed at fair value at each reporting period. The Contingent Earnout Payments will be adjusted when the contingency is resolved and the consideration is paid or becomes payable.</w:t>
      </w:r>
    </w:p>
    <w:p>
      <w:pPr>
        <w:spacing w:after="0" w:line="287" w:lineRule="exact"/>
        <w:rPr>
          <w:sz w:val="20"/>
          <w:szCs w:val="20"/>
          <w:color w:val="auto"/>
        </w:rPr>
      </w:pPr>
    </w:p>
    <w:p>
      <w:pPr>
        <w:ind w:right="7320" w:firstLine="8"/>
        <w:spacing w:after="0" w:line="434" w:lineRule="auto"/>
        <w:tabs>
          <w:tab w:leader="none" w:pos="180"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Collaboration and License Arrangements </w:t>
      </w:r>
      <w:r>
        <w:rPr>
          <w:rFonts w:ascii="Arial" w:cs="Arial" w:eastAsia="Arial" w:hAnsi="Arial"/>
          <w:sz w:val="15"/>
          <w:szCs w:val="15"/>
          <w:b w:val="1"/>
          <w:bCs w:val="1"/>
          <w:i w:val="1"/>
          <w:iCs w:val="1"/>
          <w:color w:val="auto"/>
        </w:rPr>
        <w:t>Discovery Collaboration Agreement with EQRx, Inc.</w:t>
      </w:r>
    </w:p>
    <w:p>
      <w:pPr>
        <w:spacing w:after="0" w:line="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August 2021, the Company and EQRx, Inc. (“EQRx”) entered into the Discovery Collaboration Agreement (“Collaboration Agreement”) to discover, develop, and commercialize novel medicines against validated oncology targets. Under the terms of the Collaboration Agreement, the Company is responsible for the discovery collaboration phase through to filing of the application for an Investigational New Drug (“IND”), while EQRx is responsible for clinical development, regulatory and commercialization of the product candidates under the collaboration. Subject to certain opt-out rights, the Company and EQRx share equally in the discovery, development and commercialization costs, as well as the net profits and losses from sales of any collaboration medicines, if approved. The Company retains the right to develop any collaboration medicines in combination with its wholly-owned pipeline.</w:t>
      </w:r>
    </w:p>
    <w:p>
      <w:pPr>
        <w:spacing w:after="0" w:line="19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Company accounts for the Collaboration Agreement pursuant to its accounting policy on collaboration arrangements, as disclosed in Note 2. During the year ended December 31, 2021, expenses related to the Collaboration Agreement were immaterial.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Agreement with Genentech, Inc.</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On December 11, 2020, the Company entered into the Genentech Agreement, which granted Genentech a license to develop and commercialize RLY-1971. RLY-1971 is currently being developed in a Phase 1a clinical trial for patients with advanced solid tumors (the “Phase 1a Trial”). Unless Genentech elects to exercise its option to conduct the remainder of the ongoing Phase 1a Trial, the Company is responsible for the completion of this trial. Genentech is responsible for conducting all subsequent clinical development of RLY-1971. The Company is also responsible for the one-time transfer of the active pharmaceutical ingredient (“API”) and other materials related to RLY-1971 to Genentech.</w:t>
      </w:r>
    </w:p>
    <w:p>
      <w:pPr>
        <w:spacing w:after="0" w:line="17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Under the Genentech Agreement, the Company was entitled to a non-refundable upfront payment of $75.0 million, which was due upon completion of certain technology transfer activities and was reflected as accounts receivable 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2" w:name="page153"/>
    <w:bookmarkEnd w:id="152"/>
    <w:p>
      <w:pPr>
        <w:ind w:right="60"/>
        <w:spacing w:after="0" w:line="255" w:lineRule="auto"/>
        <w:rPr>
          <w:sz w:val="20"/>
          <w:szCs w:val="20"/>
          <w:color w:val="auto"/>
        </w:rPr>
      </w:pPr>
      <w:r>
        <w:rPr>
          <w:rFonts w:ascii="Arial" w:cs="Arial" w:eastAsia="Arial" w:hAnsi="Arial"/>
          <w:sz w:val="17"/>
          <w:szCs w:val="17"/>
          <w:color w:val="auto"/>
        </w:rPr>
        <w:t>the consolidated balance sheet at December 31, 2020. The Company collected this amount in full in January 2021. In April 2021, the Company completed the transfer of the IND application for RLY-1971 to Genentech, upon which the Company received payment for the associated non-refundable milestone payment of $5.0 million in May 2021. In December 2021, the Company received another milestone payment of $15.0 million, which is refundable if the Company opts into the collaboration with Genentech, as discussed below. The Company is eligible to receive up to $5.0 million in other near-term milestone payments. The Company is also eligible to receive up to an aggregate of an additional $695.0 million upon the achievement of specified development, commercialization and sales-based milestones for RLY-1971 worldwide as well as tiered royalties ranging from low-to-mid teens on annual worldwide net sales of RLY-1971, on a country-by-country basis, subject to reduction in certain circumstances.</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Company has the option, exercisable one time at the Company’s sole discretion, to (a) fund half of the development costs of RLY-1971 in the U.S., (b) share half of the net profits or net loss of commercializing RLY-1971 in the U.S. (the “Profit/Cost Share”) and (c) be eligible to receive up to an aggregate of an additional $410.0 million upon the achievement of specified commercialization and sales-based milestones for RLY-1971 outside of the U.S and tiered royalties ranging from low-to-mid teens on annual net sales of RLY-1971 outside of the U.S., on a country-by-country basis, subject to reduction in certain circumstances. The Company may elect to opt-out of further participation in the Profit/Cost Share at any time prior to the third anniversary of the first commercial sale of RLY-1971 in the U.S, in which case the financial terms would revert to the terms applicable as if Company had not opted into the Profit/Cost Share as of the effective opt-out date.</w:t>
      </w:r>
    </w:p>
    <w:p>
      <w:pPr>
        <w:spacing w:after="0" w:line="218"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Genentech may terminate the Genentech Agreement for convenience and the Company may terminate the Genentech Agreement under certain limited circumstances. Unless otherwise terminated, the Genentech Agreement will remain in effect until the expiration of all Genentech’s royalty payment obligations to the Company.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10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 concluded that Genentech is a customer in this arrangement and as such, the arrangement falls within the scope of the revenue recognition guidance in ASC 606.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At the commencement of the Genentech Agreement, the Company identified the following performance obligations in the agreement:</w:t>
      </w:r>
    </w:p>
    <w:p>
      <w:pPr>
        <w:spacing w:after="0" w:line="104" w:lineRule="exact"/>
        <w:rPr>
          <w:sz w:val="20"/>
          <w:szCs w:val="20"/>
          <w:color w:val="auto"/>
        </w:rPr>
      </w:pPr>
    </w:p>
    <w:p>
      <w:pPr>
        <w:ind w:left="880" w:hanging="378"/>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License to develop and commercialize RLY-1971 and the related know-how;</w:t>
      </w:r>
    </w:p>
    <w:p>
      <w:pPr>
        <w:spacing w:after="0" w:line="103" w:lineRule="exact"/>
        <w:rPr>
          <w:rFonts w:ascii="Arial" w:cs="Arial" w:eastAsia="Arial" w:hAnsi="Arial"/>
          <w:sz w:val="18"/>
          <w:szCs w:val="18"/>
          <w:color w:val="auto"/>
        </w:rPr>
      </w:pPr>
    </w:p>
    <w:p>
      <w:pPr>
        <w:ind w:left="880" w:hanging="378"/>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Research and development services to complete the Phase 1a Trial for RLY-1971; and</w:t>
      </w:r>
    </w:p>
    <w:p>
      <w:pPr>
        <w:spacing w:after="0" w:line="103" w:lineRule="exact"/>
        <w:rPr>
          <w:rFonts w:ascii="Arial" w:cs="Arial" w:eastAsia="Arial" w:hAnsi="Arial"/>
          <w:sz w:val="18"/>
          <w:szCs w:val="18"/>
          <w:color w:val="auto"/>
        </w:rPr>
      </w:pPr>
    </w:p>
    <w:p>
      <w:pPr>
        <w:ind w:left="880" w:hanging="378"/>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Transfer of API and other materials related to RLY-1971.</w:t>
      </w:r>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Company determined that the performance obligations outlined above are both capable of being distinct and distinct within the context of the contract given such rights and activities are independent of each other. The license can be used by Genentech without the research and development services or API outlined above, and similarly those services and inventory provide distinct benefit to Genentech within the context of the contract, separate from the license.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104"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As of December 31, 2021, the Company determined the transaction price for the Genentech Agreement to be $86.5 million, which includes both fixed and variable consideration amounts. The total transaction price of $86.5 million is comprised of (i) the $75.0 million fixed, non-refundable upfront payment,</w:t>
      </w:r>
    </w:p>
    <w:p>
      <w:pPr>
        <w:spacing w:after="0" w:line="1" w:lineRule="exact"/>
        <w:rPr>
          <w:sz w:val="20"/>
          <w:szCs w:val="20"/>
          <w:color w:val="auto"/>
        </w:rPr>
      </w:pPr>
    </w:p>
    <w:p>
      <w:pPr>
        <w:ind w:right="140" w:firstLine="8"/>
        <w:spacing w:after="0" w:line="238" w:lineRule="auto"/>
        <w:tabs>
          <w:tab w:leader="none" w:pos="26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$5.0 million non-refundable milestone payment due upon the transfer of the IND application to Genentech, (iii) a $5.0 million non-refundable milestone payment due upon completion of the Phase 1a Trial for RLY-1971 and (iv) $1.5 million of estimated variable consideration related to reimbursements due from Genentech for research and development services. No additional development milestone payments, including the $15.0 million milestone payment received in</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53" w:name="page154"/>
    <w:bookmarkEnd w:id="153"/>
    <w:p>
      <w:pPr>
        <w:ind w:right="300"/>
        <w:spacing w:after="0" w:line="284" w:lineRule="auto"/>
        <w:rPr>
          <w:sz w:val="20"/>
          <w:szCs w:val="20"/>
          <w:color w:val="auto"/>
        </w:rPr>
      </w:pPr>
      <w:r>
        <w:rPr>
          <w:rFonts w:ascii="Arial" w:cs="Arial" w:eastAsia="Arial" w:hAnsi="Arial"/>
          <w:sz w:val="16"/>
          <w:szCs w:val="16"/>
          <w:color w:val="auto"/>
        </w:rPr>
        <w:t>December 2021, and no regulatory milestone payments are included in the transaction price as all such payments are variable consideration fully constrained as of December 31, 2021. As part of management’s evaluation of the constraint, the Company considered numerous factors, including consideration of the fact that achievement of the milestones is outside of the Company’s control, contingent upon Genentech’s efforts and the receipt of regulatory approval and subject to scientific risks of success, as well as the Company’s option to participate in the Profit/Cost Share.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 to Performance Obligations</w:t>
      </w:r>
    </w:p>
    <w:p>
      <w:pPr>
        <w:spacing w:after="0" w:line="10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Company allocated the transaction price of $86.5 million based on the stand-alone selling prices (“SSP”) of each of the performance obligations as follows:</w:t>
      </w:r>
    </w:p>
    <w:p>
      <w:pPr>
        <w:spacing w:after="0" w:line="63" w:lineRule="exact"/>
        <w:rPr>
          <w:sz w:val="20"/>
          <w:szCs w:val="20"/>
          <w:color w:val="auto"/>
        </w:rPr>
      </w:pPr>
    </w:p>
    <w:p>
      <w:pPr>
        <w:ind w:left="880" w:hanging="378"/>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$83.3 million for the transfer of the license</w:t>
      </w:r>
    </w:p>
    <w:p>
      <w:pPr>
        <w:spacing w:after="0" w:line="103" w:lineRule="exact"/>
        <w:rPr>
          <w:rFonts w:ascii="Arial" w:cs="Arial" w:eastAsia="Arial" w:hAnsi="Arial"/>
          <w:sz w:val="18"/>
          <w:szCs w:val="18"/>
          <w:color w:val="auto"/>
        </w:rPr>
      </w:pPr>
    </w:p>
    <w:p>
      <w:pPr>
        <w:ind w:left="880" w:hanging="378"/>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$2.9 million for research and development services; and</w:t>
      </w:r>
    </w:p>
    <w:p>
      <w:pPr>
        <w:spacing w:after="0" w:line="103" w:lineRule="exact"/>
        <w:rPr>
          <w:rFonts w:ascii="Arial" w:cs="Arial" w:eastAsia="Arial" w:hAnsi="Arial"/>
          <w:sz w:val="18"/>
          <w:szCs w:val="18"/>
          <w:color w:val="auto"/>
        </w:rPr>
      </w:pPr>
    </w:p>
    <w:p>
      <w:pPr>
        <w:ind w:left="880" w:hanging="378"/>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$0.3 million for the transfer of API.</w:t>
      </w:r>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SSP for the license was determined using an approach that considered discounted, probability-weighted cash flows related to the license transferred. The Company also reviewed comparable market transactions in determining the SSP of the license. The SSP for the research and development services and the transfer of API were based on estimates of the associated effort and cost of these services and cost to manufacture API, adjusted for a reasonable profit margin that would be expected to be realized under similar contracts.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Revenue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recognizing revenue for each of the three performance obligations as follows:</w:t>
      </w:r>
    </w:p>
    <w:p>
      <w:pPr>
        <w:spacing w:after="0" w:line="104" w:lineRule="exact"/>
        <w:rPr>
          <w:sz w:val="20"/>
          <w:szCs w:val="20"/>
          <w:color w:val="auto"/>
        </w:rPr>
      </w:pPr>
    </w:p>
    <w:p>
      <w:pPr>
        <w:ind w:left="880" w:right="100" w:hanging="378"/>
        <w:spacing w:after="0" w:line="248"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recognized revenue related to the license at a point in time upon transfer of the license to Genentech. The Company recognized the full amount allocated to the license and related know-how in the fourth quarter of 2020 because the Company had transferred the license upon execution of the Genentech Agreement.</w:t>
      </w:r>
    </w:p>
    <w:p>
      <w:pPr>
        <w:spacing w:after="0" w:line="73" w:lineRule="exact"/>
        <w:rPr>
          <w:rFonts w:ascii="Arial" w:cs="Arial" w:eastAsia="Arial" w:hAnsi="Arial"/>
          <w:sz w:val="18"/>
          <w:szCs w:val="18"/>
          <w:color w:val="auto"/>
        </w:rPr>
      </w:pPr>
    </w:p>
    <w:p>
      <w:pPr>
        <w:ind w:left="880" w:right="40" w:hanging="378"/>
        <w:spacing w:after="0" w:line="257" w:lineRule="auto"/>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Company is satisfying the research and development performance obligation for RLY-1971 as the research and development services are performed. The research and development services performance obligation consists of the Company completing the Phase 1a clinical trial initiated in the first quarter of 2020. The Company recognizes revenue related to the research and development services over time using a cost-based input method by calculating actual costs incurred to date at each period end relative to total estimated costs expected to be incurred to fulfill the performance obligation. Revenue recognized related to this performance obligation during the years ended December 31, 2021 and 2020 was $1.7 million and $0, respectively.</w:t>
      </w:r>
    </w:p>
    <w:p>
      <w:pPr>
        <w:spacing w:after="0" w:line="67" w:lineRule="exact"/>
        <w:rPr>
          <w:rFonts w:ascii="Arial" w:cs="Arial" w:eastAsia="Arial" w:hAnsi="Arial"/>
          <w:sz w:val="17"/>
          <w:szCs w:val="17"/>
          <w:color w:val="auto"/>
        </w:rPr>
      </w:pPr>
    </w:p>
    <w:p>
      <w:pPr>
        <w:ind w:left="880" w:right="20" w:hanging="378"/>
        <w:spacing w:after="0" w:line="324" w:lineRule="auto"/>
        <w:tabs>
          <w:tab w:leader="none" w:pos="8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Company recognized the full amount of revenue related to the transfer of API in the first quarter of 2021 upon transfer to Genentech in the amount of $0.3 million. There was no revenue recognized related to this performance obligation during the year ended December 31, 2020.</w:t>
      </w:r>
    </w:p>
    <w:p>
      <w:pPr>
        <w:spacing w:after="0" w:line="12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During the years ended December 31, 2021 and 2020, the Company recognized an aggregate of $2.6 million and $82.7 million, respectively, of revenue from the Genentech Agreement.</w:t>
      </w:r>
    </w:p>
    <w:p>
      <w:pPr>
        <w:spacing w:after="0" w:line="17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At December 31, 2021, the Company recorded a contract asset in the amount of $4.5 million, which is classified as a current asset, on the balance sheet. The contract asset relates to the amount of revenue recognized for which the right to payment is contingent upon conditions other than the passage of time, such as the completion of future milestone activities.</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At December 31, 2021, the Company recorded an other liability in the amount of $15.0 million, which is classified as a non-current liability, on the balance sheet. The liability represents the cash received for the milestone payment in December 2021. The amount has been excluded from the transaction price at December 31, 2021</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54" w:name="page155"/>
    <w:bookmarkEnd w:id="154"/>
    <w:p>
      <w:pPr>
        <w:ind w:right="80" w:firstLine="45"/>
        <w:spacing w:after="0" w:line="261" w:lineRule="auto"/>
        <w:rPr>
          <w:sz w:val="20"/>
          <w:szCs w:val="20"/>
          <w:color w:val="auto"/>
        </w:rPr>
      </w:pPr>
      <w:r>
        <w:rPr>
          <w:rFonts w:ascii="Arial" w:cs="Arial" w:eastAsia="Arial" w:hAnsi="Arial"/>
          <w:sz w:val="18"/>
          <w:szCs w:val="18"/>
          <w:color w:val="auto"/>
        </w:rPr>
        <w:t>and, therefore, excluded from amounts recognized as revenue, since the amount is subject to repayment to Genentech if the Company exercises its option to participate in the Profit/Cost Share under the Genentech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3"/>
        </w:trPr>
        <w:tc>
          <w:tcPr>
            <w:tcW w:w="4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03"/>
        </w:trPr>
        <w:tc>
          <w:tcPr>
            <w:tcW w:w="4960" w:type="dxa"/>
            <w:vAlign w:val="bottom"/>
          </w:tcPr>
          <w:p>
            <w:pPr>
              <w:ind w:left="180"/>
              <w:spacing w:after="0" w:line="202" w:lineRule="exact"/>
              <w:rPr>
                <w:sz w:val="20"/>
                <w:szCs w:val="20"/>
                <w:color w:val="auto"/>
              </w:rPr>
            </w:pPr>
            <w:r>
              <w:rPr>
                <w:rFonts w:ascii="Arial" w:cs="Arial" w:eastAsia="Arial" w:hAnsi="Arial"/>
                <w:sz w:val="18"/>
                <w:szCs w:val="18"/>
                <w:color w:val="auto"/>
              </w:rPr>
              <w:t>Laboratory equipment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15,797</w:t>
            </w:r>
          </w:p>
        </w:tc>
        <w:tc>
          <w:tcPr>
            <w:tcW w:w="4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13,534</w:t>
            </w:r>
          </w:p>
        </w:tc>
      </w:tr>
      <w:tr>
        <w:trPr>
          <w:trHeight w:val="203"/>
        </w:trPr>
        <w:tc>
          <w:tcPr>
            <w:tcW w:w="49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2,897</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886</w:t>
            </w:r>
          </w:p>
        </w:tc>
      </w:tr>
      <w:tr>
        <w:trPr>
          <w:trHeight w:val="203"/>
        </w:trPr>
        <w:tc>
          <w:tcPr>
            <w:tcW w:w="4960" w:type="dxa"/>
            <w:vAlign w:val="bottom"/>
          </w:tcPr>
          <w:p>
            <w:pPr>
              <w:ind w:left="180"/>
              <w:spacing w:after="0" w:line="202" w:lineRule="exact"/>
              <w:rPr>
                <w:sz w:val="20"/>
                <w:szCs w:val="20"/>
                <w:color w:val="auto"/>
              </w:rPr>
            </w:pPr>
            <w:r>
              <w:rPr>
                <w:rFonts w:ascii="Arial" w:cs="Arial" w:eastAsia="Arial" w:hAnsi="Arial"/>
                <w:sz w:val="18"/>
                <w:szCs w:val="18"/>
                <w:color w:val="auto"/>
              </w:rPr>
              <w:t>Computer equipment</w:t>
            </w:r>
          </w:p>
        </w:tc>
        <w:tc>
          <w:tcPr>
            <w:tcW w:w="320" w:type="dxa"/>
            <w:vAlign w:val="bottom"/>
          </w:tcPr>
          <w:p>
            <w:pPr>
              <w:spacing w:after="0"/>
              <w:rPr>
                <w:sz w:val="17"/>
                <w:szCs w:val="17"/>
                <w:color w:val="auto"/>
              </w:rPr>
            </w:pPr>
          </w:p>
        </w:tc>
        <w:tc>
          <w:tcPr>
            <w:tcW w:w="11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1,093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888</w:t>
            </w:r>
          </w:p>
        </w:tc>
      </w:tr>
      <w:tr>
        <w:trPr>
          <w:trHeight w:val="203"/>
        </w:trPr>
        <w:tc>
          <w:tcPr>
            <w:tcW w:w="49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Furniture and fixtures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989</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895</w:t>
            </w:r>
          </w:p>
        </w:tc>
      </w:tr>
      <w:tr>
        <w:trPr>
          <w:trHeight w:val="203"/>
        </w:trPr>
        <w:tc>
          <w:tcPr>
            <w:tcW w:w="4960" w:type="dxa"/>
            <w:vAlign w:val="bottom"/>
          </w:tcPr>
          <w:p>
            <w:pPr>
              <w:ind w:left="180"/>
              <w:spacing w:after="0" w:line="202" w:lineRule="exact"/>
              <w:rPr>
                <w:sz w:val="20"/>
                <w:szCs w:val="20"/>
                <w:color w:val="auto"/>
              </w:rPr>
            </w:pPr>
            <w:r>
              <w:rPr>
                <w:rFonts w:ascii="Arial" w:cs="Arial" w:eastAsia="Arial" w:hAnsi="Arial"/>
                <w:sz w:val="18"/>
                <w:szCs w:val="18"/>
                <w:color w:val="auto"/>
              </w:rPr>
              <w:t>Construction in process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134</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577</w:t>
            </w:r>
          </w:p>
        </w:tc>
      </w:tr>
      <w:tr>
        <w:trPr>
          <w:trHeight w:val="196"/>
        </w:trPr>
        <w:tc>
          <w:tcPr>
            <w:tcW w:w="4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20,910</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16,780</w:t>
            </w:r>
          </w:p>
        </w:tc>
      </w:tr>
      <w:tr>
        <w:trPr>
          <w:trHeight w:val="203"/>
        </w:trPr>
        <w:tc>
          <w:tcPr>
            <w:tcW w:w="4960" w:type="dxa"/>
            <w:vAlign w:val="bottom"/>
          </w:tcPr>
          <w:p>
            <w:pPr>
              <w:ind w:left="180"/>
              <w:spacing w:after="0" w:line="202" w:lineRule="exact"/>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(14,367 )</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(10,530 )</w:t>
            </w:r>
          </w:p>
        </w:tc>
      </w:tr>
      <w:tr>
        <w:trPr>
          <w:trHeight w:val="236"/>
        </w:trPr>
        <w:tc>
          <w:tcPr>
            <w:tcW w:w="49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property and equipment, net</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6,543</w:t>
            </w:r>
          </w:p>
        </w:tc>
        <w:tc>
          <w:tcPr>
            <w:tcW w:w="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6,250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Company recorded $3.9 million, $3.5 million and $2.8 million of depreciation expense for the years ended December 31, 2021, 2020 and 2019,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and Other Current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3"/>
        </w:trPr>
        <w:tc>
          <w:tcPr>
            <w:tcW w:w="50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External research and development</w:t>
            </w:r>
          </w:p>
        </w:tc>
        <w:tc>
          <w:tcPr>
            <w:tcW w:w="800" w:type="dxa"/>
            <w:vAlign w:val="bottom"/>
            <w:shd w:val="clear" w:color="auto" w:fill="CFF0FC"/>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3"/>
              </w:rPr>
              <w:t>10,755</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5,099</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Professional services</w:t>
            </w:r>
          </w:p>
        </w:tc>
        <w:tc>
          <w:tcPr>
            <w:tcW w:w="8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2,613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464</w:t>
            </w:r>
          </w:p>
        </w:tc>
      </w:tr>
      <w:tr>
        <w:trPr>
          <w:trHeight w:val="203"/>
        </w:trPr>
        <w:tc>
          <w:tcPr>
            <w:tcW w:w="50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585</w:t>
            </w:r>
          </w:p>
        </w:tc>
        <w:tc>
          <w:tcPr>
            <w:tcW w:w="1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197</w:t>
            </w: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Total accrued expenses and other current liabilities</w:t>
            </w:r>
          </w:p>
        </w:tc>
        <w:tc>
          <w:tcPr>
            <w:tcW w:w="800" w:type="dxa"/>
            <w:vAlign w:val="bottom"/>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w w:val="83"/>
              </w:rPr>
              <w:t>13,953</w:t>
            </w:r>
          </w:p>
        </w:tc>
        <w:tc>
          <w:tcPr>
            <w:tcW w:w="50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5,760</w:t>
            </w:r>
          </w:p>
        </w:tc>
      </w:tr>
      <w:tr>
        <w:trPr>
          <w:trHeight w:val="20"/>
        </w:trPr>
        <w:tc>
          <w:tcPr>
            <w:tcW w:w="5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-159385</wp:posOffset>
            </wp:positionV>
            <wp:extent cx="6032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108"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color w:val="auto"/>
        </w:rPr>
        <w:t>Each share of common stock entitles the holder to one vote on all matters submitted to a vote of the Company’s stockholders. Common stockholders are entitled to receive dividends, as may be declared by the Company’s board of directors. As of December 31, 2021, no dividends had been declared.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prior years, the Company issued restricted shares of common stock to its founders and non-employees. In addition, the Company issued restricted shares of common stock upon the early exercise of stock options under the Company’s 2016 Stock Option and Grant Plan (the “2016 Stock Plan”). The restrictions on the common shares generally lapse over four years. The Company included the proceeds from the sale of the restricted shares of common stock as a restricted stock liability on the accompanying consolidated balance sheets. Amounts are reclassified to additional paid-in capital as the restrictions lapse. The Company has the right to repurchase any unvested shares of restricted common stock at the original cost in the event of termination.</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The following table summarizes the restricted stock activity for the year ended December 31, 2021:</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42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at December 31, 2020</w:t>
            </w:r>
          </w:p>
        </w:tc>
        <w:tc>
          <w:tcPr>
            <w:tcW w:w="14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84,489</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2"/>
              <w:spacing w:after="0" w:line="196"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CFF0FC"/>
            </w:tcBorders>
          </w:tcPr>
          <w:p>
            <w:pPr>
              <w:ind w:left="180"/>
              <w:spacing w:after="0" w:line="202" w:lineRule="exact"/>
              <w:rPr>
                <w:sz w:val="20"/>
                <w:szCs w:val="20"/>
                <w:color w:val="auto"/>
              </w:rPr>
            </w:pPr>
            <w:r>
              <w:rPr>
                <w:rFonts w:ascii="Arial" w:cs="Arial" w:eastAsia="Arial" w:hAnsi="Arial"/>
                <w:sz w:val="18"/>
                <w:szCs w:val="18"/>
                <w:color w:val="auto"/>
              </w:rPr>
              <w:t>Vested</w:t>
            </w: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(84,489 )</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tcPr>
          <w:p>
            <w:pPr>
              <w:jc w:val="right"/>
              <w:ind w:right="2"/>
              <w:spacing w:after="0" w:line="202"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6"/>
        </w:trPr>
        <w:tc>
          <w:tcPr>
            <w:tcW w:w="4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Unvested at December 31, 2021</w:t>
            </w:r>
          </w:p>
        </w:tc>
        <w:tc>
          <w:tcPr>
            <w:tcW w:w="142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-162560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restricted shares that vested during the year ended December 31, 2021 was $3.4 million.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0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In August 2021, the Company entered into a sales agreement, (the “Sales Agreement”), with Cowen and Company, LLC, or Cowen, pursuant to which the Company may offer and sell shares of its common stock having aggregate gross proceeds of up to $300.0 million from time to time in “at-the-market” offerings through Cowen, as the Company’s sales agent. The Company agreed to pay Cowen a commission of up to 3.0% of the gross proceeds of any shares sold by Cowen under the Sales Agreement. There have been no shares of common stock sold under the Sales Agreement through December 31, 2021.</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104"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In October 2021, the Company completed a public offering of 15,188,679 shares of common stock, including the exercise in full of the underwriters’ option to purchase an additional 1,981,132 shares, at an offering price of $26.50 per share. The Company received net proceeds of $382.2 million, after deducting underwriting discounts and commissions and other estimated offering expenses.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Compensation</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2016, the Company adopted the 2016 Stock Plan. Subsequent to July 2020, no further awards have been granted under the 2016 Stock Plan and all equity-based awards have been and will continue to be granted under the 2020 Stock Option and Incentive Plan (the “2020 Stock Plan”). To the extent outstanding options granted under the 2016 Stock Plan are cancelled, forfeited, or otherwise terminated without being exercised and would otherwise have been returned to the share reserve under the 2016 Stock Plan, the number of shares underlying such awards will be available for future grant under the 2020 Stock Plan.</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2020, the Company’s stockholders approved the 2020 Stock Plan. All of the Company’s employees, officers, directors, and consultants are eligible to be granted options, restricted stock units, and other stock-based awards under the terms of the 2020 Stock Plan, which originally provided for the issuance of up to 8,376,080 of stock-based awards. The 2020 Stock Plan is also subject to annual increases to be added on the first day of each fiscal year, commencing on January 1, 2021, equal to 5% of the number of outstanding shares on the immediately preceding December 31 or such lesser number of shares approved by the Company’s board of directors or compensation committee of the board of directors. On January 1, 2021, the number of shares available for issuance under the 2020 Stock Plan was increased by 4,495,341 shares of common stock. There were 9,735,928 stock-based awards available for grant at December 31, 2021 under the 2020 Stock Plan.</w:t>
      </w:r>
    </w:p>
    <w:p>
      <w:pPr>
        <w:spacing w:after="0" w:line="180"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color w:val="auto"/>
        </w:rPr>
        <w:t>In 2020, the Company adopted an Employee Stock Purchase Plan (“ESPP”) that permits eligible employees to enroll in six-month offering periods. Participants may purchase shares of the Company’s common stock, through payroll deductions, at a price equal to 85% of the fair market value of the common stock on the first or last day of the applicable six-month offering period, whichever is lower. Purchase dates under the ESPP occur on or about June 30 and December 31 each year, with the initial purchase date under the ESPP on December 31, 2021. The Company’s stockholders originally authorized 1,092,532 shares for issuance pursuant to the ESPP, which is subject to annual increases to be added on the first day of each fiscal year, commencing on January 1, 2021, equal to the lesser of 2,185,064 shares of the Company’s common stock, 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56" w:name="page157"/>
    <w:bookmarkEnd w:id="156"/>
    <w:p>
      <w:pPr>
        <w:jc w:val="both"/>
        <w:ind w:right="360" w:firstLine="8"/>
        <w:spacing w:after="0" w:line="248" w:lineRule="auto"/>
        <w:tabs>
          <w:tab w:leader="none" w:pos="1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of the number of outstanding shares on the immediately preceding December 31, or an amount determined by the Company’s board of directors. On January 1, 2021, the number of shares available for issuance under the ESPP was increased by 899,068 shares of common stock. There were 1,947,915 shares available for grant at December 31, 2021 under the ESPP.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all stock-based payments, total stock-based compensation expense recognized was as follows: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r>
      <w:tr>
        <w:trPr>
          <w:trHeight w:val="169"/>
        </w:trPr>
        <w:tc>
          <w:tcPr>
            <w:tcW w:w="4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r>
      <w:tr>
        <w:trPr>
          <w:trHeight w:val="196"/>
        </w:trPr>
        <w:tc>
          <w:tcPr>
            <w:tcW w:w="4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24,922</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14,691</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2,687</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23,532</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17,269</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1,769</w:t>
            </w:r>
          </w:p>
        </w:tc>
      </w:tr>
      <w:tr>
        <w:trPr>
          <w:trHeight w:val="236"/>
        </w:trPr>
        <w:tc>
          <w:tcPr>
            <w:tcW w:w="4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48,454</w:t>
            </w: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31,960</w:t>
            </w:r>
          </w:p>
        </w:tc>
        <w:tc>
          <w:tcPr>
            <w:tcW w:w="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-24765</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431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431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Stock Options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historically granted stock options to employees, directors and consultants with vesting conditions based on continued service over time.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Accordingly, stock-based compensation expense for such awards is recognized using a straight-line attribution model over the vesting term of each option.</w:t>
      </w:r>
    </w:p>
    <w:p>
      <w:pPr>
        <w:spacing w:after="0" w:line="21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table summarizes activity for time-based stock options under the 2016 Stock Plan and the 2020 Stock Plan for the year ended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4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277"/>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4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vMerge w:val="restart"/>
          </w:tcPr>
          <w:p>
            <w:pPr>
              <w:jc w:val="center"/>
              <w:ind w:right="27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4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4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14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27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14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6"/>
                <w:szCs w:val="16"/>
                <w:color w:val="auto"/>
              </w:rPr>
            </w:pPr>
          </w:p>
        </w:tc>
        <w:tc>
          <w:tcPr>
            <w:tcW w:w="14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2"/>
              </w:rPr>
              <w:t>Term (years)</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2020</w:t>
            </w:r>
          </w:p>
        </w:tc>
        <w:tc>
          <w:tcPr>
            <w:tcW w:w="1480" w:type="dxa"/>
            <w:vAlign w:val="bottom"/>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5,756,578</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7.59</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4"/>
              <w:spacing w:after="0" w:line="196" w:lineRule="exact"/>
              <w:rPr>
                <w:sz w:val="20"/>
                <w:szCs w:val="20"/>
                <w:color w:val="auto"/>
              </w:rPr>
            </w:pPr>
            <w:r>
              <w:rPr>
                <w:rFonts w:ascii="Arial" w:cs="Arial" w:eastAsia="Arial" w:hAnsi="Arial"/>
                <w:sz w:val="18"/>
                <w:szCs w:val="18"/>
                <w:color w:val="auto"/>
              </w:rPr>
              <w:t>7.63</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196,634</w:t>
            </w:r>
          </w:p>
        </w:tc>
        <w:tc>
          <w:tcPr>
            <w:tcW w:w="0" w:type="dxa"/>
            <w:vAlign w:val="bottom"/>
          </w:tcPr>
          <w:p>
            <w:pPr>
              <w:spacing w:after="0"/>
              <w:rPr>
                <w:sz w:val="1"/>
                <w:szCs w:val="1"/>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4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2,363,676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34.20</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(960,768 )</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4.82</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Cancelled</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(253,119 )</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15.37</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2021</w:t>
            </w:r>
          </w:p>
        </w:tc>
        <w:tc>
          <w:tcPr>
            <w:tcW w:w="1480" w:type="dxa"/>
            <w:vAlign w:val="bottom"/>
            <w:tcBorders>
              <w:bottom w:val="single" w:sz="8" w:color="auto"/>
            </w:tcBorders>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6,906,367</w:t>
            </w:r>
          </w:p>
        </w:tc>
        <w:tc>
          <w:tcPr>
            <w:tcW w:w="40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16.80</w:t>
            </w:r>
          </w:p>
        </w:tc>
        <w:tc>
          <w:tcPr>
            <w:tcW w:w="1580" w:type="dxa"/>
            <w:vAlign w:val="bottom"/>
            <w:gridSpan w:val="2"/>
            <w:shd w:val="clear" w:color="auto" w:fill="CFF0FC"/>
          </w:tcPr>
          <w:p>
            <w:pPr>
              <w:jc w:val="right"/>
              <w:ind w:right="44"/>
              <w:spacing w:after="0" w:line="196" w:lineRule="exact"/>
              <w:rPr>
                <w:sz w:val="20"/>
                <w:szCs w:val="20"/>
                <w:color w:val="auto"/>
              </w:rPr>
            </w:pPr>
            <w:r>
              <w:rPr>
                <w:rFonts w:ascii="Arial" w:cs="Arial" w:eastAsia="Arial" w:hAnsi="Arial"/>
                <w:sz w:val="18"/>
                <w:szCs w:val="18"/>
                <w:color w:val="auto"/>
              </w:rPr>
              <w:t>7.90</w:t>
            </w:r>
          </w:p>
        </w:tc>
        <w:tc>
          <w:tcPr>
            <w:tcW w:w="40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111,021</w:t>
            </w:r>
          </w:p>
        </w:tc>
        <w:tc>
          <w:tcPr>
            <w:tcW w:w="0" w:type="dxa"/>
            <w:vAlign w:val="bottom"/>
          </w:tcPr>
          <w:p>
            <w:pPr>
              <w:spacing w:after="0"/>
              <w:rPr>
                <w:sz w:val="1"/>
                <w:szCs w:val="1"/>
                <w:color w:val="auto"/>
              </w:rPr>
            </w:pPr>
          </w:p>
        </w:tc>
      </w:tr>
      <w:tr>
        <w:trPr>
          <w:trHeight w:val="183"/>
        </w:trPr>
        <w:tc>
          <w:tcPr>
            <w:tcW w:w="4860" w:type="dxa"/>
            <w:vAlign w:val="bottom"/>
          </w:tcPr>
          <w:p>
            <w:pPr>
              <w:ind w:left="20"/>
              <w:spacing w:after="0" w:line="182" w:lineRule="exact"/>
              <w:rPr>
                <w:sz w:val="20"/>
                <w:szCs w:val="20"/>
                <w:color w:val="auto"/>
              </w:rPr>
            </w:pPr>
            <w:r>
              <w:rPr>
                <w:rFonts w:ascii="Arial" w:cs="Arial" w:eastAsia="Arial" w:hAnsi="Arial"/>
                <w:sz w:val="18"/>
                <w:szCs w:val="18"/>
                <w:color w:val="auto"/>
              </w:rPr>
              <w:t>Vested at December 31, 2021</w:t>
            </w:r>
          </w:p>
        </w:tc>
        <w:tc>
          <w:tcPr>
            <w:tcW w:w="1480" w:type="dxa"/>
            <w:vAlign w:val="bottom"/>
            <w:tcBorders>
              <w:bottom w:val="single" w:sz="8" w:color="auto"/>
            </w:tcBorders>
          </w:tcPr>
          <w:p>
            <w:pPr>
              <w:jc w:val="right"/>
              <w:ind w:right="55"/>
              <w:spacing w:after="0" w:line="182" w:lineRule="exact"/>
              <w:rPr>
                <w:sz w:val="20"/>
                <w:szCs w:val="20"/>
                <w:color w:val="auto"/>
              </w:rPr>
            </w:pPr>
            <w:r>
              <w:rPr>
                <w:rFonts w:ascii="Arial" w:cs="Arial" w:eastAsia="Arial" w:hAnsi="Arial"/>
                <w:sz w:val="18"/>
                <w:szCs w:val="18"/>
                <w:color w:val="auto"/>
              </w:rPr>
              <w:t>2,971,597</w:t>
            </w:r>
          </w:p>
        </w:tc>
        <w:tc>
          <w:tcPr>
            <w:tcW w:w="40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7"/>
              <w:spacing w:after="0" w:line="182" w:lineRule="exact"/>
              <w:rPr>
                <w:sz w:val="20"/>
                <w:szCs w:val="20"/>
                <w:color w:val="auto"/>
              </w:rPr>
            </w:pPr>
            <w:r>
              <w:rPr>
                <w:rFonts w:ascii="Arial" w:cs="Arial" w:eastAsia="Arial" w:hAnsi="Arial"/>
                <w:sz w:val="18"/>
                <w:szCs w:val="18"/>
                <w:color w:val="auto"/>
              </w:rPr>
              <w:t>8.24</w:t>
            </w:r>
          </w:p>
        </w:tc>
        <w:tc>
          <w:tcPr>
            <w:tcW w:w="1580" w:type="dxa"/>
            <w:vAlign w:val="bottom"/>
            <w:gridSpan w:val="2"/>
          </w:tcPr>
          <w:p>
            <w:pPr>
              <w:jc w:val="right"/>
              <w:ind w:right="44"/>
              <w:spacing w:after="0" w:line="182" w:lineRule="exact"/>
              <w:rPr>
                <w:sz w:val="20"/>
                <w:szCs w:val="20"/>
                <w:color w:val="auto"/>
              </w:rPr>
            </w:pPr>
            <w:r>
              <w:rPr>
                <w:rFonts w:ascii="Arial" w:cs="Arial" w:eastAsia="Arial" w:hAnsi="Arial"/>
                <w:sz w:val="18"/>
                <w:szCs w:val="18"/>
                <w:color w:val="auto"/>
              </w:rPr>
              <w:t>7.09</w:t>
            </w:r>
          </w:p>
        </w:tc>
        <w:tc>
          <w:tcPr>
            <w:tcW w:w="40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8"/>
              <w:spacing w:after="0" w:line="182" w:lineRule="exact"/>
              <w:rPr>
                <w:sz w:val="20"/>
                <w:szCs w:val="20"/>
                <w:color w:val="auto"/>
              </w:rPr>
            </w:pPr>
            <w:r>
              <w:rPr>
                <w:rFonts w:ascii="Arial" w:cs="Arial" w:eastAsia="Arial" w:hAnsi="Arial"/>
                <w:sz w:val="18"/>
                <w:szCs w:val="18"/>
                <w:color w:val="auto"/>
              </w:rPr>
              <w:t>68,991</w:t>
            </w:r>
          </w:p>
        </w:tc>
        <w:tc>
          <w:tcPr>
            <w:tcW w:w="0" w:type="dxa"/>
            <w:vAlign w:val="bottom"/>
          </w:tcPr>
          <w:p>
            <w:pPr>
              <w:spacing w:after="0"/>
              <w:rPr>
                <w:sz w:val="1"/>
                <w:szCs w:val="1"/>
                <w:color w:val="auto"/>
              </w:rPr>
            </w:pPr>
          </w:p>
        </w:tc>
      </w:tr>
      <w:tr>
        <w:trPr>
          <w:trHeight w:val="277"/>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December 31, 2021</w:t>
            </w:r>
          </w:p>
        </w:tc>
        <w:tc>
          <w:tcPr>
            <w:tcW w:w="14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3,934,770</w:t>
            </w:r>
          </w:p>
        </w:tc>
        <w:tc>
          <w:tcPr>
            <w:tcW w:w="40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23.27</w:t>
            </w:r>
          </w:p>
        </w:tc>
        <w:tc>
          <w:tcPr>
            <w:tcW w:w="1580" w:type="dxa"/>
            <w:vAlign w:val="bottom"/>
            <w:tcBorders>
              <w:bottom w:val="single" w:sz="8" w:color="CFF0FC"/>
            </w:tcBorders>
            <w:gridSpan w:val="2"/>
            <w:shd w:val="clear" w:color="auto" w:fill="CFF0FC"/>
          </w:tcPr>
          <w:p>
            <w:pPr>
              <w:jc w:val="right"/>
              <w:ind w:right="44"/>
              <w:spacing w:after="0"/>
              <w:rPr>
                <w:sz w:val="20"/>
                <w:szCs w:val="20"/>
                <w:color w:val="auto"/>
              </w:rPr>
            </w:pPr>
            <w:r>
              <w:rPr>
                <w:rFonts w:ascii="Arial" w:cs="Arial" w:eastAsia="Arial" w:hAnsi="Arial"/>
                <w:sz w:val="18"/>
                <w:szCs w:val="18"/>
                <w:color w:val="auto"/>
              </w:rPr>
              <w:t>8.51</w:t>
            </w:r>
          </w:p>
        </w:tc>
        <w:tc>
          <w:tcPr>
            <w:tcW w:w="40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42,029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-329565</wp:posOffset>
            </wp:positionV>
            <wp:extent cx="128270" cy="162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8270" cy="16256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-24765</wp:posOffset>
            </wp:positionV>
            <wp:extent cx="1028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-8255</wp:posOffset>
            </wp:positionV>
            <wp:extent cx="1028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total intrinsic value of time-based stock options exercised was $32.4 million, $2.4 million, and immaterial for the years ended December 31, 2021, 2020 and 2019, respectively.</w:t>
      </w:r>
    </w:p>
    <w:p>
      <w:pPr>
        <w:spacing w:after="0" w:line="171" w:lineRule="exact"/>
        <w:rPr>
          <w:sz w:val="20"/>
          <w:szCs w:val="20"/>
          <w:color w:val="auto"/>
        </w:rPr>
      </w:pPr>
    </w:p>
    <w:p>
      <w:pPr>
        <w:jc w:val="both"/>
        <w:ind w:right="160"/>
        <w:spacing w:after="0" w:line="270" w:lineRule="auto"/>
        <w:rPr>
          <w:sz w:val="20"/>
          <w:szCs w:val="20"/>
          <w:color w:val="auto"/>
        </w:rPr>
      </w:pPr>
      <w:r>
        <w:rPr>
          <w:rFonts w:ascii="Arial" w:cs="Arial" w:eastAsia="Arial" w:hAnsi="Arial"/>
          <w:sz w:val="17"/>
          <w:szCs w:val="17"/>
          <w:color w:val="auto"/>
        </w:rPr>
        <w:t>The fair value of each time-based stock option granted is estimated on the date of grant using the Black-Scholes option-pricing model, pursuant to which the weighted-average grant date fair values were $22.95, $14.77, and $3.35 during the years ended December 31, 2021, 2020, and 2019, respectively. The following table summarizes the assumptions used in calculating the fair value of the time-based stock options granted.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r>
        <w:trPr>
          <w:trHeight w:val="169"/>
        </w:trPr>
        <w:tc>
          <w:tcPr>
            <w:tcW w:w="5920" w:type="dxa"/>
            <w:vAlign w:val="bottom"/>
          </w:tcPr>
          <w:p>
            <w:pPr>
              <w:spacing w:after="0"/>
              <w:rPr>
                <w:sz w:val="14"/>
                <w:szCs w:val="14"/>
                <w:color w:val="auto"/>
              </w:rPr>
            </w:pPr>
          </w:p>
        </w:tc>
        <w:tc>
          <w:tcPr>
            <w:tcW w:w="1680" w:type="dxa"/>
            <w:vAlign w:val="bottom"/>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184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180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2019</w:t>
            </w:r>
          </w:p>
        </w:tc>
      </w:tr>
      <w:tr>
        <w:trPr>
          <w:trHeight w:val="196"/>
        </w:trPr>
        <w:tc>
          <w:tcPr>
            <w:tcW w:w="5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1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0.6 - 1.6%</w:t>
            </w:r>
          </w:p>
        </w:tc>
        <w:tc>
          <w:tcPr>
            <w:tcW w:w="16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0.4 - 1.8%</w:t>
            </w:r>
          </w:p>
        </w:tc>
        <w:tc>
          <w:tcPr>
            <w:tcW w:w="12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1.54 - 2.5%</w:t>
            </w:r>
          </w:p>
        </w:tc>
      </w:tr>
      <w:tr>
        <w:trPr>
          <w:trHeight w:val="203"/>
        </w:trPr>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6.25</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w:t>
            </w:r>
          </w:p>
        </w:tc>
      </w:tr>
      <w:tr>
        <w:trPr>
          <w:trHeight w:val="203"/>
        </w:trPr>
        <w:tc>
          <w:tcPr>
            <w:tcW w:w="5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74.7 - 76.6%</w:t>
            </w:r>
          </w:p>
        </w:tc>
        <w:tc>
          <w:tcPr>
            <w:tcW w:w="1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73.5 - 77.6%</w:t>
            </w:r>
          </w:p>
        </w:tc>
        <w:tc>
          <w:tcPr>
            <w:tcW w:w="1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72.8 - 73.5%</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Company uses the simplified method to calculate the expected term, as it does not have sufficient historical exercise data to provide a reasonable basis upon which to estimate the expected term for time-based stock options granted. The expected term is applied to the time-based stock option grant group as a whole, as the Company does not expect substantially different exercise or post-vesting termination behavior among the Company’s employees, directors and consultants. The Company’s stock price volatility assumption is based on historical volatility of a group of companies with similar characteristics to the Company and who have similar risk profiles and positions within the industry. The risk-free interest rate is based on a treasury instrument whose term is consistent with the expected term of the stock options. The Company accounts for forfeitures as they occur.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7" w:name="page158"/>
    <w:bookmarkEnd w:id="157"/>
    <w:p>
      <w:pPr>
        <w:ind w:right="680"/>
        <w:spacing w:after="0" w:line="277" w:lineRule="auto"/>
        <w:rPr>
          <w:sz w:val="20"/>
          <w:szCs w:val="20"/>
          <w:color w:val="auto"/>
        </w:rPr>
      </w:pPr>
      <w:r>
        <w:rPr>
          <w:rFonts w:ascii="Arial" w:cs="Arial" w:eastAsia="Arial" w:hAnsi="Arial"/>
          <w:sz w:val="18"/>
          <w:szCs w:val="18"/>
          <w:color w:val="auto"/>
        </w:rPr>
        <w:t>As of December 31, 2021, the total unrecognized compensation related to unvested time-based stock options granted was $53.6 million, which the Company expects to recognize over a weighted-average period of approximately 1.7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Options</w:t>
      </w:r>
    </w:p>
    <w:p>
      <w:pPr>
        <w:spacing w:after="0" w:line="11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March 2020 and September 2021, the Company granted options to certain employees with performance-based vesting conditions. In both instances, the commencement of vesting is based on the achievement of various scientific and operational milestones during specified periods, subject to the discretion and approval of either the Company’s board of directors or President and Chief Executive Officer.</w:t>
      </w:r>
    </w:p>
    <w:p>
      <w:pPr>
        <w:spacing w:after="0" w:line="18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 xml:space="preserve">For the performance-based stock options, the Company applies variable accounting until the performance criteria are determined to be achieved, at which time vesting commences over contractual service periods. Furthermore, because (1) the awards were authorized prior to the accounting grant date in the context of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(2) the recipients were providing service prior to the accounting grant date, and (3) there were performance conditions that, if not met by the accounting grant date, would have resulted in the forfeiture of the award, the service inception dates preceded the accounting grant date. Ultimately, the stock-based compensation expense for the options is determined based on the fair value of the awards on the accounting grant date, which is then recognized using an accelerated attribution model over the vesting term commencing upon the actual or expected accounting grant date.</w:t>
      </w:r>
    </w:p>
    <w:p>
      <w:pPr>
        <w:spacing w:after="0" w:line="191"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For the performance-based stock options granted in March 2020, all performance conditions have been resolved and the grant date was set at or prior to December 31, 2020. For the performance-based stock options granted in September 2021, the performance conditions had not been resolved as of December 31, 2021 and, therefore, the Company continued to apply variable accounting through December 31,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for performance-based stock options for the year ended December 31,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4"/>
                <w:szCs w:val="14"/>
                <w:color w:val="auto"/>
              </w:rPr>
            </w:pPr>
          </w:p>
        </w:tc>
        <w:tc>
          <w:tcPr>
            <w:tcW w:w="120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2"/>
              </w:rPr>
              <w:t>Aggregate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120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5"/>
              </w:rPr>
              <w:t>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6"/>
                <w:szCs w:val="16"/>
                <w:color w:val="auto"/>
              </w:rPr>
            </w:pPr>
          </w:p>
        </w:tc>
        <w:tc>
          <w:tcPr>
            <w:tcW w:w="120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Term (years)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2020</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1,940,480</w:t>
            </w:r>
          </w:p>
        </w:tc>
        <w:tc>
          <w:tcPr>
            <w:tcW w:w="2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5.22</w:t>
            </w:r>
          </w:p>
        </w:tc>
        <w:tc>
          <w:tcPr>
            <w:tcW w:w="220" w:type="dxa"/>
            <w:vAlign w:val="bottom"/>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8.58</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70,517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12,073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33.39</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(35,768 )</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5.22</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Cancelled</w:t>
            </w:r>
          </w:p>
        </w:tc>
        <w:tc>
          <w:tcPr>
            <w:tcW w:w="1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(103,525 )</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5.22</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2021</w:t>
            </w: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1,813,260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5.41</w:t>
            </w:r>
          </w:p>
        </w:tc>
        <w:tc>
          <w:tcPr>
            <w:tcW w:w="16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8.11</w:t>
            </w:r>
          </w:p>
        </w:tc>
        <w:tc>
          <w:tcPr>
            <w:tcW w:w="46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45,912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00" w:type="dxa"/>
            <w:vAlign w:val="bottom"/>
          </w:tcPr>
          <w:p>
            <w:pPr>
              <w:ind w:left="20"/>
              <w:spacing w:after="0" w:line="182" w:lineRule="exact"/>
              <w:rPr>
                <w:sz w:val="20"/>
                <w:szCs w:val="20"/>
                <w:color w:val="auto"/>
              </w:rPr>
            </w:pPr>
            <w:r>
              <w:rPr>
                <w:rFonts w:ascii="Arial" w:cs="Arial" w:eastAsia="Arial" w:hAnsi="Arial"/>
                <w:sz w:val="18"/>
                <w:szCs w:val="18"/>
                <w:color w:val="auto"/>
              </w:rPr>
              <w:t>Vested at December 31, 2021</w:t>
            </w:r>
          </w:p>
        </w:tc>
        <w:tc>
          <w:tcPr>
            <w:tcW w:w="1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499,464</w:t>
            </w:r>
          </w:p>
        </w:tc>
        <w:tc>
          <w:tcPr>
            <w:tcW w:w="280" w:type="dxa"/>
            <w:vAlign w:val="bottom"/>
          </w:tcPr>
          <w:p>
            <w:pPr>
              <w:spacing w:after="0"/>
              <w:rPr>
                <w:sz w:val="15"/>
                <w:szCs w:val="15"/>
                <w:color w:val="auto"/>
              </w:rPr>
            </w:pP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5.22</w:t>
            </w:r>
          </w:p>
        </w:tc>
        <w:tc>
          <w:tcPr>
            <w:tcW w:w="16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8.03</w:t>
            </w:r>
          </w:p>
        </w:tc>
        <w:tc>
          <w:tcPr>
            <w:tcW w:w="46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12,731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8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Unvested at December 31, 2021</w:t>
            </w: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1,313,796</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5.48</w:t>
            </w:r>
          </w:p>
        </w:tc>
        <w:tc>
          <w:tcPr>
            <w:tcW w:w="16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8.14</w:t>
            </w:r>
          </w:p>
        </w:tc>
        <w:tc>
          <w:tcPr>
            <w:tcW w:w="460" w:type="dxa"/>
            <w:vAlign w:val="bottom"/>
            <w:tcBorders>
              <w:bottom w:val="single" w:sz="8" w:color="CFF0FC"/>
            </w:tcBorders>
            <w:gridSpan w:val="2"/>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33,181</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-303530</wp:posOffset>
            </wp:positionV>
            <wp:extent cx="93980" cy="1625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total intrinsic value of performance-based stock options exercised was $1.1 million and immaterial for the years ended December 31, 2021 and 2020, respectively.</w:t>
      </w:r>
    </w:p>
    <w:p>
      <w:pPr>
        <w:spacing w:after="0" w:line="171"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fair value of each performance-based stock option granted is estimated on the accounting grant date, or at the end of each reporting period if variable accounting is applied, using the Black-Scholes option-pricing model, pursuant to which the grant date fair values were $20.28 and $37.48 during the years ended December 31, 2021 and 2020, respectively. The assumptions and methodologies used in calculating the fair value of performance-based stock options was similar to the assumptions and methodologies used in calculating the fair value of time-based stock options granted during the years ended December 31, 2021 and 2020.</w:t>
      </w:r>
    </w:p>
    <w:p>
      <w:pPr>
        <w:spacing w:after="0" w:line="18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of December 31, 2021, the total unrecognized compensation related to unvested performance-based stock options granted was $21.4 million, which the Company expects to recognize over a weighted-average period of approximately 1.1 years.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4"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color w:val="auto"/>
        </w:rPr>
        <w:t>Starting in 2021, the Company granted restricted stock units (“RSUs”) to employees, directors and consultants under the 2020 Stock Plan. Each of the RSUs represents the right to receive one share of the Company’s common stock upon vesting. The majority of RSUs granted to date have vesting conditions based on continued service over time. Accordingly, stock-based compensation expense for the majority of such awards is recognized using a straight-line attribution model over the vesting term of each RSU. The fair value of each RSU is based on the closing price of the Company’s common stock on the date of grant.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for RSUs under the 2020 Stock Plan for the year ended December 31,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9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52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Weighted-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40" w:type="dxa"/>
            <w:vAlign w:val="bottom"/>
          </w:tcPr>
          <w:p>
            <w:pPr>
              <w:spacing w:after="0"/>
              <w:rPr>
                <w:sz w:val="16"/>
                <w:szCs w:val="16"/>
                <w:color w:val="auto"/>
              </w:rPr>
            </w:pPr>
          </w:p>
        </w:tc>
        <w:tc>
          <w:tcPr>
            <w:tcW w:w="1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Underlying RSUs</w:t>
            </w:r>
          </w:p>
        </w:tc>
        <w:tc>
          <w:tcPr>
            <w:tcW w:w="100" w:type="dxa"/>
            <w:vAlign w:val="bottom"/>
          </w:tcPr>
          <w:p>
            <w:pPr>
              <w:spacing w:after="0"/>
              <w:rPr>
                <w:sz w:val="16"/>
                <w:szCs w:val="16"/>
                <w:color w:val="auto"/>
              </w:rPr>
            </w:pPr>
          </w:p>
        </w:tc>
        <w:tc>
          <w:tcPr>
            <w:tcW w:w="152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Grant Date 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at December 31, 2020</w:t>
            </w: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782,299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33.39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19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(75,875 )</w:t>
            </w: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34.54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Cancelled</w:t>
            </w:r>
          </w:p>
        </w:tc>
        <w:tc>
          <w:tcPr>
            <w:tcW w:w="1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(15,219 )</w:t>
            </w:r>
          </w:p>
        </w:tc>
        <w:tc>
          <w:tcPr>
            <w:tcW w:w="1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37.63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Unvested at December 31, 2021</w:t>
            </w:r>
          </w:p>
        </w:tc>
        <w:tc>
          <w:tcPr>
            <w:tcW w:w="1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691,205</w:t>
            </w: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34.51</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restricted shares that vested during the year ended December 31, 2021 was $2.6 million.</w:t>
      </w:r>
    </w:p>
    <w:p>
      <w:pPr>
        <w:spacing w:after="0" w:line="21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As of December 31, 2021, the total unrecognized compensation related to unvested RSUs granted was $22.3 million, which the Company expects to recognize over a weighted-average period of approximately 1.8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initial offering period under the Company’s ESPP was July 1, 2021 through December 31, 2021, throughout which $1.2 million was withheld from employees, on an after-tax basis, in order to purchase 43,685 shares of the Company’s common stock on December 31, 2021. In connection therewith, the Company recognized $0.6 million in stock-based compensation expense over the offering period ended December 31, 2021, based on the following assumptions underlying the Black-Scholes option pricing model to estimate the fair value of the option component of the shares purchased under the ESPP.</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740" w:type="dxa"/>
            <w:vAlign w:val="bottom"/>
          </w:tcPr>
          <w:p>
            <w:pPr>
              <w:spacing w:after="0"/>
              <w:rPr>
                <w:sz w:val="16"/>
                <w:szCs w:val="16"/>
                <w:color w:val="auto"/>
              </w:rPr>
            </w:pPr>
          </w:p>
        </w:tc>
        <w:tc>
          <w:tcPr>
            <w:tcW w:w="2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8740" w:type="dxa"/>
            <w:vAlign w:val="bottom"/>
          </w:tcPr>
          <w:p>
            <w:pPr>
              <w:spacing w:after="0"/>
              <w:rPr>
                <w:sz w:val="14"/>
                <w:szCs w:val="14"/>
                <w:color w:val="auto"/>
              </w:rPr>
            </w:pPr>
          </w:p>
        </w:tc>
        <w:tc>
          <w:tcPr>
            <w:tcW w:w="2500" w:type="dxa"/>
            <w:vAlign w:val="bottom"/>
            <w:tcBorders>
              <w:bottom w:val="single" w:sz="8" w:color="auto"/>
            </w:tcBorders>
          </w:tcPr>
          <w:p>
            <w:pPr>
              <w:jc w:val="right"/>
              <w:ind w:right="1016"/>
              <w:spacing w:after="0"/>
              <w:rPr>
                <w:sz w:val="20"/>
                <w:szCs w:val="20"/>
                <w:color w:val="auto"/>
              </w:rPr>
            </w:pPr>
            <w:r>
              <w:rPr>
                <w:rFonts w:ascii="Arial" w:cs="Arial" w:eastAsia="Arial" w:hAnsi="Arial"/>
                <w:sz w:val="14"/>
                <w:szCs w:val="14"/>
                <w:b w:val="1"/>
                <w:bCs w:val="1"/>
                <w:color w:val="auto"/>
              </w:rPr>
              <w:t>2021</w:t>
            </w:r>
          </w:p>
        </w:tc>
      </w:tr>
      <w:tr>
        <w:trPr>
          <w:trHeight w:val="196"/>
        </w:trPr>
        <w:tc>
          <w:tcPr>
            <w:tcW w:w="8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2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0.1%</w:t>
            </w:r>
          </w:p>
        </w:tc>
      </w:tr>
      <w:tr>
        <w:trPr>
          <w:trHeight w:val="203"/>
        </w:trPr>
        <w:tc>
          <w:tcPr>
            <w:tcW w:w="8740" w:type="dxa"/>
            <w:vAlign w:val="bottom"/>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250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r>
      <w:tr>
        <w:trPr>
          <w:trHeight w:val="202"/>
        </w:trPr>
        <w:tc>
          <w:tcPr>
            <w:tcW w:w="8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2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65.1%</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5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As of December 31, 2021, there was no unrecognized compensation expense related to ESPP, since the purchase for the initial offering period under the Company’s offering period was transacted on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0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During the years ended December 31, 2021, 2020 and 2019 the Company recorded no income tax benefits due to the losses incurred due to the uncertainty of future taxable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9" w:name="page160"/>
    <w:bookmarkEnd w:id="159"/>
    <w:p>
      <w:pPr>
        <w:ind w:right="20"/>
        <w:spacing w:after="0" w:line="261" w:lineRule="auto"/>
        <w:rPr>
          <w:sz w:val="20"/>
          <w:szCs w:val="20"/>
          <w:color w:val="auto"/>
        </w:rPr>
      </w:pPr>
      <w:r>
        <w:rPr>
          <w:rFonts w:ascii="Arial" w:cs="Arial" w:eastAsia="Arial" w:hAnsi="Arial"/>
          <w:sz w:val="18"/>
          <w:szCs w:val="18"/>
          <w:color w:val="auto"/>
        </w:rPr>
        <w:t>A reconciliation of the expected income tax (benefit) computed using the federal statutory income tax rate to the Company’s effective income tax rate is as follows for the years ended December 31, 2021, 2020 and 2019:</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4360" w:type="dxa"/>
            <w:vAlign w:val="bottom"/>
          </w:tcPr>
          <w:p>
            <w:pPr>
              <w:spacing w:after="0"/>
              <w:rPr>
                <w:sz w:val="14"/>
                <w:szCs w:val="14"/>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28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2020</w:t>
            </w:r>
          </w:p>
        </w:tc>
        <w:tc>
          <w:tcPr>
            <w:tcW w:w="126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2019</w:t>
            </w:r>
          </w:p>
        </w:tc>
      </w:tr>
      <w:tr>
        <w:trPr>
          <w:trHeight w:val="196"/>
        </w:trPr>
        <w:tc>
          <w:tcPr>
            <w:tcW w:w="4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computed at federal statutory rate</w:t>
            </w:r>
          </w:p>
        </w:tc>
        <w:tc>
          <w:tcPr>
            <w:tcW w:w="1200" w:type="dxa"/>
            <w:vAlign w:val="bottom"/>
            <w:tcBorders>
              <w:top w:val="single" w:sz="8" w:color="auto"/>
            </w:tcBorders>
            <w:shd w:val="clear" w:color="auto" w:fill="CFF0FC"/>
          </w:tcPr>
          <w:p>
            <w:pPr>
              <w:jc w:val="right"/>
              <w:ind w:right="172"/>
              <w:spacing w:after="0" w:line="196" w:lineRule="exact"/>
              <w:rPr>
                <w:sz w:val="20"/>
                <w:szCs w:val="20"/>
                <w:color w:val="auto"/>
              </w:rPr>
            </w:pPr>
            <w:r>
              <w:rPr>
                <w:rFonts w:ascii="Arial" w:cs="Arial" w:eastAsia="Arial" w:hAnsi="Arial"/>
                <w:sz w:val="18"/>
                <w:szCs w:val="18"/>
                <w:color w:val="auto"/>
              </w:rPr>
              <w:t>21.0 %</w:t>
            </w:r>
          </w:p>
        </w:tc>
        <w:tc>
          <w:tcPr>
            <w:tcW w:w="12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21.0 %</w:t>
            </w:r>
          </w:p>
        </w:tc>
        <w:tc>
          <w:tcPr>
            <w:tcW w:w="10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21.0 %</w:t>
            </w:r>
          </w:p>
        </w:tc>
      </w:tr>
      <w:tr>
        <w:trPr>
          <w:trHeight w:val="203"/>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State taxes, net of federal benefit</w:t>
            </w:r>
          </w:p>
        </w:tc>
        <w:tc>
          <w:tcPr>
            <w:tcW w:w="12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5.7 %</w:t>
            </w: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5.7 %</w:t>
            </w:r>
          </w:p>
        </w:tc>
        <w:tc>
          <w:tcPr>
            <w:tcW w:w="12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7.0 %</w:t>
            </w:r>
          </w:p>
        </w:tc>
      </w:tr>
      <w:tr>
        <w:trPr>
          <w:trHeight w:val="203"/>
        </w:trPr>
        <w:tc>
          <w:tcPr>
            <w:tcW w:w="4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1200" w:type="dxa"/>
            <w:vAlign w:val="bottom"/>
            <w:shd w:val="clear" w:color="auto" w:fill="CFF0FC"/>
          </w:tcPr>
          <w:p>
            <w:pPr>
              <w:jc w:val="right"/>
              <w:ind w:right="112"/>
              <w:spacing w:after="0" w:line="202" w:lineRule="exact"/>
              <w:rPr>
                <w:sz w:val="20"/>
                <w:szCs w:val="20"/>
                <w:color w:val="auto"/>
              </w:rPr>
            </w:pPr>
            <w:r>
              <w:rPr>
                <w:rFonts w:ascii="Arial" w:cs="Arial" w:eastAsia="Arial" w:hAnsi="Arial"/>
                <w:sz w:val="18"/>
                <w:szCs w:val="18"/>
                <w:color w:val="auto"/>
              </w:rPr>
              <w:t>(20.5 )%</w:t>
            </w: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(27.3 )%</w:t>
            </w:r>
          </w:p>
        </w:tc>
        <w:tc>
          <w:tcPr>
            <w:tcW w:w="12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(31.0 )%</w:t>
            </w:r>
          </w:p>
        </w:tc>
      </w:tr>
      <w:tr>
        <w:trPr>
          <w:trHeight w:val="203"/>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IPR&amp;D</w:t>
            </w:r>
          </w:p>
        </w:tc>
        <w:tc>
          <w:tcPr>
            <w:tcW w:w="12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(7.0 )%</w:t>
            </w:r>
          </w:p>
        </w:tc>
        <w:tc>
          <w:tcPr>
            <w:tcW w:w="120" w:type="dxa"/>
            <w:vAlign w:val="bottom"/>
          </w:tcPr>
          <w:p>
            <w:pPr>
              <w:spacing w:after="0"/>
              <w:rPr>
                <w:sz w:val="17"/>
                <w:szCs w:val="17"/>
                <w:color w:val="auto"/>
              </w:rPr>
            </w:pPr>
          </w:p>
        </w:tc>
        <w:tc>
          <w:tcPr>
            <w:tcW w:w="11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r>
      <w:tr>
        <w:trPr>
          <w:trHeight w:val="203"/>
        </w:trPr>
        <w:tc>
          <w:tcPr>
            <w:tcW w:w="4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R&amp;D credit carryovers</w:t>
            </w:r>
          </w:p>
        </w:tc>
        <w:tc>
          <w:tcPr>
            <w:tcW w:w="1200" w:type="dxa"/>
            <w:vAlign w:val="bottom"/>
            <w:shd w:val="clear" w:color="auto" w:fill="CFF0FC"/>
          </w:tcPr>
          <w:p>
            <w:pPr>
              <w:jc w:val="right"/>
              <w:ind w:right="172"/>
              <w:spacing w:after="0" w:line="202" w:lineRule="exact"/>
              <w:rPr>
                <w:sz w:val="20"/>
                <w:szCs w:val="20"/>
                <w:color w:val="auto"/>
              </w:rPr>
            </w:pPr>
            <w:r>
              <w:rPr>
                <w:rFonts w:ascii="Arial" w:cs="Arial" w:eastAsia="Arial" w:hAnsi="Arial"/>
                <w:sz w:val="18"/>
                <w:szCs w:val="18"/>
                <w:color w:val="auto"/>
              </w:rPr>
              <w:t>2.2 %</w:t>
            </w: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7.6 %</w:t>
            </w:r>
          </w:p>
        </w:tc>
        <w:tc>
          <w:tcPr>
            <w:tcW w:w="12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4.1 %</w:t>
            </w:r>
          </w:p>
        </w:tc>
      </w:tr>
      <w:tr>
        <w:trPr>
          <w:trHeight w:val="203"/>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2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(0.4 )%</w:t>
            </w: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(6.7 )%</w:t>
            </w:r>
          </w:p>
        </w:tc>
        <w:tc>
          <w:tcPr>
            <w:tcW w:w="12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(0.9 )%</w:t>
            </w:r>
          </w:p>
        </w:tc>
      </w:tr>
      <w:tr>
        <w:trPr>
          <w:trHeight w:val="203"/>
        </w:trPr>
        <w:tc>
          <w:tcPr>
            <w:tcW w:w="43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Permanent differences</w:t>
            </w:r>
          </w:p>
        </w:tc>
        <w:tc>
          <w:tcPr>
            <w:tcW w:w="1200" w:type="dxa"/>
            <w:vAlign w:val="bottom"/>
            <w:tcBorders>
              <w:bottom w:val="single" w:sz="8" w:color="auto"/>
            </w:tcBorders>
            <w:shd w:val="clear" w:color="auto" w:fill="CFF0FC"/>
          </w:tcPr>
          <w:p>
            <w:pPr>
              <w:jc w:val="right"/>
              <w:ind w:right="112"/>
              <w:spacing w:after="0" w:line="202" w:lineRule="exact"/>
              <w:rPr>
                <w:sz w:val="20"/>
                <w:szCs w:val="20"/>
                <w:color w:val="auto"/>
              </w:rPr>
            </w:pPr>
            <w:r>
              <w:rPr>
                <w:rFonts w:ascii="Arial" w:cs="Arial" w:eastAsia="Arial" w:hAnsi="Arial"/>
                <w:sz w:val="18"/>
                <w:szCs w:val="18"/>
                <w:color w:val="auto"/>
              </w:rPr>
              <w:t>(1.0 )%</w:t>
            </w:r>
          </w:p>
        </w:tc>
        <w:tc>
          <w:tcPr>
            <w:tcW w:w="1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(0.3 )%</w:t>
            </w:r>
          </w:p>
        </w:tc>
        <w:tc>
          <w:tcPr>
            <w:tcW w:w="1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(0.2 )%</w:t>
            </w:r>
          </w:p>
        </w:tc>
      </w:tr>
      <w:tr>
        <w:trPr>
          <w:trHeight w:val="196"/>
        </w:trPr>
        <w:tc>
          <w:tcPr>
            <w:tcW w:w="43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200" w:type="dxa"/>
            <w:vAlign w:val="bottom"/>
          </w:tcPr>
          <w:p>
            <w:pPr>
              <w:jc w:val="right"/>
              <w:ind w:right="172"/>
              <w:spacing w:after="0" w:line="196" w:lineRule="exact"/>
              <w:rPr>
                <w:sz w:val="20"/>
                <w:szCs w:val="20"/>
                <w:color w:val="auto"/>
              </w:rPr>
            </w:pPr>
            <w:r>
              <w:rPr>
                <w:rFonts w:ascii="Arial" w:cs="Arial" w:eastAsia="Arial" w:hAnsi="Arial"/>
                <w:sz w:val="18"/>
                <w:szCs w:val="18"/>
                <w:color w:val="auto"/>
              </w:rPr>
              <w:t>0.0 %</w:t>
            </w:r>
          </w:p>
        </w:tc>
        <w:tc>
          <w:tcPr>
            <w:tcW w:w="128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0.0 %</w:t>
            </w:r>
          </w:p>
        </w:tc>
        <w:tc>
          <w:tcPr>
            <w:tcW w:w="126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0.0 %</w:t>
            </w:r>
          </w:p>
        </w:tc>
      </w:tr>
      <w:tr>
        <w:trPr>
          <w:trHeight w:val="20"/>
        </w:trPr>
        <w:tc>
          <w:tcPr>
            <w:tcW w:w="43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-159385</wp:posOffset>
            </wp:positionV>
            <wp:extent cx="6858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-159385</wp:posOffset>
            </wp:positionV>
            <wp:extent cx="60325"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and liabilities at December 31, 2021 and 2020, consist of the following:</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108,800</w:t>
            </w:r>
          </w:p>
        </w:tc>
        <w:tc>
          <w:tcPr>
            <w:tcW w:w="54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48,832</w:t>
            </w:r>
          </w:p>
        </w:tc>
        <w:tc>
          <w:tcPr>
            <w:tcW w:w="100" w:type="dxa"/>
            <w:vAlign w:val="bottom"/>
          </w:tcPr>
          <w:p>
            <w:pPr>
              <w:spacing w:after="0"/>
              <w:rPr>
                <w:sz w:val="17"/>
                <w:szCs w:val="17"/>
                <w:color w:val="auto"/>
              </w:rPr>
            </w:pPr>
          </w:p>
        </w:tc>
      </w:tr>
      <w:tr>
        <w:trPr>
          <w:trHeight w:val="203"/>
        </w:trPr>
        <w:tc>
          <w:tcPr>
            <w:tcW w:w="47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Tax credit carryforwards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18,288</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10,270</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Lease liability</w:t>
            </w:r>
          </w:p>
        </w:tc>
        <w:tc>
          <w:tcPr>
            <w:tcW w:w="320" w:type="dxa"/>
            <w:vAlign w:val="bottom"/>
          </w:tcPr>
          <w:p>
            <w:pPr>
              <w:spacing w:after="0"/>
              <w:rPr>
                <w:sz w:val="17"/>
                <w:szCs w:val="17"/>
                <w:color w:val="auto"/>
              </w:rPr>
            </w:pP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6,010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6,430</w:t>
            </w:r>
          </w:p>
        </w:tc>
        <w:tc>
          <w:tcPr>
            <w:tcW w:w="100" w:type="dxa"/>
            <w:vAlign w:val="bottom"/>
          </w:tcPr>
          <w:p>
            <w:pPr>
              <w:spacing w:after="0"/>
              <w:rPr>
                <w:sz w:val="17"/>
                <w:szCs w:val="17"/>
                <w:color w:val="auto"/>
              </w:rPr>
            </w:pPr>
          </w:p>
        </w:tc>
      </w:tr>
      <w:tr>
        <w:trPr>
          <w:trHeight w:val="203"/>
        </w:trPr>
        <w:tc>
          <w:tcPr>
            <w:tcW w:w="47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Intangibles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1,859</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1,469</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7"/>
                <w:szCs w:val="17"/>
                <w:color w:val="auto"/>
              </w:rPr>
            </w:pP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8,374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4,496</w:t>
            </w:r>
          </w:p>
        </w:tc>
        <w:tc>
          <w:tcPr>
            <w:tcW w:w="100" w:type="dxa"/>
            <w:vAlign w:val="bottom"/>
          </w:tcPr>
          <w:p>
            <w:pPr>
              <w:spacing w:after="0"/>
              <w:rPr>
                <w:sz w:val="17"/>
                <w:szCs w:val="17"/>
                <w:color w:val="auto"/>
              </w:rPr>
            </w:pPr>
          </w:p>
        </w:tc>
      </w:tr>
      <w:tr>
        <w:trPr>
          <w:trHeight w:val="203"/>
        </w:trPr>
        <w:tc>
          <w:tcPr>
            <w:tcW w:w="47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477</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4,304</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r>
      <w:tr>
        <w:trPr>
          <w:trHeight w:val="19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gross deferred tax asset</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148,112</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71,741</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(142,674 )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(65,813 )</w:t>
            </w:r>
          </w:p>
        </w:tc>
        <w:tc>
          <w:tcPr>
            <w:tcW w:w="100" w:type="dxa"/>
            <w:vAlign w:val="bottom"/>
          </w:tcPr>
          <w:p>
            <w:pPr>
              <w:spacing w:after="0"/>
              <w:rPr>
                <w:sz w:val="17"/>
                <w:szCs w:val="17"/>
                <w:color w:val="auto"/>
              </w:rPr>
            </w:pPr>
          </w:p>
        </w:tc>
      </w:tr>
      <w:tr>
        <w:trPr>
          <w:trHeight w:val="19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deferred tax asset</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5,438</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5,928</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Deferred tax liability</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Operating lease assets</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(5,438 )</w:t>
            </w: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(5,928 )</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780" w:type="dxa"/>
            <w:vAlign w:val="bottom"/>
          </w:tcPr>
          <w:p>
            <w:pPr>
              <w:spacing w:after="0" w:line="196" w:lineRule="exact"/>
              <w:rPr>
                <w:sz w:val="20"/>
                <w:szCs w:val="20"/>
                <w:color w:val="auto"/>
              </w:rPr>
            </w:pPr>
            <w:r>
              <w:rPr>
                <w:rFonts w:ascii="Arial" w:cs="Arial" w:eastAsia="Arial" w:hAnsi="Arial"/>
                <w:sz w:val="18"/>
                <w:szCs w:val="18"/>
                <w:color w:val="auto"/>
              </w:rPr>
              <w:t>Total deferred tax liability</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(5,438 )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(5,928 )</w:t>
            </w:r>
          </w:p>
        </w:tc>
        <w:tc>
          <w:tcPr>
            <w:tcW w:w="100" w:type="dxa"/>
            <w:vAlign w:val="bottom"/>
          </w:tcPr>
          <w:p>
            <w:pPr>
              <w:spacing w:after="0"/>
              <w:rPr>
                <w:sz w:val="17"/>
                <w:szCs w:val="17"/>
                <w:color w:val="auto"/>
              </w:rPr>
            </w:pPr>
          </w:p>
        </w:tc>
      </w:tr>
      <w:tr>
        <w:trPr>
          <w:trHeight w:val="236"/>
        </w:trPr>
        <w:tc>
          <w:tcPr>
            <w:tcW w:w="47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-296545</wp:posOffset>
            </wp:positionV>
            <wp:extent cx="6858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-296545</wp:posOffset>
            </wp:positionV>
            <wp:extent cx="6032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has incurred net operating losses (“NOL”) since inception. As of December 31, 2021 and 2020, the Company had federal NOL carryforwards of $371.4 million and $174.0 million, respectively, available to reduce taxable income, of which $43.1 million expire beginning in 2035 and $328.3 million do not expire. The Company has state NOL carryforwards of $466.2 million and $192.3 million as of December 31, 2021 and 2020, respectively, available to reduce future state taxable income, which expire at various dates beginning in 2035.</w:t>
      </w:r>
    </w:p>
    <w:p>
      <w:pPr>
        <w:spacing w:after="0" w:line="17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As of December 31, 2021 and 2020, the Company also had available federal research and development tax credit carryforwards of $14.9 million and $8.1 million, respectively, available to reduce future tax liabilities, which begin to expire beginning in 2035. The Company also has state research and development tax credit carryforwards of $4.2 million and $2.7 million as of December 31, 2021 and 2020, respectively, available to reduce future state tax liabilities, which expire at various dates beginning in 2030.</w:t>
      </w: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160" w:name="page161"/>
    <w:bookmarkEnd w:id="160"/>
    <w:p>
      <w:pPr>
        <w:ind w:right="80"/>
        <w:spacing w:after="0" w:line="254" w:lineRule="auto"/>
        <w:rPr>
          <w:sz w:val="20"/>
          <w:szCs w:val="20"/>
          <w:color w:val="auto"/>
        </w:rPr>
      </w:pPr>
      <w:r>
        <w:rPr>
          <w:rFonts w:ascii="Arial" w:cs="Arial" w:eastAsia="Arial" w:hAnsi="Arial"/>
          <w:sz w:val="17"/>
          <w:szCs w:val="17"/>
          <w:color w:val="auto"/>
        </w:rPr>
        <w:t>Utilization of NOL and research and development credit carryforwards may generally be subject to limitation under Sections 382 and 383 of the Internal Revenue Code of 1986 (“Sections 382 and 383”) due to ownership changes that have occurred previously, or that could occur in the future. These ownership changes may limit the amount of NOL and research and development credit carryforwards that can be utilized annually to offset any post-ownership change taxable income and tax, respectively. The latest Section 382 study was performed by the Company through December 31, 2021, through which it was noted that a historic ownership change has likely occurred. Nonetheless, the Company has determined that, as of December 31, 2021, the prospective utilization of all net operating loss and tax credit carryforwards generated from inception through December 31, 2021 and, therefore, the corresponding Federal and Massachusetts deferred tax assets, should not be restricted by Sections 382 and 383, although ownership changes after December 31, 2021 could impact the Company’s ability to utilize these tax attributes in the future.</w:t>
      </w:r>
    </w:p>
    <w:p>
      <w:pPr>
        <w:spacing w:after="0" w:line="18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Company recorded a valuation allowance against its deferred tax assets for the years ended December 31, 2021 and 2020 because the Company’s management believes that it is more likely than not that these assets will not be realized. The valuation allowance increased by approximately $76.9 million and $14.3 million for the years ended December 31, 2021 and 2020, respectively, primarily as a result of operating losses generated with no corresponding financial statement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unrecognized tax benefits as of December 31, 2021 and 2020.</w:t>
      </w:r>
    </w:p>
    <w:p>
      <w:pPr>
        <w:spacing w:after="0" w:line="21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tax years are still open under statute from inception to the present.</w:t>
      </w:r>
    </w:p>
    <w:p>
      <w:pPr>
        <w:spacing w:after="0" w:line="18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response to the COVID-19 pandemic, the Coronavirus Aid, Relief and Economic Security Act (CARES Act) was signed into law in March 2020. The CARES Act lifts certain deduction limitations originally imposed by the Tax Cuts and Jobs Act of 2017 (“2017 Tax Act”). Corporate taxpayers may carryback NOLs originating during 2018 through 2020 for up to five years, which was not previously allowed under the 2017 Tax Act. The CARES Act also eliminates the 80% of taxable income limitations by allowing corporate entities to fully utilize NOL carryforwards to offset taxable income in 2018, 2019 or 2020. Taxpayers may generally deduct interest up to the sum of 50% of adjusted taxable income plus business interest income (30% limit under the 2017 Tax Act) for tax years beginning January 1, 2019 and 2020. The CARES Act allows taxpayers with alternative minimum tax credits to claim a refund in 2020 for the entire amount of the credits instead of recovering the credits through refunds over a period of years, as originally enacted by the 2017 Tax Act.</w:t>
      </w:r>
    </w:p>
    <w:p>
      <w:pPr>
        <w:spacing w:after="0" w:line="19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In addition, the CARES Act raises the corporate charitable deduction limit to 25% of taxable income and makes qualified improvement property generally eligible for 15-year cost-recovery and 100% bonus depreciation. The enactment of the CARES Act did not result in any adjustments to the Company’s income tax provision for the year ended December 31, 2021, or to the Company’s net deferred tax assets as of December 31, 2021, since the Company has not recorded any U.S. federal or state income tax benefits for the net losses incurred in any year due to the uncertainty of realizing a benefit from those items.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loss per share of the Company: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w w:val="96"/>
              </w:rPr>
              <w:t>Year Ended December 31,</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(363,872 )</w:t>
            </w:r>
          </w:p>
        </w:tc>
        <w:tc>
          <w:tcPr>
            <w:tcW w:w="1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16"/>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(52,412 )</w:t>
            </w: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(75,305 )</w:t>
            </w:r>
          </w:p>
        </w:tc>
        <w:tc>
          <w:tcPr>
            <w:tcW w:w="0" w:type="dxa"/>
            <w:vAlign w:val="bottom"/>
          </w:tcPr>
          <w:p>
            <w:pPr>
              <w:spacing w:after="0"/>
              <w:rPr>
                <w:sz w:val="1"/>
                <w:szCs w:val="1"/>
                <w:color w:val="auto"/>
              </w:rPr>
            </w:pPr>
          </w:p>
        </w:tc>
      </w:tr>
      <w:tr>
        <w:trPr>
          <w:trHeight w:val="155"/>
        </w:trPr>
        <w:tc>
          <w:tcPr>
            <w:tcW w:w="5700" w:type="dxa"/>
            <w:vAlign w:val="bottom"/>
          </w:tcPr>
          <w:p>
            <w:pPr>
              <w:ind w:left="20"/>
              <w:spacing w:after="0" w:line="156" w:lineRule="exact"/>
              <w:rPr>
                <w:sz w:val="20"/>
                <w:szCs w:val="20"/>
                <w:color w:val="auto"/>
              </w:rPr>
            </w:pPr>
            <w:r>
              <w:rPr>
                <w:rFonts w:ascii="Arial" w:cs="Arial" w:eastAsia="Arial" w:hAnsi="Arial"/>
                <w:sz w:val="18"/>
                <w:szCs w:val="18"/>
                <w:color w:val="auto"/>
              </w:rPr>
              <w:t>Deemed dividend resulting from extinguishment upon modification of</w:t>
            </w:r>
          </w:p>
        </w:tc>
        <w:tc>
          <w:tcPr>
            <w:tcW w:w="380" w:type="dxa"/>
            <w:vAlign w:val="bottom"/>
          </w:tcPr>
          <w:p>
            <w:pPr>
              <w:spacing w:after="0"/>
              <w:rPr>
                <w:sz w:val="13"/>
                <w:szCs w:val="13"/>
                <w:color w:val="auto"/>
              </w:rPr>
            </w:pPr>
          </w:p>
        </w:tc>
        <w:tc>
          <w:tcPr>
            <w:tcW w:w="130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(177,789 )</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Series C preferred stock</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attributable to common stockholders</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(363,872 )</w:t>
            </w:r>
          </w:p>
        </w:tc>
        <w:tc>
          <w:tcPr>
            <w:tcW w:w="1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6"/>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(230,201 )</w:t>
            </w:r>
          </w:p>
        </w:tc>
        <w:tc>
          <w:tcPr>
            <w:tcW w:w="1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(75,305 )</w:t>
            </w:r>
          </w:p>
        </w:tc>
        <w:tc>
          <w:tcPr>
            <w:tcW w:w="0" w:type="dxa"/>
            <w:vAlign w:val="bottom"/>
          </w:tcPr>
          <w:p>
            <w:pPr>
              <w:spacing w:after="0"/>
              <w:rPr>
                <w:sz w:val="1"/>
                <w:szCs w:val="1"/>
                <w:color w:val="auto"/>
              </w:rPr>
            </w:pPr>
          </w:p>
        </w:tc>
      </w:tr>
      <w:tr>
        <w:trPr>
          <w:trHeight w:val="183"/>
        </w:trPr>
        <w:tc>
          <w:tcPr>
            <w:tcW w:w="5700" w:type="dxa"/>
            <w:vAlign w:val="bottom"/>
          </w:tcPr>
          <w:p>
            <w:pPr>
              <w:ind w:left="20"/>
              <w:spacing w:after="0" w:line="183" w:lineRule="exact"/>
              <w:rPr>
                <w:sz w:val="20"/>
                <w:szCs w:val="20"/>
                <w:color w:val="auto"/>
              </w:rPr>
            </w:pPr>
            <w:r>
              <w:rPr>
                <w:rFonts w:ascii="Arial" w:cs="Arial" w:eastAsia="Arial" w:hAnsi="Arial"/>
                <w:sz w:val="18"/>
                <w:szCs w:val="18"/>
                <w:color w:val="auto"/>
                <w:w w:val="96"/>
              </w:rPr>
              <w:t>Net loss attributable to common stockholders per share, basic and diluted</w:t>
            </w:r>
          </w:p>
        </w:tc>
        <w:tc>
          <w:tcPr>
            <w:tcW w:w="380" w:type="dxa"/>
            <w:vAlign w:val="bottom"/>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83" w:lineRule="exact"/>
              <w:rPr>
                <w:sz w:val="20"/>
                <w:szCs w:val="20"/>
                <w:color w:val="auto"/>
              </w:rPr>
            </w:pPr>
            <w:r>
              <w:rPr>
                <w:rFonts w:ascii="Arial" w:cs="Arial" w:eastAsia="Arial" w:hAnsi="Arial"/>
                <w:sz w:val="18"/>
                <w:szCs w:val="18"/>
                <w:color w:val="auto"/>
              </w:rPr>
              <w:t>(3.82 )</w:t>
            </w:r>
          </w:p>
        </w:tc>
        <w:tc>
          <w:tcPr>
            <w:tcW w:w="560" w:type="dxa"/>
            <w:vAlign w:val="bottom"/>
            <w:gridSpan w:val="2"/>
          </w:tcPr>
          <w:p>
            <w:pPr>
              <w:jc w:val="right"/>
              <w:ind w:right="216"/>
              <w:spacing w:after="0" w:line="183"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83" w:lineRule="exact"/>
              <w:rPr>
                <w:sz w:val="20"/>
                <w:szCs w:val="20"/>
                <w:color w:val="auto"/>
              </w:rPr>
            </w:pPr>
            <w:r>
              <w:rPr>
                <w:rFonts w:ascii="Arial" w:cs="Arial" w:eastAsia="Arial" w:hAnsi="Arial"/>
                <w:sz w:val="18"/>
                <w:szCs w:val="18"/>
                <w:color w:val="auto"/>
              </w:rPr>
              <w:t>(5.40 )</w:t>
            </w:r>
          </w:p>
        </w:tc>
        <w:tc>
          <w:tcPr>
            <w:tcW w:w="540" w:type="dxa"/>
            <w:vAlign w:val="bottom"/>
            <w:gridSpan w:val="2"/>
          </w:tcPr>
          <w:p>
            <w:pPr>
              <w:jc w:val="right"/>
              <w:ind w:right="210"/>
              <w:spacing w:after="0" w:line="18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83" w:lineRule="exact"/>
              <w:rPr>
                <w:sz w:val="20"/>
                <w:szCs w:val="20"/>
                <w:color w:val="auto"/>
              </w:rPr>
            </w:pPr>
            <w:r>
              <w:rPr>
                <w:rFonts w:ascii="Arial" w:cs="Arial" w:eastAsia="Arial" w:hAnsi="Arial"/>
                <w:sz w:val="18"/>
                <w:szCs w:val="18"/>
                <w:color w:val="auto"/>
              </w:rPr>
              <w:t>(21.82 )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 average shares of common stock, basic and diluted</w:t>
            </w: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53"/>
              <w:spacing w:after="0" w:line="183" w:lineRule="exact"/>
              <w:rPr>
                <w:sz w:val="20"/>
                <w:szCs w:val="20"/>
                <w:color w:val="auto"/>
              </w:rPr>
            </w:pPr>
            <w:r>
              <w:rPr>
                <w:rFonts w:ascii="Arial" w:cs="Arial" w:eastAsia="Arial" w:hAnsi="Arial"/>
                <w:sz w:val="18"/>
                <w:szCs w:val="18"/>
                <w:color w:val="auto"/>
              </w:rPr>
              <w:t>95,136,719</w:t>
            </w:r>
          </w:p>
        </w:tc>
        <w:tc>
          <w:tcPr>
            <w:tcW w:w="1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33"/>
              <w:spacing w:after="0" w:line="183" w:lineRule="exact"/>
              <w:rPr>
                <w:sz w:val="20"/>
                <w:szCs w:val="20"/>
                <w:color w:val="auto"/>
              </w:rPr>
            </w:pPr>
            <w:r>
              <w:rPr>
                <w:rFonts w:ascii="Arial" w:cs="Arial" w:eastAsia="Arial" w:hAnsi="Arial"/>
                <w:sz w:val="18"/>
                <w:szCs w:val="18"/>
                <w:color w:val="auto"/>
              </w:rPr>
              <w:t>42,619,582</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3"/>
              <w:spacing w:after="0" w:line="183" w:lineRule="exact"/>
              <w:rPr>
                <w:sz w:val="20"/>
                <w:szCs w:val="20"/>
                <w:color w:val="auto"/>
              </w:rPr>
            </w:pPr>
            <w:r>
              <w:rPr>
                <w:rFonts w:ascii="Arial" w:cs="Arial" w:eastAsia="Arial" w:hAnsi="Arial"/>
                <w:sz w:val="18"/>
                <w:szCs w:val="18"/>
                <w:color w:val="auto"/>
              </w:rPr>
              <w:t>3,450,500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-708025</wp:posOffset>
            </wp:positionV>
            <wp:extent cx="10287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-708025</wp:posOffset>
            </wp:positionV>
            <wp:extent cx="9398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-333375</wp:posOffset>
            </wp:positionV>
            <wp:extent cx="1028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-316865</wp:posOffset>
            </wp:positionV>
            <wp:extent cx="1028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-333375</wp:posOffset>
            </wp:positionV>
            <wp:extent cx="939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-316865</wp:posOffset>
            </wp:positionV>
            <wp:extent cx="939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1028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1028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939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939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On July 8, 2020, the Company’s board of directors and its Series C preferred stockholders approved an amendment to the conversion preferences and rights of the Series C preferred stock which, among other changes, resulted in a reduction in the conversion price of the Series C preferred stock from $3.21 to $3.027603</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1" w:name="page162"/>
    <w:bookmarkEnd w:id="161"/>
    <w:p>
      <w:pPr>
        <w:ind w:right="20" w:firstLine="8"/>
        <w:spacing w:after="0" w:line="255" w:lineRule="auto"/>
        <w:tabs>
          <w:tab w:leader="none" w:pos="9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changes to the conversion feature were considered to be a significant change to the substantive contractual terms of the Series C preferred stock and, therefore, the Company accounted for the changes as an extinguishment and reissuance of the Series C preferred stock. In accordance with SEC staff guidance codified in ASC 260-10-S99-2, when equity classified preferred shares are extinguished, the difference between (1) the fair value of the consideration transferred to the holders of the preferred shares and (2) the carrying amount of the preferred shares, net of issuance costs, is subtracted from (or added back to) net income to arrive at income available to common stockholders in the calculation of earnings per share. This difference between the fair value of consideration transferred and carrying amount of the preferred shares, also referred to as a “deemed dividend”, was therefore added back to net loss above to derive net loss attributable to common stockholders.</w:t>
      </w:r>
    </w:p>
    <w:p>
      <w:pPr>
        <w:spacing w:after="0" w:line="180"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The Company’s potentially dilutive securities, which include options to purchase common stock, restricted stock units and unvested restricted stock, have been excluded from the computation of diluted net loss per share as the effect would be to reduce the net loss per share. Therefore, the weighted average number of common shares outstanding used to calculate both basic and diluted net loss per share is the same. The Company excluded the following potential common shares, presented based on amounts outstanding at each period end, from the computation of diluted net loss per share for the periods indicated because including them would have had an anti-dilutive effect: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Year Ended December 31,</w:t>
            </w:r>
          </w:p>
        </w:tc>
        <w:tc>
          <w:tcPr>
            <w:tcW w:w="1440" w:type="dxa"/>
            <w:vAlign w:val="bottom"/>
            <w:tcBorders>
              <w:bottom w:val="single" w:sz="8" w:color="auto"/>
            </w:tcBorders>
          </w:tcPr>
          <w:p>
            <w:pPr>
              <w:spacing w:after="0"/>
              <w:rPr>
                <w:sz w:val="16"/>
                <w:szCs w:val="16"/>
                <w:color w:val="auto"/>
              </w:rPr>
            </w:pPr>
          </w:p>
        </w:tc>
      </w:tr>
      <w:tr>
        <w:trPr>
          <w:trHeight w:val="169"/>
        </w:trPr>
        <w:tc>
          <w:tcPr>
            <w:tcW w:w="6540" w:type="dxa"/>
            <w:vAlign w:val="bottom"/>
          </w:tcPr>
          <w:p>
            <w:pPr>
              <w:spacing w:after="0"/>
              <w:rPr>
                <w:sz w:val="14"/>
                <w:szCs w:val="14"/>
                <w:color w:val="auto"/>
              </w:rPr>
            </w:pPr>
          </w:p>
        </w:tc>
        <w:tc>
          <w:tcPr>
            <w:tcW w:w="14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62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44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196"/>
        </w:trPr>
        <w:tc>
          <w:tcPr>
            <w:tcW w:w="6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Convertible preferred stock</w:t>
            </w: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59,883,877</w:t>
            </w: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Options to purchase common stock</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8,719,627</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7,697,058</w:t>
            </w: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5,306,176</w:t>
            </w:r>
          </w:p>
        </w:tc>
      </w:tr>
      <w:tr>
        <w:trPr>
          <w:trHeight w:val="203"/>
        </w:trPr>
        <w:tc>
          <w:tcPr>
            <w:tcW w:w="6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Unvested restricted stock</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84,489</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679,158</w:t>
            </w: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Unvested restricted stock units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691,205</w:t>
            </w:r>
          </w:p>
        </w:tc>
        <w:tc>
          <w:tcPr>
            <w:tcW w:w="160" w:type="dxa"/>
            <w:vAlign w:val="bottom"/>
          </w:tcPr>
          <w:p>
            <w:pPr>
              <w:spacing w:after="0"/>
              <w:rPr>
                <w:sz w:val="17"/>
                <w:szCs w:val="17"/>
                <w:color w:val="auto"/>
              </w:rPr>
            </w:pP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54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9,410,832</w:t>
            </w:r>
          </w:p>
        </w:tc>
        <w:tc>
          <w:tcPr>
            <w:tcW w:w="16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7,781,547</w:t>
            </w:r>
          </w:p>
        </w:tc>
        <w:tc>
          <w:tcPr>
            <w:tcW w:w="16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65,869,211</w:t>
            </w:r>
          </w:p>
        </w:tc>
      </w:tr>
      <w:tr>
        <w:trPr>
          <w:trHeight w:val="20"/>
        </w:trPr>
        <w:tc>
          <w:tcPr>
            <w:tcW w:w="65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8420" w:firstLine="8"/>
        <w:spacing w:after="0" w:line="407" w:lineRule="auto"/>
        <w:tabs>
          <w:tab w:leader="none" w:pos="27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Intellectual Property License</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Company has a Collaboration and License Agreement with D. E. Shaw Research, LLC (“D. E. Shaw Research”), which held 9,999,999 shares of Series A preferred stock and 1,557,875 shares of Series C preferred stock at December 31, 2019. Upon the IPO these shares were converted into 3,281,253 shares of common stock, which are outstanding at December 31, 2021. The agreement provides that the parties will jointly conduct research efforts with the goal of identifying and developing product candidates. The original term of the agreement was three years and required the Company to pay an annual fee of $1.0 million. On June 15, 2020, the Company and D. E. Shaw Research agreed to amend the Collaboration and License Agreement (the “Amended and Restated Collaboration and License Agreement”). The Amended and Restated Collaboration and License Agreement extended the term of the agreement to August 16, 2025 and increased the annual fee from $1.0 million to $9.9 million. The Amended and Restated Collaboration and License Agreement automatically renews for successive one year periods unless either party provides at least one year notice of non-renewal, and the annual fee during each of the one year renewal terms is subject to the mutual agreement of the Company and D. E. Shaw Research.</w:t>
      </w:r>
    </w:p>
    <w:p>
      <w:pPr>
        <w:spacing w:after="0" w:line="169"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The Company is obligated to pay potential development milestone payments under the terms of the agreement up to $7.3 million per target, plus sales milestones and royalties, upon the achievement of certain specified contingent events. Such payments for achievement of development and regulatory milestones total up to $7.3 million in the aggregate for each of the first three products the Company develops, and up to $6.3 million in the aggregate for each product the Company develops after the first three. The Company assessed the milestone and royalty events under the Amended and Restated Collaboration and License Agreement as of December 31, 2021 and 2020 and concluded that $1.5 million was due related to the execution of the Genentech Agreement as of December 31, 2020 and no such payments were due as of December 31, 2021. The Company recorded research and development expense of $9.5 million, $6.4 million and $1.5 million under this agreement for the years ended December 31, 2021, 2020 and 2019, respectively. At December 31, 2021 and December 31, 2020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2" w:name="page163"/>
    <w:bookmarkEnd w:id="162"/>
    <w:p>
      <w:pPr>
        <w:ind w:right="20" w:firstLine="8"/>
        <w:spacing w:after="0" w:line="261" w:lineRule="auto"/>
        <w:tabs>
          <w:tab w:leader="none" w:pos="9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had a prepaid balance to D. E. Shaw Research of approximately $4.4 million and an accrued expense balance of approximately $1.5 million, respectively, on its balance sheets.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Research Arrangements</w:t>
      </w:r>
    </w:p>
    <w:p>
      <w:pPr>
        <w:spacing w:after="0" w:line="10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Company has certain other research and license arrangements with third-parties, which provide the Company with research services with the goal of identifying and developing product candidates. The Company is obligated to pay development milestone payments for up to four targets, each in the range of $4.0 million to $7.0 million upon the achievement of certain specified contingent events. The Company assessed the milestones at December 31, 2021 and 2020 and concluded that $0.5 million was due as of December 31, 2021 and no such payments were due as of December 31, 2020. The Company incurred approximately $5.4 million, $2.7 million and $3.5 million of research and development expense under these agreements in the years ended December 31, 2021, 2020 and 2019,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399 Binney Street</w:t>
      </w:r>
    </w:p>
    <w:p>
      <w:pPr>
        <w:spacing w:after="0" w:line="104"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In December 2017, the Company entered into a facility lease agreement for approximately 44,336 square feet of office and laboratory space at 399 Binney Street, Cambridge, Massachusetts, which was increased to 44,807 square feet in January 2018. The Company gained control of the leased space in January 2019 and recorded a right of use asset and a lease liability, accordingly. The lease expires in April 2029, subject to certain renewal options, which have not been included in the Company’s right of use asset and liability, as the Company is not reasonably certain to exercise those options.</w:t>
      </w:r>
    </w:p>
    <w:p>
      <w:pPr>
        <w:spacing w:after="0" w:line="15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September 2020, the Company entered into an amendment to its facility lease agreement to expand the leased area by approximately 1,824 square feet of office space at 399 Binney Street, Cambridge, Massachusetts. The amended lease expires in April 2029, subject to certain renewal options. The amendment to the lease agreement met the criteria to be accounted for as a separate lease. The Company gained control of the leased space in October 2020 and recorded a right of use asset and a lease liability, accordingly. The right of use asset and lease liability recorded in connection with this amendment were not material.</w:t>
      </w:r>
    </w:p>
    <w:p>
      <w:pPr>
        <w:spacing w:after="0" w:line="18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As discussed in Note 2, the Company provided a letter of credit in the amount of $0.9 million with a financial institution, which expires September 30, 2028.</w:t>
      </w:r>
    </w:p>
    <w:p>
      <w:pPr>
        <w:spacing w:after="0" w:line="17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table summarizes the presentation of amounts recorded on the Company’s consolidated balance sheets for the operating lease at 399 Binney Street: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3500" w:type="dxa"/>
            <w:vAlign w:val="bottom"/>
            <w:gridSpan w:val="2"/>
          </w:tcPr>
          <w:p>
            <w:pPr>
              <w:ind w:left="980"/>
              <w:spacing w:after="0"/>
              <w:rPr>
                <w:sz w:val="20"/>
                <w:szCs w:val="20"/>
                <w:color w:val="auto"/>
              </w:rPr>
            </w:pPr>
            <w:r>
              <w:rPr>
                <w:rFonts w:ascii="Arial" w:cs="Arial" w:eastAsia="Arial" w:hAnsi="Arial"/>
                <w:sz w:val="14"/>
                <w:szCs w:val="14"/>
                <w:b w:val="1"/>
                <w:bCs w:val="1"/>
                <w:color w:val="auto"/>
              </w:rPr>
              <w:t>Balance sheet location</w:t>
            </w:r>
          </w:p>
        </w:tc>
        <w:tc>
          <w:tcPr>
            <w:tcW w:w="400" w:type="dxa"/>
            <w:vAlign w:val="bottom"/>
          </w:tcPr>
          <w:p>
            <w:pPr>
              <w:spacing w:after="0"/>
              <w:rPr>
                <w:sz w:val="14"/>
                <w:szCs w:val="14"/>
                <w:color w:val="auto"/>
              </w:rPr>
            </w:pPr>
          </w:p>
        </w:tc>
        <w:tc>
          <w:tcPr>
            <w:tcW w:w="1300" w:type="dxa"/>
            <w:vAlign w:val="bottom"/>
          </w:tcPr>
          <w:p>
            <w:pPr>
              <w:jc w:val="right"/>
              <w:ind w:right="61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33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line="182" w:lineRule="exact"/>
              <w:rPr>
                <w:sz w:val="20"/>
                <w:szCs w:val="20"/>
                <w:color w:val="auto"/>
              </w:rPr>
            </w:pPr>
            <w:r>
              <w:rPr>
                <w:rFonts w:ascii="Arial" w:cs="Arial" w:eastAsia="Arial" w:hAnsi="Arial"/>
                <w:sz w:val="18"/>
                <w:szCs w:val="18"/>
                <w:color w:val="auto"/>
              </w:rPr>
              <w:t>Operating lease assets</w:t>
            </w:r>
          </w:p>
        </w:tc>
        <w:tc>
          <w:tcPr>
            <w:tcW w:w="350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Operating lease assets</w:t>
            </w:r>
          </w:p>
        </w:tc>
        <w:tc>
          <w:tcPr>
            <w:tcW w:w="40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20,780</w:t>
            </w:r>
          </w:p>
        </w:tc>
        <w:tc>
          <w:tcPr>
            <w:tcW w:w="74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22,579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Liabilities:</w:t>
            </w:r>
          </w:p>
        </w:tc>
        <w:tc>
          <w:tcPr>
            <w:tcW w:w="3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200"/>
              <w:spacing w:after="0" w:line="162" w:lineRule="exact"/>
              <w:rPr>
                <w:sz w:val="20"/>
                <w:szCs w:val="20"/>
                <w:color w:val="auto"/>
              </w:rPr>
            </w:pPr>
            <w:r>
              <w:rPr>
                <w:rFonts w:ascii="Arial" w:cs="Arial" w:eastAsia="Arial" w:hAnsi="Arial"/>
                <w:sz w:val="18"/>
                <w:szCs w:val="18"/>
                <w:color w:val="auto"/>
              </w:rPr>
              <w:t>Current operating lease</w:t>
            </w:r>
          </w:p>
        </w:tc>
        <w:tc>
          <w:tcPr>
            <w:tcW w:w="3500" w:type="dxa"/>
            <w:vAlign w:val="bottom"/>
            <w:gridSpan w:val="2"/>
            <w:vMerge w:val="restart"/>
          </w:tcPr>
          <w:p>
            <w:pPr>
              <w:ind w:left="20"/>
              <w:spacing w:after="0"/>
              <w:rPr>
                <w:sz w:val="20"/>
                <w:szCs w:val="20"/>
                <w:color w:val="auto"/>
              </w:rPr>
            </w:pPr>
            <w:r>
              <w:rPr>
                <w:rFonts w:ascii="Arial" w:cs="Arial" w:eastAsia="Arial" w:hAnsi="Arial"/>
                <w:sz w:val="18"/>
                <w:szCs w:val="18"/>
                <w:color w:val="auto"/>
              </w:rPr>
              <w:t>Operating lease liabilities</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1,844</w:t>
            </w:r>
          </w:p>
        </w:tc>
        <w:tc>
          <w:tcPr>
            <w:tcW w:w="7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350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Non-current operating lease</w:t>
            </w:r>
          </w:p>
        </w:tc>
        <w:tc>
          <w:tcPr>
            <w:tcW w:w="350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8"/>
                <w:szCs w:val="18"/>
                <w:color w:val="auto"/>
              </w:rPr>
              <w:t>Operating lease liabilities, net of current</w:t>
            </w:r>
          </w:p>
        </w:tc>
        <w:tc>
          <w:tcPr>
            <w:tcW w:w="400" w:type="dxa"/>
            <w:vAlign w:val="bottom"/>
            <w:shd w:val="clear" w:color="auto" w:fill="CFF0FC"/>
          </w:tcPr>
          <w:p>
            <w:pPr>
              <w:spacing w:after="0"/>
              <w:rPr>
                <w:sz w:val="14"/>
                <w:szCs w:val="14"/>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21,056</w:t>
            </w: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22,901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60" w:type="dxa"/>
            <w:vAlign w:val="bottom"/>
            <w:tcBorders>
              <w:bottom w:val="single" w:sz="8" w:color="CFF0FC"/>
            </w:tcBorders>
            <w:shd w:val="clear" w:color="auto" w:fill="CFF0FC"/>
          </w:tcPr>
          <w:p>
            <w:pPr>
              <w:ind w:left="340"/>
              <w:spacing w:after="0" w:line="202" w:lineRule="exact"/>
              <w:rPr>
                <w:sz w:val="20"/>
                <w:szCs w:val="20"/>
                <w:color w:val="auto"/>
              </w:rPr>
            </w:pPr>
            <w:r>
              <w:rPr>
                <w:rFonts w:ascii="Arial" w:cs="Arial" w:eastAsia="Arial" w:hAnsi="Arial"/>
                <w:sz w:val="18"/>
                <w:szCs w:val="18"/>
                <w:color w:val="auto"/>
              </w:rPr>
              <w:t>liabilities</w:t>
            </w:r>
          </w:p>
        </w:tc>
        <w:tc>
          <w:tcPr>
            <w:tcW w:w="350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portion</w:t>
            </w:r>
          </w:p>
        </w:tc>
        <w:tc>
          <w:tcPr>
            <w:tcW w:w="4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vMerge w:val="continue"/>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350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Total lease liabilities</w:t>
            </w:r>
          </w:p>
        </w:tc>
        <w:tc>
          <w:tcPr>
            <w:tcW w:w="40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22,900</w:t>
            </w:r>
          </w:p>
        </w:tc>
        <w:tc>
          <w:tcPr>
            <w:tcW w:w="74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24,422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-159385</wp:posOffset>
            </wp:positionV>
            <wp:extent cx="51435"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9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summarizes the effect of lease costs for the Company’s operating lease at 399 Binney Street on Company’s consolidated statements of operations and comprehensive loss for the years ended December 31, 2021, 2020 and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460" w:type="dxa"/>
            <w:vAlign w:val="bottom"/>
          </w:tcPr>
          <w:p>
            <w:pPr>
              <w:spacing w:after="0"/>
              <w:rPr>
                <w:sz w:val="14"/>
                <w:szCs w:val="14"/>
                <w:color w:val="auto"/>
              </w:rPr>
            </w:pPr>
          </w:p>
        </w:tc>
        <w:tc>
          <w:tcPr>
            <w:tcW w:w="2980" w:type="dxa"/>
            <w:vAlign w:val="bottom"/>
            <w:gridSpan w:val="2"/>
          </w:tcPr>
          <w:p>
            <w:pPr>
              <w:ind w:left="420"/>
              <w:spacing w:after="0"/>
              <w:rPr>
                <w:sz w:val="20"/>
                <w:szCs w:val="20"/>
                <w:color w:val="auto"/>
              </w:rPr>
            </w:pPr>
            <w:r>
              <w:rPr>
                <w:rFonts w:ascii="Arial" w:cs="Arial" w:eastAsia="Arial" w:hAnsi="Arial"/>
                <w:sz w:val="14"/>
                <w:szCs w:val="14"/>
                <w:b w:val="1"/>
                <w:bCs w:val="1"/>
                <w:color w:val="auto"/>
              </w:rPr>
              <w:t>Statement of operations location</w:t>
            </w:r>
          </w:p>
        </w:tc>
        <w:tc>
          <w:tcPr>
            <w:tcW w:w="340" w:type="dxa"/>
            <w:vAlign w:val="bottom"/>
          </w:tcPr>
          <w:p>
            <w:pPr>
              <w:spacing w:after="0"/>
              <w:rPr>
                <w:sz w:val="14"/>
                <w:szCs w:val="14"/>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3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costs</w:t>
            </w:r>
          </w:p>
        </w:tc>
        <w:tc>
          <w:tcPr>
            <w:tcW w:w="28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3,262</w:t>
            </w:r>
          </w:p>
        </w:tc>
        <w:tc>
          <w:tcPr>
            <w:tcW w:w="2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3,273</w:t>
            </w:r>
          </w:p>
        </w:tc>
        <w:tc>
          <w:tcPr>
            <w:tcW w:w="2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3,216</w:t>
            </w:r>
          </w:p>
        </w:tc>
        <w:tc>
          <w:tcPr>
            <w:tcW w:w="60" w:type="dxa"/>
            <w:vAlign w:val="bottom"/>
            <w:shd w:val="clear" w:color="auto" w:fill="CFF0FC"/>
          </w:tcPr>
          <w:p>
            <w:pPr>
              <w:spacing w:after="0"/>
              <w:rPr>
                <w:sz w:val="17"/>
                <w:szCs w:val="17"/>
                <w:color w:val="auto"/>
              </w:rPr>
            </w:pPr>
          </w:p>
        </w:tc>
      </w:tr>
      <w:tr>
        <w:trPr>
          <w:trHeight w:val="203"/>
        </w:trPr>
        <w:tc>
          <w:tcPr>
            <w:tcW w:w="3460" w:type="dxa"/>
            <w:vAlign w:val="bottom"/>
          </w:tcPr>
          <w:p>
            <w:pPr>
              <w:spacing w:after="0"/>
              <w:rPr>
                <w:sz w:val="17"/>
                <w:szCs w:val="17"/>
                <w:color w:val="auto"/>
              </w:rPr>
            </w:pPr>
          </w:p>
        </w:tc>
        <w:tc>
          <w:tcPr>
            <w:tcW w:w="2980" w:type="dxa"/>
            <w:vAlign w:val="bottom"/>
            <w:gridSpan w:val="2"/>
          </w:tcPr>
          <w:p>
            <w:pPr>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846</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748</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581</w:t>
            </w:r>
          </w:p>
        </w:tc>
        <w:tc>
          <w:tcPr>
            <w:tcW w:w="60" w:type="dxa"/>
            <w:vAlign w:val="bottom"/>
          </w:tcPr>
          <w:p>
            <w:pPr>
              <w:spacing w:after="0"/>
              <w:rPr>
                <w:sz w:val="17"/>
                <w:szCs w:val="17"/>
                <w:color w:val="auto"/>
              </w:rPr>
            </w:pPr>
          </w:p>
        </w:tc>
      </w:tr>
      <w:tr>
        <w:trPr>
          <w:trHeight w:val="236"/>
        </w:trPr>
        <w:tc>
          <w:tcPr>
            <w:tcW w:w="3460" w:type="dxa"/>
            <w:vAlign w:val="bottom"/>
            <w:tcBorders>
              <w:bottom w:val="single" w:sz="8" w:color="CFF0FC"/>
            </w:tcBorders>
            <w:shd w:val="clear" w:color="auto" w:fill="CFF0FC"/>
          </w:tcPr>
          <w:p>
            <w:pPr>
              <w:spacing w:after="0"/>
              <w:rPr>
                <w:sz w:val="20"/>
                <w:szCs w:val="20"/>
                <w:color w:val="auto"/>
              </w:rPr>
            </w:pPr>
          </w:p>
        </w:tc>
        <w:tc>
          <w:tcPr>
            <w:tcW w:w="2980" w:type="dxa"/>
            <w:vAlign w:val="bottom"/>
            <w:tcBorders>
              <w:bottom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Total operating lease cost</w:t>
            </w:r>
          </w:p>
        </w:tc>
        <w:tc>
          <w:tcPr>
            <w:tcW w:w="34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4,108</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4,021</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3,797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514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514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431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431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9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 made cash payments of $5.4 million, $4.9 million and $2.6 million under the lease agreement for 399 Binney Street during the years ended December 31, 2021, 2020 and 2019, respectively.</w:t>
      </w:r>
    </w:p>
    <w:p>
      <w:pPr>
        <w:spacing w:after="0" w:line="17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minimum lease payments for the Company’s operating lease at 399 Binney Street as of December 31, 2021 for the next five years and thereafter is expected to be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98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Amount</w:t>
            </w:r>
          </w:p>
        </w:tc>
      </w:tr>
      <w:tr>
        <w:trPr>
          <w:trHeight w:val="196"/>
        </w:trPr>
        <w:tc>
          <w:tcPr>
            <w:tcW w:w="89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4,134</w:t>
            </w:r>
          </w:p>
        </w:tc>
        <w:tc>
          <w:tcPr>
            <w:tcW w:w="100" w:type="dxa"/>
            <w:vAlign w:val="bottom"/>
            <w:shd w:val="clear" w:color="auto" w:fill="CFF0FC"/>
          </w:tcPr>
          <w:p>
            <w:pPr>
              <w:spacing w:after="0"/>
              <w:rPr>
                <w:sz w:val="17"/>
                <w:szCs w:val="17"/>
                <w:color w:val="auto"/>
              </w:rPr>
            </w:pPr>
          </w:p>
        </w:tc>
      </w:tr>
      <w:tr>
        <w:trPr>
          <w:trHeight w:val="203"/>
        </w:trPr>
        <w:tc>
          <w:tcPr>
            <w:tcW w:w="898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4,254</w:t>
            </w:r>
          </w:p>
        </w:tc>
        <w:tc>
          <w:tcPr>
            <w:tcW w:w="100" w:type="dxa"/>
            <w:vAlign w:val="bottom"/>
          </w:tcPr>
          <w:p>
            <w:pPr>
              <w:spacing w:after="0"/>
              <w:rPr>
                <w:sz w:val="17"/>
                <w:szCs w:val="17"/>
                <w:color w:val="auto"/>
              </w:rPr>
            </w:pPr>
          </w:p>
        </w:tc>
      </w:tr>
      <w:tr>
        <w:trPr>
          <w:trHeight w:val="203"/>
        </w:trPr>
        <w:tc>
          <w:tcPr>
            <w:tcW w:w="8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4,377</w:t>
            </w:r>
          </w:p>
        </w:tc>
        <w:tc>
          <w:tcPr>
            <w:tcW w:w="100" w:type="dxa"/>
            <w:vAlign w:val="bottom"/>
            <w:shd w:val="clear" w:color="auto" w:fill="CFF0FC"/>
          </w:tcPr>
          <w:p>
            <w:pPr>
              <w:spacing w:after="0"/>
              <w:rPr>
                <w:sz w:val="17"/>
                <w:szCs w:val="17"/>
                <w:color w:val="auto"/>
              </w:rPr>
            </w:pPr>
          </w:p>
        </w:tc>
      </w:tr>
      <w:tr>
        <w:trPr>
          <w:trHeight w:val="203"/>
        </w:trPr>
        <w:tc>
          <w:tcPr>
            <w:tcW w:w="898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4,503</w:t>
            </w:r>
          </w:p>
        </w:tc>
        <w:tc>
          <w:tcPr>
            <w:tcW w:w="100" w:type="dxa"/>
            <w:vAlign w:val="bottom"/>
          </w:tcPr>
          <w:p>
            <w:pPr>
              <w:spacing w:after="0"/>
              <w:rPr>
                <w:sz w:val="17"/>
                <w:szCs w:val="17"/>
                <w:color w:val="auto"/>
              </w:rPr>
            </w:pPr>
          </w:p>
        </w:tc>
      </w:tr>
      <w:tr>
        <w:trPr>
          <w:trHeight w:val="203"/>
        </w:trPr>
        <w:tc>
          <w:tcPr>
            <w:tcW w:w="8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4,634</w:t>
            </w:r>
          </w:p>
        </w:tc>
        <w:tc>
          <w:tcPr>
            <w:tcW w:w="100" w:type="dxa"/>
            <w:vAlign w:val="bottom"/>
            <w:shd w:val="clear" w:color="auto" w:fill="CFF0FC"/>
          </w:tcPr>
          <w:p>
            <w:pPr>
              <w:spacing w:after="0"/>
              <w:rPr>
                <w:sz w:val="17"/>
                <w:szCs w:val="17"/>
                <w:color w:val="auto"/>
              </w:rPr>
            </w:pPr>
          </w:p>
        </w:tc>
      </w:tr>
      <w:tr>
        <w:trPr>
          <w:trHeight w:val="203"/>
        </w:trPr>
        <w:tc>
          <w:tcPr>
            <w:tcW w:w="898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11,325</w:t>
            </w:r>
          </w:p>
        </w:tc>
        <w:tc>
          <w:tcPr>
            <w:tcW w:w="100" w:type="dxa"/>
            <w:vAlign w:val="bottom"/>
          </w:tcPr>
          <w:p>
            <w:pPr>
              <w:spacing w:after="0"/>
              <w:rPr>
                <w:sz w:val="17"/>
                <w:szCs w:val="17"/>
                <w:color w:val="auto"/>
              </w:rPr>
            </w:pPr>
          </w:p>
        </w:tc>
      </w:tr>
      <w:tr>
        <w:trPr>
          <w:trHeight w:val="196"/>
        </w:trPr>
        <w:tc>
          <w:tcPr>
            <w:tcW w:w="8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33,227</w:t>
            </w:r>
          </w:p>
        </w:tc>
        <w:tc>
          <w:tcPr>
            <w:tcW w:w="100" w:type="dxa"/>
            <w:vAlign w:val="bottom"/>
            <w:shd w:val="clear" w:color="auto" w:fill="CFF0FC"/>
          </w:tcPr>
          <w:p>
            <w:pPr>
              <w:spacing w:after="0"/>
              <w:rPr>
                <w:sz w:val="17"/>
                <w:szCs w:val="17"/>
                <w:color w:val="auto"/>
              </w:rPr>
            </w:pPr>
          </w:p>
        </w:tc>
      </w:tr>
      <w:tr>
        <w:trPr>
          <w:trHeight w:val="203"/>
        </w:trPr>
        <w:tc>
          <w:tcPr>
            <w:tcW w:w="8980" w:type="dxa"/>
            <w:vAlign w:val="bottom"/>
          </w:tcPr>
          <w:p>
            <w:pPr>
              <w:ind w:left="20"/>
              <w:spacing w:after="0" w:line="202" w:lineRule="exact"/>
              <w:rPr>
                <w:sz w:val="20"/>
                <w:szCs w:val="20"/>
                <w:color w:val="auto"/>
              </w:rPr>
            </w:pPr>
            <w:r>
              <w:rPr>
                <w:rFonts w:ascii="Arial" w:cs="Arial" w:eastAsia="Arial" w:hAnsi="Arial"/>
                <w:sz w:val="18"/>
                <w:szCs w:val="18"/>
                <w:color w:val="auto"/>
              </w:rPr>
              <w:t>Less: interest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(10,327 )</w:t>
            </w:r>
          </w:p>
        </w:tc>
      </w:tr>
      <w:tr>
        <w:trPr>
          <w:trHeight w:val="236"/>
        </w:trPr>
        <w:tc>
          <w:tcPr>
            <w:tcW w:w="89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2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22,900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weighted average remaining lease term and weighted average discount rate of the operating lease were 7.3 years and 10.4%, respectively, at December 31, 2021 for the Company’s operating lease at 399 Binney Street. The weighted average remaining lease term and weighted average discount rate of the operating lease were 8.3 years and 10.4%, respectively, at December 31, 2020 for the Company’s operating lease at 399 Binney Street.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60 Hampshire Street</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On May 26, 2021, the Company entered into a lease agreement for laboratory and office space located at 60 Hampshire Street, Cambridge, Massachusetts (the “Hampshire Lease”). Under the terms of the Hampshire Lease, the Company will lease approximately 41,474 square feet as the sole tenant, which will supplement the Company’s current leased premises at 399 Binney Street, Cambridge, Massachusetts. The landlord will contribute an aggregate of $6.2 million toward the cost of construction and tenant improvements for the premises. In total, fixed lease payments, which include base rent, landlord fees, and parking, are $55.7 million over the lease term. The Company’s obligation to pay rent under the Hampshire Lease will start on a date set forth in an estimated construction schedule pursuant to the Hampshire Lease or the date on which the landlord tenders possession of the premises to the Company with the tenant improvements substantially completed, whichever occurs later. The term of the Hampshire Lease is ten years following the rent commencement, which is currently expected in 2022. The Company did not control the space or any of the assets being constructed therein as of December 31, 2021 and further concluded the improvements being constructed therein are the landlord’s assets with alternative use to future tenants. As such, no right of use asset or lease liability was recorded on the consolidated balance sheet at December 31, 2021, since lease commencement, for accounting purposes, had not been triggered.</w:t>
      </w:r>
    </w:p>
    <w:p>
      <w:pPr>
        <w:spacing w:after="0" w:line="18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As discussed in Note 2, the Company provided a letter of credit in connection with the Hampshire Lease in the amount of $1.7 million with a financial institution, which expires August 31, 2033.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Benefits</w:t>
      </w:r>
    </w:p>
    <w:p>
      <w:pPr>
        <w:spacing w:after="0" w:line="10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2016, the Company established a defined-contribution plan under Section 401(k) of the Internal Revenue Code (the “401(k) Plan”). The 401(k) Plan covers all employees who meet defined minimum age and service requirements and allows participants to defer a portion of their annual compensation on a pre-tax basis. The Company made matching contributions to the 401(k) Plan of $1.2 million for the year ended December 31, 2021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4" w:name="page165"/>
    <w:bookmarkEnd w:id="164"/>
    <w:p>
      <w:pPr>
        <w:ind w:right="180" w:firstLine="8"/>
        <w:spacing w:after="0" w:line="261" w:lineRule="auto"/>
        <w:tabs>
          <w:tab w:leader="none" w:pos="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was not required to make and did not make any matching contributions to the 401(k) Plan for the years ended December 31, 2020 and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preparing the consolidated financial statements as of December 31, 2021, the Company evaluated subsequent events for recognition and measurement purposes through the filing date of this Annual Report on Form 10-K. The Company concluded that no events or transactions have occurred that require disclosure in the accompanying consolidated financial statements.</w:t>
      </w:r>
    </w:p>
    <w:p>
      <w:pPr>
        <w:spacing w:after="0" w:line="18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436" w:right="57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gridSpan w:val="31"/>
          </w:tcPr>
          <w:p>
            <w:pPr>
              <w:jc w:val="center"/>
              <w:ind w:right="4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23"/>
        </w:trPr>
        <w:tc>
          <w:tcPr>
            <w:tcW w:w="112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40" w:type="dxa"/>
            <w:vAlign w:val="bottom"/>
            <w:gridSpan w:val="30"/>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640" w:type="dxa"/>
            <w:vAlign w:val="bottom"/>
            <w:tcBorders>
              <w:bottom w:val="single" w:sz="8" w:color="auto"/>
            </w:tcBorders>
            <w:gridSpan w:val="3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120" w:type="dxa"/>
            <w:vAlign w:val="bottom"/>
          </w:tcPr>
          <w:p>
            <w:pPr>
              <w:ind w:left="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040" w:type="dxa"/>
            <w:vAlign w:val="bottom"/>
            <w:gridSpan w:val="39"/>
          </w:tcPr>
          <w:p>
            <w:pPr>
              <w:spacing w:after="0"/>
              <w:rPr>
                <w:rFonts w:ascii="Arial" w:cs="Arial" w:eastAsia="Arial" w:hAnsi="Arial"/>
                <w:sz w:val="18"/>
                <w:szCs w:val="18"/>
                <w:color w:val="0000FF"/>
                <w:w w:val="93"/>
              </w:rPr>
            </w:pPr>
            <w:hyperlink r:id="rId397">
              <w:r>
                <w:rPr>
                  <w:rFonts w:ascii="Arial" w:cs="Arial" w:eastAsia="Arial" w:hAnsi="Arial"/>
                  <w:sz w:val="18"/>
                  <w:szCs w:val="18"/>
                  <w:color w:val="0000FF"/>
                  <w:w w:val="93"/>
                </w:rPr>
                <w:t>Agreement and Plan of Merger dated April 15, 2021 by and among Relay Therapeutics, Inc., Elixir Merger Sub I, Inc., Elixir Merger Sub</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60" w:type="dxa"/>
            <w:vAlign w:val="bottom"/>
            <w:tcBorders>
              <w:top w:val="single" w:sz="8" w:color="0000FF"/>
            </w:tcBorders>
            <w:gridSpan w:val="35"/>
          </w:tcPr>
          <w:p>
            <w:pPr>
              <w:spacing w:after="0" w:line="156" w:lineRule="exact"/>
              <w:rPr>
                <w:rFonts w:ascii="Arial" w:cs="Arial" w:eastAsia="Arial" w:hAnsi="Arial"/>
                <w:sz w:val="18"/>
                <w:szCs w:val="18"/>
                <w:color w:val="0000FF"/>
                <w:w w:val="97"/>
              </w:rPr>
            </w:pPr>
            <w:hyperlink r:id="rId397">
              <w:r>
                <w:rPr>
                  <w:rFonts w:ascii="Arial" w:cs="Arial" w:eastAsia="Arial" w:hAnsi="Arial"/>
                  <w:sz w:val="18"/>
                  <w:szCs w:val="18"/>
                  <w:color w:val="0000FF"/>
                  <w:w w:val="97"/>
                </w:rPr>
                <w:t>II, LLC, ZebiAI Therapeutics, Inc., and Shareholder Representative Services LLC (incorporated by reference to Exhibit 2.1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3"/>
              </w:rPr>
            </w:pPr>
            <w:hyperlink r:id="rId397">
              <w:r>
                <w:rPr>
                  <w:rFonts w:ascii="Arial" w:cs="Arial" w:eastAsia="Arial" w:hAnsi="Arial"/>
                  <w:sz w:val="18"/>
                  <w:szCs w:val="18"/>
                  <w:color w:val="0000FF"/>
                  <w:w w:val="93"/>
                </w:rPr>
                <w:t>Registrant’s Form 8-K (File No. 001-39385) filed on April 16,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436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2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040" w:type="dxa"/>
            <w:vAlign w:val="bottom"/>
            <w:gridSpan w:val="39"/>
          </w:tcPr>
          <w:p>
            <w:pPr>
              <w:spacing w:after="0"/>
              <w:rPr>
                <w:rFonts w:ascii="Arial" w:cs="Arial" w:eastAsia="Arial" w:hAnsi="Arial"/>
                <w:sz w:val="18"/>
                <w:szCs w:val="18"/>
                <w:color w:val="0000FF"/>
                <w:w w:val="94"/>
              </w:rPr>
            </w:pPr>
            <w:hyperlink r:id="rId398">
              <w:r>
                <w:rPr>
                  <w:rFonts w:ascii="Arial" w:cs="Arial" w:eastAsia="Arial" w:hAnsi="Arial"/>
                  <w:sz w:val="18"/>
                  <w:szCs w:val="18"/>
                  <w:color w:val="0000FF"/>
                  <w:w w:val="94"/>
                </w:rPr>
                <w:t>Fourth Amended and Restated Certificate of Incorporation of Relay Therapeutics, Inc. (incorporated by reference to Exhibit 3.1 to the</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398">
              <w:r>
                <w:rPr>
                  <w:rFonts w:ascii="Arial" w:cs="Arial" w:eastAsia="Arial" w:hAnsi="Arial"/>
                  <w:sz w:val="18"/>
                  <w:szCs w:val="18"/>
                  <w:color w:val="0000FF"/>
                  <w:w w:val="92"/>
                </w:rPr>
                <w:t>Registrant’s Form 8-K (File No. 001-39385) filed on July 21, 2020).</w:t>
              </w:r>
            </w:hyperlink>
          </w:p>
        </w:tc>
        <w:tc>
          <w:tcPr>
            <w:tcW w:w="20" w:type="dxa"/>
            <w:vAlign w:val="bottom"/>
            <w:tcBorders>
              <w:top w:val="single" w:sz="8" w:color="0000FF"/>
              <w:bottom w:val="single" w:sz="8" w:color="0000EE"/>
            </w:tcBorders>
          </w:tcPr>
          <w:p>
            <w:pPr>
              <w:spacing w:after="0"/>
              <w:rPr>
                <w:sz w:val="13"/>
                <w:szCs w:val="13"/>
                <w:color w:val="auto"/>
              </w:rPr>
            </w:pPr>
          </w:p>
        </w:tc>
        <w:tc>
          <w:tcPr>
            <w:tcW w:w="4740" w:type="dxa"/>
            <w:vAlign w:val="bottom"/>
            <w:tcBorders>
              <w:top w:val="single" w:sz="8" w:color="0000FF"/>
            </w:tcBorders>
            <w:gridSpan w:val="16"/>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2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040" w:type="dxa"/>
            <w:vAlign w:val="bottom"/>
            <w:gridSpan w:val="39"/>
          </w:tcPr>
          <w:p>
            <w:pPr>
              <w:spacing w:after="0"/>
              <w:rPr>
                <w:rFonts w:ascii="Arial" w:cs="Arial" w:eastAsia="Arial" w:hAnsi="Arial"/>
                <w:sz w:val="18"/>
                <w:szCs w:val="18"/>
                <w:color w:val="0000FF"/>
                <w:w w:val="94"/>
              </w:rPr>
            </w:pPr>
            <w:hyperlink r:id="rId399">
              <w:r>
                <w:rPr>
                  <w:rFonts w:ascii="Arial" w:cs="Arial" w:eastAsia="Arial" w:hAnsi="Arial"/>
                  <w:sz w:val="18"/>
                  <w:szCs w:val="18"/>
                  <w:color w:val="0000FF"/>
                  <w:w w:val="94"/>
                </w:rPr>
                <w:t>Amended and Restated Bylaws of Relay Therapeutics, Inc. (incorporated by reference to Exhibit 3.2 to the Registrant’s Form 8-K (File</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399">
              <w:r>
                <w:rPr>
                  <w:rFonts w:ascii="Arial" w:cs="Arial" w:eastAsia="Arial" w:hAnsi="Arial"/>
                  <w:sz w:val="18"/>
                  <w:szCs w:val="18"/>
                  <w:color w:val="0000FF"/>
                  <w:w w:val="91"/>
                </w:rPr>
                <w:t>No. 001-39385) filed on July 21, 2020).</w:t>
              </w:r>
            </w:hyperlink>
          </w:p>
        </w:tc>
        <w:tc>
          <w:tcPr>
            <w:tcW w:w="20" w:type="dxa"/>
            <w:vAlign w:val="bottom"/>
            <w:tcBorders>
              <w:top w:val="single" w:sz="8" w:color="0000FF"/>
              <w:bottom w:val="single" w:sz="8" w:color="0000EE"/>
            </w:tcBorders>
          </w:tcPr>
          <w:p>
            <w:pPr>
              <w:spacing w:after="0"/>
              <w:rPr>
                <w:sz w:val="13"/>
                <w:szCs w:val="13"/>
                <w:color w:val="auto"/>
              </w:rPr>
            </w:pPr>
          </w:p>
        </w:tc>
        <w:tc>
          <w:tcPr>
            <w:tcW w:w="6880" w:type="dxa"/>
            <w:vAlign w:val="bottom"/>
            <w:tcBorders>
              <w:top w:val="single" w:sz="8" w:color="0000FF"/>
            </w:tcBorders>
            <w:gridSpan w:val="24"/>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20" w:type="dxa"/>
            <w:vAlign w:val="bottom"/>
          </w:tcPr>
          <w:p>
            <w:pPr>
              <w:ind w:left="20"/>
              <w:spacing w:after="0"/>
              <w:rPr>
                <w:sz w:val="20"/>
                <w:szCs w:val="20"/>
                <w:color w:val="auto"/>
              </w:rPr>
            </w:pPr>
            <w:r>
              <w:rPr>
                <w:rFonts w:ascii="Arial" w:cs="Arial" w:eastAsia="Arial" w:hAnsi="Arial"/>
                <w:sz w:val="18"/>
                <w:szCs w:val="18"/>
                <w:color w:val="231F20"/>
              </w:rPr>
              <w:t>4.1</w:t>
            </w:r>
          </w:p>
        </w:tc>
        <w:tc>
          <w:tcPr>
            <w:tcW w:w="120" w:type="dxa"/>
            <w:vAlign w:val="bottom"/>
          </w:tcPr>
          <w:p>
            <w:pPr>
              <w:spacing w:after="0"/>
              <w:rPr>
                <w:sz w:val="24"/>
                <w:szCs w:val="24"/>
                <w:color w:val="auto"/>
              </w:rPr>
            </w:pPr>
          </w:p>
        </w:tc>
        <w:tc>
          <w:tcPr>
            <w:tcW w:w="10040" w:type="dxa"/>
            <w:vAlign w:val="bottom"/>
            <w:gridSpan w:val="39"/>
          </w:tcPr>
          <w:p>
            <w:pPr>
              <w:spacing w:after="0"/>
              <w:rPr>
                <w:rFonts w:ascii="Arial" w:cs="Arial" w:eastAsia="Arial" w:hAnsi="Arial"/>
                <w:sz w:val="18"/>
                <w:szCs w:val="18"/>
                <w:color w:val="0000FF"/>
                <w:w w:val="91"/>
              </w:rPr>
            </w:pPr>
            <w:hyperlink r:id="rId400">
              <w:r>
                <w:rPr>
                  <w:rFonts w:ascii="Arial" w:cs="Arial" w:eastAsia="Arial" w:hAnsi="Arial"/>
                  <w:sz w:val="18"/>
                  <w:szCs w:val="18"/>
                  <w:color w:val="0000FF"/>
                  <w:w w:val="91"/>
                </w:rPr>
                <w:t>Specimen stock certificate evidencing the shares of common stock (incorporated by reference to Exhibit 4.1 to our Registration Statement</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400">
              <w:r>
                <w:rPr>
                  <w:rFonts w:ascii="Arial" w:cs="Arial" w:eastAsia="Arial" w:hAnsi="Arial"/>
                  <w:sz w:val="18"/>
                  <w:szCs w:val="18"/>
                  <w:color w:val="0000FF"/>
                </w:rPr>
                <w:t>on Form S-1/A (File No. 333-239412) filed on July 9,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20" w:type="dxa"/>
            <w:vAlign w:val="bottom"/>
          </w:tcPr>
          <w:p>
            <w:pPr>
              <w:ind w:left="20"/>
              <w:spacing w:after="0"/>
              <w:rPr>
                <w:sz w:val="20"/>
                <w:szCs w:val="20"/>
                <w:color w:val="auto"/>
              </w:rPr>
            </w:pPr>
            <w:r>
              <w:rPr>
                <w:rFonts w:ascii="Arial" w:cs="Arial" w:eastAsia="Arial" w:hAnsi="Arial"/>
                <w:sz w:val="18"/>
                <w:szCs w:val="18"/>
                <w:color w:val="231F20"/>
              </w:rPr>
              <w:t>4.2</w:t>
            </w:r>
          </w:p>
        </w:tc>
        <w:tc>
          <w:tcPr>
            <w:tcW w:w="120" w:type="dxa"/>
            <w:vAlign w:val="bottom"/>
          </w:tcPr>
          <w:p>
            <w:pPr>
              <w:spacing w:after="0"/>
              <w:rPr>
                <w:sz w:val="24"/>
                <w:szCs w:val="24"/>
                <w:color w:val="auto"/>
              </w:rPr>
            </w:pPr>
          </w:p>
        </w:tc>
        <w:tc>
          <w:tcPr>
            <w:tcW w:w="10040" w:type="dxa"/>
            <w:vAlign w:val="bottom"/>
            <w:gridSpan w:val="39"/>
          </w:tcPr>
          <w:p>
            <w:pPr>
              <w:spacing w:after="0"/>
              <w:rPr>
                <w:rFonts w:ascii="Arial" w:cs="Arial" w:eastAsia="Arial" w:hAnsi="Arial"/>
                <w:sz w:val="18"/>
                <w:szCs w:val="18"/>
                <w:color w:val="0000FF"/>
                <w:w w:val="93"/>
              </w:rPr>
            </w:pPr>
            <w:hyperlink r:id="rId401">
              <w:r>
                <w:rPr>
                  <w:rFonts w:ascii="Arial" w:cs="Arial" w:eastAsia="Arial" w:hAnsi="Arial"/>
                  <w:sz w:val="18"/>
                  <w:szCs w:val="18"/>
                  <w:color w:val="0000FF"/>
                  <w:w w:val="93"/>
                </w:rPr>
                <w:t>Description of Securities (incorporated by reference to Exhibit 4.3 to the Registrant's Form 10-K (File No. 001-39385) filed on March 25,</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401">
              <w:r>
                <w:rPr>
                  <w:rFonts w:ascii="Arial" w:cs="Arial" w:eastAsia="Arial" w:hAnsi="Arial"/>
                  <w:sz w:val="18"/>
                  <w:szCs w:val="18"/>
                  <w:color w:val="0000FF"/>
                  <w:w w:val="86"/>
                </w:rPr>
                <w:t>2021).</w:t>
              </w:r>
            </w:hyperlink>
          </w:p>
        </w:tc>
        <w:tc>
          <w:tcPr>
            <w:tcW w:w="20" w:type="dxa"/>
            <w:vAlign w:val="bottom"/>
            <w:tcBorders>
              <w:top w:val="single" w:sz="8" w:color="0000FF"/>
              <w:bottom w:val="single" w:sz="8" w:color="0000EE"/>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20" w:type="dxa"/>
            <w:vAlign w:val="bottom"/>
          </w:tcPr>
          <w:p>
            <w:pPr>
              <w:ind w:left="20"/>
              <w:spacing w:after="0"/>
              <w:rPr>
                <w:sz w:val="20"/>
                <w:szCs w:val="20"/>
                <w:color w:val="auto"/>
              </w:rPr>
            </w:pPr>
            <w:r>
              <w:rPr>
                <w:rFonts w:ascii="Arial" w:cs="Arial" w:eastAsia="Arial" w:hAnsi="Arial"/>
                <w:sz w:val="18"/>
                <w:szCs w:val="18"/>
                <w:color w:val="231F20"/>
              </w:rPr>
              <w:t>10.1#</w:t>
            </w:r>
          </w:p>
        </w:tc>
        <w:tc>
          <w:tcPr>
            <w:tcW w:w="120" w:type="dxa"/>
            <w:vAlign w:val="bottom"/>
          </w:tcPr>
          <w:p>
            <w:pPr>
              <w:spacing w:after="0"/>
              <w:rPr>
                <w:sz w:val="24"/>
                <w:szCs w:val="24"/>
                <w:color w:val="auto"/>
              </w:rPr>
            </w:pPr>
          </w:p>
        </w:tc>
        <w:tc>
          <w:tcPr>
            <w:tcW w:w="10040" w:type="dxa"/>
            <w:vAlign w:val="bottom"/>
            <w:gridSpan w:val="39"/>
          </w:tcPr>
          <w:p>
            <w:pPr>
              <w:spacing w:after="0"/>
              <w:rPr>
                <w:rFonts w:ascii="Arial" w:cs="Arial" w:eastAsia="Arial" w:hAnsi="Arial"/>
                <w:sz w:val="18"/>
                <w:szCs w:val="18"/>
                <w:color w:val="0000FF"/>
                <w:w w:val="99"/>
              </w:rPr>
            </w:pPr>
            <w:hyperlink r:id="rId402">
              <w:r>
                <w:rPr>
                  <w:rFonts w:ascii="Arial" w:cs="Arial" w:eastAsia="Arial" w:hAnsi="Arial"/>
                  <w:sz w:val="18"/>
                  <w:szCs w:val="18"/>
                  <w:color w:val="0000FF"/>
                  <w:w w:val="99"/>
                </w:rPr>
                <w:t>2016 Stock Option and Grant Plan, and form of award agreements thereunder (incorporated by reference to Exhibit 10.1 of the</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1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402">
              <w:r>
                <w:rPr>
                  <w:rFonts w:ascii="Arial" w:cs="Arial" w:eastAsia="Arial" w:hAnsi="Arial"/>
                  <w:sz w:val="18"/>
                  <w:szCs w:val="18"/>
                  <w:color w:val="0000FF"/>
                </w:rPr>
                <w:t>Registrant’s Registration Statement on Form S-1 (File No. 333-239412) filed on June 24, 2020).</w:t>
              </w:r>
            </w:hyperlink>
          </w:p>
        </w:tc>
        <w:tc>
          <w:tcPr>
            <w:tcW w:w="2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20" w:type="dxa"/>
            <w:vAlign w:val="bottom"/>
          </w:tcPr>
          <w:p>
            <w:pPr>
              <w:ind w:left="20"/>
              <w:spacing w:after="0"/>
              <w:rPr>
                <w:sz w:val="20"/>
                <w:szCs w:val="20"/>
                <w:color w:val="auto"/>
              </w:rPr>
            </w:pPr>
            <w:r>
              <w:rPr>
                <w:rFonts w:ascii="Arial" w:cs="Arial" w:eastAsia="Arial" w:hAnsi="Arial"/>
                <w:sz w:val="18"/>
                <w:szCs w:val="18"/>
                <w:color w:val="231F20"/>
              </w:rPr>
              <w:t>10.2#</w:t>
            </w:r>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588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89"/>
              </w:rPr>
            </w:pPr>
            <w:hyperlink w:anchor="page170">
              <w:r>
                <w:rPr>
                  <w:rFonts w:ascii="Arial" w:cs="Arial" w:eastAsia="Arial" w:hAnsi="Arial"/>
                  <w:sz w:val="18"/>
                  <w:szCs w:val="18"/>
                  <w:color w:val="0000FF"/>
                  <w:w w:val="89"/>
                </w:rPr>
                <w:t>2020 Stock Option and Incentive Plan, and form of award agreements thereunder.</w:t>
              </w:r>
            </w:hyperlink>
          </w:p>
        </w:tc>
        <w:tc>
          <w:tcPr>
            <w:tcW w:w="20" w:type="dxa"/>
            <w:vAlign w:val="bottom"/>
            <w:tcBorders>
              <w:top w:val="single" w:sz="8" w:color="0000FF"/>
              <w:bottom w:val="single" w:sz="8" w:color="0000EE"/>
            </w:tcBorders>
          </w:tcPr>
          <w:p>
            <w:pPr>
              <w:spacing w:after="0"/>
              <w:rPr>
                <w:sz w:val="24"/>
                <w:szCs w:val="24"/>
                <w:color w:val="auto"/>
              </w:rPr>
            </w:pPr>
          </w:p>
        </w:tc>
        <w:tc>
          <w:tcPr>
            <w:tcW w:w="1020" w:type="dxa"/>
            <w:vAlign w:val="bottom"/>
            <w:tcBorders>
              <w:top w:val="single" w:sz="8" w:color="0000FF"/>
            </w:tcBorders>
            <w:gridSpan w:val="2"/>
          </w:tcPr>
          <w:p>
            <w:pPr>
              <w:spacing w:after="0"/>
              <w:rPr>
                <w:sz w:val="24"/>
                <w:szCs w:val="24"/>
                <w:color w:val="auto"/>
              </w:rPr>
            </w:pPr>
          </w:p>
        </w:tc>
        <w:tc>
          <w:tcPr>
            <w:tcW w:w="31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120" w:type="dxa"/>
            <w:vAlign w:val="bottom"/>
          </w:tcPr>
          <w:p>
            <w:pPr>
              <w:ind w:left="20"/>
              <w:spacing w:after="0"/>
              <w:rPr>
                <w:sz w:val="20"/>
                <w:szCs w:val="20"/>
                <w:color w:val="auto"/>
              </w:rPr>
            </w:pPr>
            <w:r>
              <w:rPr>
                <w:rFonts w:ascii="Arial" w:cs="Arial" w:eastAsia="Arial" w:hAnsi="Arial"/>
                <w:sz w:val="18"/>
                <w:szCs w:val="18"/>
                <w:color w:val="231F20"/>
              </w:rPr>
              <w:t>10.3#</w:t>
            </w:r>
          </w:p>
        </w:tc>
        <w:tc>
          <w:tcPr>
            <w:tcW w:w="120" w:type="dxa"/>
            <w:vAlign w:val="bottom"/>
          </w:tcPr>
          <w:p>
            <w:pPr>
              <w:spacing w:after="0"/>
              <w:rPr>
                <w:sz w:val="24"/>
                <w:szCs w:val="24"/>
                <w:color w:val="auto"/>
              </w:rPr>
            </w:pPr>
          </w:p>
        </w:tc>
        <w:tc>
          <w:tcPr>
            <w:tcW w:w="10040" w:type="dxa"/>
            <w:vAlign w:val="bottom"/>
            <w:gridSpan w:val="39"/>
          </w:tcPr>
          <w:p>
            <w:pPr>
              <w:spacing w:after="0"/>
              <w:rPr>
                <w:rFonts w:ascii="Arial" w:cs="Arial" w:eastAsia="Arial" w:hAnsi="Arial"/>
                <w:sz w:val="18"/>
                <w:szCs w:val="18"/>
                <w:color w:val="0000FF"/>
                <w:w w:val="91"/>
              </w:rPr>
            </w:pPr>
            <w:hyperlink r:id="rId403">
              <w:r>
                <w:rPr>
                  <w:rFonts w:ascii="Arial" w:cs="Arial" w:eastAsia="Arial" w:hAnsi="Arial"/>
                  <w:sz w:val="18"/>
                  <w:szCs w:val="18"/>
                  <w:color w:val="0000FF"/>
                  <w:w w:val="91"/>
                </w:rPr>
                <w:t>2020 Employee Stock Purchase Plan (incorporated by reference to Exhibit 10.3 of the Registrant’s Registration Statement on Form S-1/A</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403">
              <w:r>
                <w:rPr>
                  <w:rFonts w:ascii="Arial" w:cs="Arial" w:eastAsia="Arial" w:hAnsi="Arial"/>
                  <w:sz w:val="18"/>
                  <w:szCs w:val="18"/>
                  <w:color w:val="0000FF"/>
                  <w:w w:val="92"/>
                </w:rPr>
                <w:t>(File No. 333-239412) filed on July 9, 2020).</w:t>
              </w:r>
            </w:hyperlink>
          </w:p>
        </w:tc>
        <w:tc>
          <w:tcPr>
            <w:tcW w:w="20" w:type="dxa"/>
            <w:vAlign w:val="bottom"/>
            <w:tcBorders>
              <w:top w:val="single" w:sz="8" w:color="0000FF"/>
              <w:bottom w:val="single" w:sz="8" w:color="0000EE"/>
            </w:tcBorders>
          </w:tcPr>
          <w:p>
            <w:pPr>
              <w:spacing w:after="0"/>
              <w:rPr>
                <w:sz w:val="13"/>
                <w:szCs w:val="13"/>
                <w:color w:val="auto"/>
              </w:rPr>
            </w:pPr>
          </w:p>
        </w:tc>
        <w:tc>
          <w:tcPr>
            <w:tcW w:w="6700" w:type="dxa"/>
            <w:vAlign w:val="bottom"/>
            <w:tcBorders>
              <w:top w:val="single" w:sz="8" w:color="0000FF"/>
            </w:tcBorders>
            <w:gridSpan w:val="2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20" w:type="dxa"/>
            <w:vAlign w:val="bottom"/>
          </w:tcPr>
          <w:p>
            <w:pPr>
              <w:ind w:left="20"/>
              <w:spacing w:after="0"/>
              <w:rPr>
                <w:sz w:val="20"/>
                <w:szCs w:val="20"/>
                <w:color w:val="auto"/>
              </w:rPr>
            </w:pPr>
            <w:r>
              <w:rPr>
                <w:rFonts w:ascii="Arial" w:cs="Arial" w:eastAsia="Arial" w:hAnsi="Arial"/>
                <w:sz w:val="18"/>
                <w:szCs w:val="18"/>
                <w:color w:val="231F20"/>
              </w:rPr>
              <w:t>10.4#</w:t>
            </w:r>
          </w:p>
        </w:tc>
        <w:tc>
          <w:tcPr>
            <w:tcW w:w="120" w:type="dxa"/>
            <w:vAlign w:val="bottom"/>
          </w:tcPr>
          <w:p>
            <w:pPr>
              <w:spacing w:after="0"/>
              <w:rPr>
                <w:sz w:val="24"/>
                <w:szCs w:val="24"/>
                <w:color w:val="auto"/>
              </w:rPr>
            </w:pPr>
          </w:p>
        </w:tc>
        <w:tc>
          <w:tcPr>
            <w:tcW w:w="10040" w:type="dxa"/>
            <w:vAlign w:val="bottom"/>
            <w:gridSpan w:val="39"/>
          </w:tcPr>
          <w:p>
            <w:pPr>
              <w:spacing w:after="0"/>
              <w:rPr>
                <w:rFonts w:ascii="Arial" w:cs="Arial" w:eastAsia="Arial" w:hAnsi="Arial"/>
                <w:sz w:val="18"/>
                <w:szCs w:val="18"/>
                <w:color w:val="0000FF"/>
                <w:w w:val="91"/>
              </w:rPr>
            </w:pPr>
            <w:hyperlink r:id="rId404">
              <w:r>
                <w:rPr>
                  <w:rFonts w:ascii="Arial" w:cs="Arial" w:eastAsia="Arial" w:hAnsi="Arial"/>
                  <w:sz w:val="18"/>
                  <w:szCs w:val="18"/>
                  <w:color w:val="0000FF"/>
                  <w:w w:val="91"/>
                </w:rPr>
                <w:t>Senior Executive Cash Bonus Plan (incorporated by reference to Exhibit 10.4 of the Registrant’s Registration Statement on Form S-1 (File</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2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404">
              <w:r>
                <w:rPr>
                  <w:rFonts w:ascii="Arial" w:cs="Arial" w:eastAsia="Arial" w:hAnsi="Arial"/>
                  <w:sz w:val="18"/>
                  <w:szCs w:val="18"/>
                  <w:color w:val="0000FF"/>
                </w:rPr>
                <w:t>No. 333-239412) filed on June 24,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660" w:type="dxa"/>
            <w:vAlign w:val="bottom"/>
            <w:tcBorders>
              <w:right w:val="single" w:sz="8" w:color="0000EE"/>
            </w:tcBorders>
            <w:gridSpan w:val="3"/>
            <w:shd w:val="clear" w:color="auto" w:fill="0000FF"/>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20" w:type="dxa"/>
            <w:vAlign w:val="bottom"/>
          </w:tcPr>
          <w:p>
            <w:pPr>
              <w:ind w:left="20"/>
              <w:spacing w:after="0"/>
              <w:rPr>
                <w:sz w:val="20"/>
                <w:szCs w:val="20"/>
                <w:color w:val="auto"/>
              </w:rPr>
            </w:pPr>
            <w:r>
              <w:rPr>
                <w:rFonts w:ascii="Arial" w:cs="Arial" w:eastAsia="Arial" w:hAnsi="Arial"/>
                <w:sz w:val="18"/>
                <w:szCs w:val="18"/>
                <w:color w:val="231F20"/>
              </w:rPr>
              <w:t>10.5#</w:t>
            </w:r>
          </w:p>
        </w:tc>
        <w:tc>
          <w:tcPr>
            <w:tcW w:w="120" w:type="dxa"/>
            <w:vAlign w:val="bottom"/>
          </w:tcPr>
          <w:p>
            <w:pPr>
              <w:spacing w:after="0"/>
              <w:rPr>
                <w:sz w:val="24"/>
                <w:szCs w:val="24"/>
                <w:color w:val="auto"/>
              </w:rPr>
            </w:pPr>
          </w:p>
        </w:tc>
        <w:tc>
          <w:tcPr>
            <w:tcW w:w="10040" w:type="dxa"/>
            <w:vAlign w:val="bottom"/>
            <w:gridSpan w:val="39"/>
          </w:tcPr>
          <w:p>
            <w:pPr>
              <w:spacing w:after="0"/>
              <w:rPr>
                <w:rFonts w:ascii="Arial" w:cs="Arial" w:eastAsia="Arial" w:hAnsi="Arial"/>
                <w:sz w:val="18"/>
                <w:szCs w:val="18"/>
                <w:color w:val="0000FF"/>
                <w:w w:val="92"/>
              </w:rPr>
            </w:pPr>
            <w:hyperlink r:id="rId405">
              <w:r>
                <w:rPr>
                  <w:rFonts w:ascii="Arial" w:cs="Arial" w:eastAsia="Arial" w:hAnsi="Arial"/>
                  <w:sz w:val="18"/>
                  <w:szCs w:val="18"/>
                  <w:color w:val="0000FF"/>
                  <w:w w:val="92"/>
                </w:rPr>
                <w:t>Amended and Restated Non-Employee Director Compensation Policy, effective as of April 1, 2021 (incorporated by reference to Exhibit</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405">
              <w:r>
                <w:rPr>
                  <w:rFonts w:ascii="Arial" w:cs="Arial" w:eastAsia="Arial" w:hAnsi="Arial"/>
                  <w:sz w:val="18"/>
                  <w:szCs w:val="18"/>
                  <w:color w:val="0000FF"/>
                </w:rPr>
                <w:t>10.</w:t>
              </w:r>
              <w:r>
                <w:rPr>
                  <w:rFonts w:ascii="Arial" w:cs="Arial" w:eastAsia="Arial" w:hAnsi="Arial"/>
                  <w:sz w:val="18"/>
                  <w:szCs w:val="18"/>
                  <w:u w:val="single" w:color="auto"/>
                  <w:color w:val="0000FF"/>
                </w:rPr>
                <w:t>5</w:t>
              </w:r>
              <w:r>
                <w:rPr>
                  <w:rFonts w:ascii="Arial" w:cs="Arial" w:eastAsia="Arial" w:hAnsi="Arial"/>
                  <w:sz w:val="18"/>
                  <w:szCs w:val="18"/>
                  <w:color w:val="0000FF"/>
                </w:rPr>
                <w:t xml:space="preserve"> to the Registrant’s Registration Statement on Form S-1 (File No. 333-255583) filed on April 28, 2021).</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382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20" w:type="dxa"/>
            <w:vAlign w:val="bottom"/>
          </w:tcPr>
          <w:p>
            <w:pPr>
              <w:ind w:left="20"/>
              <w:spacing w:after="0"/>
              <w:rPr>
                <w:sz w:val="20"/>
                <w:szCs w:val="20"/>
                <w:color w:val="auto"/>
              </w:rPr>
            </w:pPr>
            <w:r>
              <w:rPr>
                <w:rFonts w:ascii="Arial" w:cs="Arial" w:eastAsia="Arial" w:hAnsi="Arial"/>
                <w:sz w:val="18"/>
                <w:szCs w:val="18"/>
                <w:color w:val="231F20"/>
              </w:rPr>
              <w:t>10.6#</w:t>
            </w:r>
          </w:p>
        </w:tc>
        <w:tc>
          <w:tcPr>
            <w:tcW w:w="120" w:type="dxa"/>
            <w:vAlign w:val="bottom"/>
          </w:tcPr>
          <w:p>
            <w:pPr>
              <w:spacing w:after="0"/>
              <w:rPr>
                <w:sz w:val="24"/>
                <w:szCs w:val="24"/>
                <w:color w:val="auto"/>
              </w:rPr>
            </w:pPr>
          </w:p>
        </w:tc>
        <w:tc>
          <w:tcPr>
            <w:tcW w:w="10040" w:type="dxa"/>
            <w:vAlign w:val="bottom"/>
            <w:gridSpan w:val="39"/>
          </w:tcPr>
          <w:p>
            <w:pPr>
              <w:spacing w:after="0"/>
              <w:rPr>
                <w:rFonts w:ascii="Arial" w:cs="Arial" w:eastAsia="Arial" w:hAnsi="Arial"/>
                <w:sz w:val="18"/>
                <w:szCs w:val="18"/>
                <w:color w:val="0000FF"/>
                <w:w w:val="92"/>
              </w:rPr>
            </w:pPr>
            <w:hyperlink r:id="rId406">
              <w:r>
                <w:rPr>
                  <w:rFonts w:ascii="Arial" w:cs="Arial" w:eastAsia="Arial" w:hAnsi="Arial"/>
                  <w:sz w:val="18"/>
                  <w:szCs w:val="18"/>
                  <w:color w:val="0000FF"/>
                  <w:w w:val="92"/>
                </w:rPr>
                <w:t>Form of Indemnification Agreement between the Registrant and each of its directors and executive officers (incorporated by reference to</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32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1"/>
              </w:rPr>
            </w:pPr>
            <w:hyperlink r:id="rId406">
              <w:r>
                <w:rPr>
                  <w:rFonts w:ascii="Arial" w:cs="Arial" w:eastAsia="Arial" w:hAnsi="Arial"/>
                  <w:sz w:val="18"/>
                  <w:szCs w:val="18"/>
                  <w:color w:val="0000FF"/>
                  <w:w w:val="91"/>
                </w:rPr>
                <w:t>Exhibit 10.6 of the Registrant’s Registration Statement on Form S-1 (File No. 333-239412) filed on June 24, 2020).</w:t>
              </w:r>
            </w:hyperlink>
          </w:p>
        </w:tc>
        <w:tc>
          <w:tcPr>
            <w:tcW w:w="20" w:type="dxa"/>
            <w:vAlign w:val="bottom"/>
            <w:tcBorders>
              <w:top w:val="single" w:sz="8" w:color="0000FF"/>
              <w:bottom w:val="single" w:sz="8" w:color="0000EE"/>
            </w:tcBorders>
          </w:tcPr>
          <w:p>
            <w:pPr>
              <w:spacing w:after="0"/>
              <w:rPr>
                <w:sz w:val="13"/>
                <w:szCs w:val="13"/>
                <w:color w:val="auto"/>
              </w:rPr>
            </w:pPr>
          </w:p>
        </w:tc>
        <w:tc>
          <w:tcPr>
            <w:tcW w:w="156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20" w:type="dxa"/>
            <w:vAlign w:val="bottom"/>
          </w:tcPr>
          <w:p>
            <w:pPr>
              <w:ind w:left="20"/>
              <w:spacing w:after="0"/>
              <w:rPr>
                <w:sz w:val="20"/>
                <w:szCs w:val="20"/>
                <w:color w:val="auto"/>
              </w:rPr>
            </w:pPr>
            <w:r>
              <w:rPr>
                <w:rFonts w:ascii="Arial" w:cs="Arial" w:eastAsia="Arial" w:hAnsi="Arial"/>
                <w:sz w:val="18"/>
                <w:szCs w:val="18"/>
                <w:color w:val="231F20"/>
              </w:rPr>
              <w:t>10.7#</w:t>
            </w:r>
          </w:p>
        </w:tc>
        <w:tc>
          <w:tcPr>
            <w:tcW w:w="120" w:type="dxa"/>
            <w:vAlign w:val="bottom"/>
          </w:tcPr>
          <w:p>
            <w:pPr>
              <w:spacing w:after="0"/>
              <w:rPr>
                <w:sz w:val="24"/>
                <w:szCs w:val="24"/>
                <w:color w:val="auto"/>
              </w:rPr>
            </w:pPr>
          </w:p>
        </w:tc>
        <w:tc>
          <w:tcPr>
            <w:tcW w:w="10040" w:type="dxa"/>
            <w:vAlign w:val="bottom"/>
            <w:gridSpan w:val="39"/>
          </w:tcPr>
          <w:p>
            <w:pPr>
              <w:spacing w:after="0"/>
              <w:rPr>
                <w:rFonts w:ascii="Arial" w:cs="Arial" w:eastAsia="Arial" w:hAnsi="Arial"/>
                <w:sz w:val="18"/>
                <w:szCs w:val="18"/>
                <w:color w:val="0000FF"/>
                <w:w w:val="96"/>
              </w:rPr>
            </w:pPr>
            <w:hyperlink r:id="rId407">
              <w:r>
                <w:rPr>
                  <w:rFonts w:ascii="Arial" w:cs="Arial" w:eastAsia="Arial" w:hAnsi="Arial"/>
                  <w:sz w:val="18"/>
                  <w:szCs w:val="18"/>
                  <w:color w:val="0000FF"/>
                  <w:w w:val="96"/>
                </w:rPr>
                <w:t>Form of Amended and Restated Employment Agreement (incorporated by reference to Exhibit 10.8 of the Registrant’s Registration</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407">
              <w:r>
                <w:rPr>
                  <w:rFonts w:ascii="Arial" w:cs="Arial" w:eastAsia="Arial" w:hAnsi="Arial"/>
                  <w:sz w:val="18"/>
                  <w:szCs w:val="18"/>
                  <w:color w:val="0000FF"/>
                  <w:w w:val="91"/>
                </w:rPr>
                <w:t>Statement on Form S-1/A (File No. 333-239412) filed on July 9, 2020).</w:t>
              </w:r>
            </w:hyperlink>
          </w:p>
        </w:tc>
        <w:tc>
          <w:tcPr>
            <w:tcW w:w="20" w:type="dxa"/>
            <w:vAlign w:val="bottom"/>
            <w:tcBorders>
              <w:top w:val="single" w:sz="8" w:color="0000FF"/>
              <w:bottom w:val="single" w:sz="8" w:color="0000EE"/>
            </w:tcBorders>
          </w:tcPr>
          <w:p>
            <w:pPr>
              <w:spacing w:after="0"/>
              <w:rPr>
                <w:sz w:val="13"/>
                <w:szCs w:val="13"/>
                <w:color w:val="auto"/>
              </w:rPr>
            </w:pPr>
          </w:p>
        </w:tc>
        <w:tc>
          <w:tcPr>
            <w:tcW w:w="4340" w:type="dxa"/>
            <w:vAlign w:val="bottom"/>
            <w:tcBorders>
              <w:top w:val="single" w:sz="8" w:color="0000FF"/>
            </w:tcBorders>
            <w:gridSpan w:val="11"/>
          </w:tcPr>
          <w:p>
            <w:pPr>
              <w:spacing w:after="0"/>
              <w:rPr>
                <w:sz w:val="13"/>
                <w:szCs w:val="13"/>
                <w:color w:val="auto"/>
              </w:rPr>
            </w:pPr>
          </w:p>
        </w:tc>
        <w:tc>
          <w:tcPr>
            <w:tcW w:w="22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2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0040" w:type="dxa"/>
            <w:vAlign w:val="bottom"/>
            <w:gridSpan w:val="39"/>
          </w:tcPr>
          <w:p>
            <w:pPr>
              <w:spacing w:after="0"/>
              <w:rPr>
                <w:rFonts w:ascii="Arial" w:cs="Arial" w:eastAsia="Arial" w:hAnsi="Arial"/>
                <w:sz w:val="18"/>
                <w:szCs w:val="18"/>
                <w:color w:val="0000FF"/>
                <w:w w:val="91"/>
              </w:rPr>
            </w:pPr>
            <w:hyperlink r:id="rId408">
              <w:r>
                <w:rPr>
                  <w:rFonts w:ascii="Arial" w:cs="Arial" w:eastAsia="Arial" w:hAnsi="Arial"/>
                  <w:sz w:val="18"/>
                  <w:szCs w:val="18"/>
                  <w:color w:val="0000FF"/>
                  <w:w w:val="91"/>
                </w:rPr>
                <w:t>Amended and Restated Employment Agreement, by and between the Registrant and Sanjiv K. Patel dated March 25, 2020 (incorporated</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Borders>
              <w:top w:val="single" w:sz="8" w:color="0000FF"/>
            </w:tcBorders>
            <w:gridSpan w:val="30"/>
          </w:tcPr>
          <w:p>
            <w:pPr>
              <w:spacing w:after="0" w:line="156" w:lineRule="exact"/>
              <w:rPr>
                <w:rFonts w:ascii="Arial" w:cs="Arial" w:eastAsia="Arial" w:hAnsi="Arial"/>
                <w:sz w:val="18"/>
                <w:szCs w:val="18"/>
                <w:color w:val="0000FF"/>
                <w:w w:val="95"/>
              </w:rPr>
            </w:pPr>
            <w:hyperlink r:id="rId408">
              <w:r>
                <w:rPr>
                  <w:rFonts w:ascii="Arial" w:cs="Arial" w:eastAsia="Arial" w:hAnsi="Arial"/>
                  <w:sz w:val="18"/>
                  <w:szCs w:val="18"/>
                  <w:color w:val="0000FF"/>
                  <w:w w:val="95"/>
                </w:rPr>
                <w:t>by reference to Exhibit 10.9 of the Registrant’s Registration Statement on Form S-1 (File No. 333-239412) filed on June 24, 2020).</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720" w:type="dxa"/>
            <w:vAlign w:val="bottom"/>
            <w:tcBorders>
              <w:right w:val="single" w:sz="8" w:color="0000FF"/>
            </w:tcBorders>
            <w:gridSpan w:val="15"/>
            <w:shd w:val="clear" w:color="auto" w:fill="0000FF"/>
          </w:tcPr>
          <w:p>
            <w:pPr>
              <w:spacing w:after="0" w:line="20" w:lineRule="exact"/>
              <w:rPr>
                <w:sz w:val="1"/>
                <w:szCs w:val="1"/>
                <w:color w:val="auto"/>
              </w:rPr>
            </w:pPr>
          </w:p>
        </w:tc>
        <w:tc>
          <w:tcPr>
            <w:tcW w:w="3380" w:type="dxa"/>
            <w:vAlign w:val="bottom"/>
            <w:gridSpan w:val="7"/>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040" w:type="dxa"/>
            <w:vAlign w:val="bottom"/>
            <w:gridSpan w:val="39"/>
          </w:tcPr>
          <w:p>
            <w:pPr>
              <w:spacing w:after="0"/>
              <w:rPr>
                <w:rFonts w:ascii="Arial" w:cs="Arial" w:eastAsia="Arial" w:hAnsi="Arial"/>
                <w:sz w:val="18"/>
                <w:szCs w:val="18"/>
                <w:color w:val="0000FF"/>
                <w:w w:val="93"/>
              </w:rPr>
            </w:pPr>
            <w:hyperlink r:id="rId409">
              <w:r>
                <w:rPr>
                  <w:rFonts w:ascii="Arial" w:cs="Arial" w:eastAsia="Arial" w:hAnsi="Arial"/>
                  <w:sz w:val="18"/>
                  <w:szCs w:val="18"/>
                  <w:color w:val="0000FF"/>
                  <w:w w:val="93"/>
                </w:rPr>
                <w:t>Retention Agreement by and between the Registrant and Donald Bergstrom, dated May 10, 2021 (incorporated by reference to Exhibit</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409">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of the Registrant’s Form 10-Q (File No. 001-39385) filed on August 12, 2021).</w:t>
              </w:r>
            </w:hyperlink>
          </w:p>
        </w:tc>
        <w:tc>
          <w:tcPr>
            <w:tcW w:w="14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720" w:type="dxa"/>
            <w:vAlign w:val="bottom"/>
            <w:tcBorders>
              <w:right w:val="single" w:sz="8" w:color="0000EE"/>
            </w:tcBorders>
            <w:gridSpan w:val="15"/>
            <w:shd w:val="clear" w:color="auto" w:fill="0000FF"/>
          </w:tcPr>
          <w:p>
            <w:pPr>
              <w:spacing w:after="0" w:line="20" w:lineRule="exact"/>
              <w:rPr>
                <w:sz w:val="1"/>
                <w:szCs w:val="1"/>
                <w:color w:val="auto"/>
              </w:rPr>
            </w:pPr>
          </w:p>
        </w:tc>
        <w:tc>
          <w:tcPr>
            <w:tcW w:w="382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10040" w:type="dxa"/>
            <w:vAlign w:val="bottom"/>
            <w:gridSpan w:val="39"/>
          </w:tcPr>
          <w:p>
            <w:pPr>
              <w:spacing w:after="0"/>
              <w:rPr>
                <w:rFonts w:ascii="Arial" w:cs="Arial" w:eastAsia="Arial" w:hAnsi="Arial"/>
                <w:sz w:val="18"/>
                <w:szCs w:val="18"/>
                <w:color w:val="0000FF"/>
                <w:w w:val="90"/>
              </w:rPr>
            </w:pPr>
            <w:hyperlink r:id="rId410">
              <w:r>
                <w:rPr>
                  <w:rFonts w:ascii="Arial" w:cs="Arial" w:eastAsia="Arial" w:hAnsi="Arial"/>
                  <w:sz w:val="18"/>
                  <w:szCs w:val="18"/>
                  <w:color w:val="0000FF"/>
                  <w:w w:val="90"/>
                </w:rPr>
                <w:t>Amended and Restated Collaboration and License Agreement, by and between the Registrant and D. E. Shaw Research, LLC, dated June</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40" w:type="dxa"/>
            <w:vAlign w:val="bottom"/>
            <w:tcBorders>
              <w:top w:val="single" w:sz="8" w:color="0000FF"/>
            </w:tcBorders>
            <w:gridSpan w:val="34"/>
          </w:tcPr>
          <w:p>
            <w:pPr>
              <w:spacing w:after="0" w:line="156" w:lineRule="exact"/>
              <w:rPr>
                <w:rFonts w:ascii="Arial" w:cs="Arial" w:eastAsia="Arial" w:hAnsi="Arial"/>
                <w:sz w:val="18"/>
                <w:szCs w:val="18"/>
                <w:color w:val="0000FF"/>
                <w:w w:val="92"/>
              </w:rPr>
            </w:pPr>
            <w:hyperlink r:id="rId410">
              <w:r>
                <w:rPr>
                  <w:rFonts w:ascii="Arial" w:cs="Arial" w:eastAsia="Arial" w:hAnsi="Arial"/>
                  <w:sz w:val="18"/>
                  <w:szCs w:val="18"/>
                  <w:color w:val="0000FF"/>
                  <w:w w:val="92"/>
                </w:rPr>
                <w:t>15, 2020 (incorporated by reference to Exhibit 10.10 of the Registrant’s Registration Statement on Form S-1 (File No. 333-239412) filed</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7"/>
              </w:rPr>
            </w:pPr>
            <w:hyperlink r:id="rId410">
              <w:r>
                <w:rPr>
                  <w:rFonts w:ascii="Arial" w:cs="Arial" w:eastAsia="Arial" w:hAnsi="Arial"/>
                  <w:sz w:val="18"/>
                  <w:szCs w:val="18"/>
                  <w:color w:val="0000FF"/>
                  <w:w w:val="87"/>
                </w:rPr>
                <w:t>on June 24, 2020).</w:t>
              </w:r>
            </w:hyperlink>
          </w:p>
        </w:tc>
        <w:tc>
          <w:tcPr>
            <w:tcW w:w="8540" w:type="dxa"/>
            <w:vAlign w:val="bottom"/>
            <w:tcBorders>
              <w:top w:val="single" w:sz="8" w:color="0000FF"/>
            </w:tcBorders>
            <w:gridSpan w:val="28"/>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763"/>
        </w:trPr>
        <w:tc>
          <w:tcPr>
            <w:tcW w:w="1120" w:type="dxa"/>
            <w:vAlign w:val="bottom"/>
          </w:tcPr>
          <w:p>
            <w:pPr>
              <w:spacing w:after="0"/>
              <w:rPr>
                <w:sz w:val="24"/>
                <w:szCs w:val="24"/>
                <w:color w:val="auto"/>
              </w:rPr>
            </w:pPr>
          </w:p>
        </w:tc>
        <w:tc>
          <w:tcPr>
            <w:tcW w:w="5040" w:type="dxa"/>
            <w:vAlign w:val="bottom"/>
            <w:gridSpan w:val="11"/>
          </w:tcPr>
          <w:p>
            <w:pPr>
              <w:jc w:val="right"/>
              <w:ind w:right="328"/>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66" w:name="page167"/>
    <w:bookmarkEnd w:id="166"/>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10.11†</w:t>
            </w:r>
          </w:p>
        </w:tc>
        <w:tc>
          <w:tcPr>
            <w:tcW w:w="9900" w:type="dxa"/>
            <w:vAlign w:val="bottom"/>
            <w:gridSpan w:val="23"/>
          </w:tcPr>
          <w:p>
            <w:pPr>
              <w:spacing w:after="0"/>
              <w:rPr>
                <w:rFonts w:ascii="Arial" w:cs="Arial" w:eastAsia="Arial" w:hAnsi="Arial"/>
                <w:sz w:val="18"/>
                <w:szCs w:val="18"/>
                <w:color w:val="0000FF"/>
                <w:w w:val="94"/>
              </w:rPr>
            </w:pPr>
            <w:hyperlink r:id="rId413">
              <w:r>
                <w:rPr>
                  <w:rFonts w:ascii="Arial" w:cs="Arial" w:eastAsia="Arial" w:hAnsi="Arial"/>
                  <w:sz w:val="18"/>
                  <w:szCs w:val="18"/>
                  <w:color w:val="0000FF"/>
                  <w:w w:val="94"/>
                </w:rPr>
                <w:t>Amendment No. 1 to Amended and Restated Collaboration and License Agreement, by and between the Registrant and D. E. Shaw</w:t>
              </w:r>
            </w:hyperlink>
          </w:p>
        </w:tc>
      </w:tr>
      <w:tr>
        <w:trPr>
          <w:trHeight w:val="20"/>
        </w:trPr>
        <w:tc>
          <w:tcPr>
            <w:tcW w:w="1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240" w:type="dxa"/>
            <w:vAlign w:val="bottom"/>
          </w:tcPr>
          <w:p>
            <w:pPr>
              <w:spacing w:after="0"/>
              <w:rPr>
                <w:sz w:val="13"/>
                <w:szCs w:val="13"/>
                <w:color w:val="auto"/>
              </w:rPr>
            </w:pPr>
          </w:p>
        </w:tc>
        <w:tc>
          <w:tcPr>
            <w:tcW w:w="9900" w:type="dxa"/>
            <w:vAlign w:val="bottom"/>
            <w:tcBorders>
              <w:bottom w:val="single" w:sz="8" w:color="0000FF"/>
            </w:tcBorders>
            <w:gridSpan w:val="23"/>
          </w:tcPr>
          <w:p>
            <w:pPr>
              <w:spacing w:after="0" w:line="156" w:lineRule="exact"/>
              <w:rPr>
                <w:rFonts w:ascii="Arial" w:cs="Arial" w:eastAsia="Arial" w:hAnsi="Arial"/>
                <w:sz w:val="18"/>
                <w:szCs w:val="18"/>
                <w:color w:val="0000FF"/>
                <w:w w:val="90"/>
              </w:rPr>
            </w:pPr>
            <w:hyperlink r:id="rId413">
              <w:r>
                <w:rPr>
                  <w:rFonts w:ascii="Arial" w:cs="Arial" w:eastAsia="Arial" w:hAnsi="Arial"/>
                  <w:sz w:val="18"/>
                  <w:szCs w:val="18"/>
                  <w:color w:val="0000FF"/>
                  <w:w w:val="90"/>
                </w:rPr>
                <w:t>Research, LLC, dated February 4, 2021 (incorporated by reference to Exhibit 10.10 to the Registrant’s Registration Statement on Form S-</w:t>
              </w:r>
            </w:hyperlink>
          </w:p>
        </w:tc>
      </w:tr>
      <w:tr>
        <w:trPr>
          <w:trHeight w:val="156"/>
        </w:trPr>
        <w:tc>
          <w:tcPr>
            <w:tcW w:w="1240" w:type="dxa"/>
            <w:vAlign w:val="bottom"/>
          </w:tcPr>
          <w:p>
            <w:pPr>
              <w:spacing w:after="0"/>
              <w:rPr>
                <w:sz w:val="13"/>
                <w:szCs w:val="13"/>
                <w:color w:val="auto"/>
              </w:rPr>
            </w:pPr>
          </w:p>
        </w:tc>
        <w:tc>
          <w:tcPr>
            <w:tcW w:w="9900" w:type="dxa"/>
            <w:vAlign w:val="bottom"/>
            <w:gridSpan w:val="23"/>
          </w:tcPr>
          <w:p>
            <w:pPr>
              <w:spacing w:after="0" w:line="156" w:lineRule="exact"/>
              <w:rPr>
                <w:rFonts w:ascii="Arial" w:cs="Arial" w:eastAsia="Arial" w:hAnsi="Arial"/>
                <w:sz w:val="18"/>
                <w:szCs w:val="18"/>
                <w:color w:val="0000FF"/>
              </w:rPr>
            </w:pPr>
            <w:hyperlink r:id="rId413">
              <w:r>
                <w:rPr>
                  <w:rFonts w:ascii="Arial" w:cs="Arial" w:eastAsia="Arial" w:hAnsi="Arial"/>
                  <w:sz w:val="18"/>
                  <w:szCs w:val="18"/>
                  <w:color w:val="0000FF"/>
                </w:rPr>
                <w:t>1 (File No. 333-255583) filed with the SEC on April 28, 2021).</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10.12</w:t>
            </w:r>
          </w:p>
        </w:tc>
        <w:tc>
          <w:tcPr>
            <w:tcW w:w="9900" w:type="dxa"/>
            <w:vAlign w:val="bottom"/>
            <w:gridSpan w:val="23"/>
          </w:tcPr>
          <w:p>
            <w:pPr>
              <w:spacing w:after="0"/>
              <w:rPr>
                <w:rFonts w:ascii="Arial" w:cs="Arial" w:eastAsia="Arial" w:hAnsi="Arial"/>
                <w:sz w:val="18"/>
                <w:szCs w:val="18"/>
                <w:color w:val="0000FF"/>
                <w:w w:val="94"/>
              </w:rPr>
            </w:pPr>
            <w:hyperlink r:id="rId414">
              <w:r>
                <w:rPr>
                  <w:rFonts w:ascii="Arial" w:cs="Arial" w:eastAsia="Arial" w:hAnsi="Arial"/>
                  <w:sz w:val="18"/>
                  <w:szCs w:val="18"/>
                  <w:color w:val="0000FF"/>
                  <w:w w:val="94"/>
                </w:rPr>
                <w:t>Amendment No. 2 to Amended and Restated Collaboration and License Agreement, by and between the Registrant and D. E. Shaw</w:t>
              </w:r>
            </w:hyperlink>
          </w:p>
        </w:tc>
      </w:tr>
      <w:tr>
        <w:trPr>
          <w:trHeight w:val="155"/>
        </w:trPr>
        <w:tc>
          <w:tcPr>
            <w:tcW w:w="1240" w:type="dxa"/>
            <w:vAlign w:val="bottom"/>
          </w:tcPr>
          <w:p>
            <w:pPr>
              <w:spacing w:after="0"/>
              <w:rPr>
                <w:sz w:val="13"/>
                <w:szCs w:val="13"/>
                <w:color w:val="auto"/>
              </w:rPr>
            </w:pPr>
          </w:p>
        </w:tc>
        <w:tc>
          <w:tcPr>
            <w:tcW w:w="950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r:id="rId414">
              <w:r>
                <w:rPr>
                  <w:rFonts w:ascii="Arial" w:cs="Arial" w:eastAsia="Arial" w:hAnsi="Arial"/>
                  <w:sz w:val="18"/>
                  <w:szCs w:val="18"/>
                  <w:color w:val="0000FF"/>
                  <w:w w:val="91"/>
                </w:rPr>
                <w:t>Research, LLC, dated May 12, 2021 (incorporated by reference to Exhibit 10.4 to the Registrant’s Form 10-Q (File No. 001-39385)</w:t>
              </w:r>
            </w:hyperlink>
          </w:p>
        </w:tc>
        <w:tc>
          <w:tcPr>
            <w:tcW w:w="400" w:type="dxa"/>
            <w:vAlign w:val="bottom"/>
            <w:gridSpan w:val="9"/>
          </w:tcPr>
          <w:p>
            <w:pPr>
              <w:spacing w:after="0" w:line="156" w:lineRule="exact"/>
              <w:rPr>
                <w:rFonts w:ascii="Arial" w:cs="Arial" w:eastAsia="Arial" w:hAnsi="Arial"/>
                <w:sz w:val="18"/>
                <w:szCs w:val="18"/>
                <w:color w:val="0000FF"/>
              </w:rPr>
            </w:pPr>
            <w:hyperlink r:id="rId414">
              <w:r>
                <w:rPr>
                  <w:rFonts w:ascii="Arial" w:cs="Arial" w:eastAsia="Arial" w:hAnsi="Arial"/>
                  <w:sz w:val="18"/>
                  <w:szCs w:val="18"/>
                  <w:color w:val="0000FF"/>
                </w:rPr>
                <w:t>filed</w:t>
              </w:r>
            </w:hyperlink>
          </w:p>
        </w:tc>
      </w:tr>
      <w:tr>
        <w:trPr>
          <w:trHeight w:val="156"/>
        </w:trPr>
        <w:tc>
          <w:tcPr>
            <w:tcW w:w="124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414">
              <w:r>
                <w:rPr>
                  <w:rFonts w:ascii="Arial" w:cs="Arial" w:eastAsia="Arial" w:hAnsi="Arial"/>
                  <w:sz w:val="18"/>
                  <w:szCs w:val="18"/>
                  <w:color w:val="0000FF"/>
                  <w:w w:val="89"/>
                </w:rPr>
                <w:t>on May 13, 2021).</w:t>
              </w:r>
            </w:hyperlink>
          </w:p>
        </w:tc>
        <w:tc>
          <w:tcPr>
            <w:tcW w:w="85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18"/>
                <w:szCs w:val="18"/>
                <w:color w:val="auto"/>
              </w:rPr>
              <w:t>10.13†</w:t>
            </w:r>
          </w:p>
        </w:tc>
        <w:tc>
          <w:tcPr>
            <w:tcW w:w="9900" w:type="dxa"/>
            <w:vAlign w:val="bottom"/>
            <w:gridSpan w:val="23"/>
          </w:tcPr>
          <w:p>
            <w:pPr>
              <w:spacing w:after="0"/>
              <w:rPr>
                <w:rFonts w:ascii="Arial" w:cs="Arial" w:eastAsia="Arial" w:hAnsi="Arial"/>
                <w:sz w:val="18"/>
                <w:szCs w:val="18"/>
                <w:color w:val="0000FF"/>
                <w:w w:val="92"/>
              </w:rPr>
            </w:pPr>
            <w:hyperlink r:id="rId415">
              <w:r>
                <w:rPr>
                  <w:rFonts w:ascii="Arial" w:cs="Arial" w:eastAsia="Arial" w:hAnsi="Arial"/>
                  <w:sz w:val="18"/>
                  <w:szCs w:val="18"/>
                  <w:color w:val="0000FF"/>
                  <w:w w:val="92"/>
                </w:rPr>
                <w:t>Collaboration and License Agreement, by and between the Registrant and Genentech, Inc. and F. Hoffmann-La Roche Ltd, dated as of</w:t>
              </w:r>
            </w:hyperlink>
          </w:p>
        </w:tc>
      </w:tr>
      <w:tr>
        <w:trPr>
          <w:trHeight w:val="156"/>
        </w:trPr>
        <w:tc>
          <w:tcPr>
            <w:tcW w:w="124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415">
              <w:r>
                <w:rPr>
                  <w:rFonts w:ascii="Arial" w:cs="Arial" w:eastAsia="Arial" w:hAnsi="Arial"/>
                  <w:sz w:val="18"/>
                  <w:szCs w:val="18"/>
                  <w:color w:val="0000FF"/>
                  <w:w w:val="91"/>
                </w:rPr>
                <w:t>December 11, 2020 (incorporated by reference to Exhibit 10.10 to the Registrant’s Form 10-K (File No. 001-39385) filed on March 25,</w:t>
              </w:r>
            </w:hyperlink>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720" w:type="dxa"/>
            <w:vAlign w:val="bottom"/>
            <w:gridSpan w:val="2"/>
          </w:tcPr>
          <w:p>
            <w:pPr>
              <w:spacing w:after="0" w:line="156" w:lineRule="exact"/>
              <w:rPr>
                <w:rFonts w:ascii="Arial" w:cs="Arial" w:eastAsia="Arial" w:hAnsi="Arial"/>
                <w:sz w:val="18"/>
                <w:szCs w:val="18"/>
                <w:color w:val="0000FF"/>
              </w:rPr>
            </w:pPr>
            <w:hyperlink r:id="rId415">
              <w:r>
                <w:rPr>
                  <w:rFonts w:ascii="Arial" w:cs="Arial" w:eastAsia="Arial" w:hAnsi="Arial"/>
                  <w:sz w:val="18"/>
                  <w:szCs w:val="18"/>
                  <w:color w:val="0000FF"/>
                </w:rPr>
                <w:t>2021)</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10.14</w:t>
            </w:r>
          </w:p>
        </w:tc>
        <w:tc>
          <w:tcPr>
            <w:tcW w:w="9900" w:type="dxa"/>
            <w:vAlign w:val="bottom"/>
            <w:gridSpan w:val="23"/>
          </w:tcPr>
          <w:p>
            <w:pPr>
              <w:spacing w:after="0"/>
              <w:rPr>
                <w:rFonts w:ascii="Arial" w:cs="Arial" w:eastAsia="Arial" w:hAnsi="Arial"/>
                <w:sz w:val="18"/>
                <w:szCs w:val="18"/>
                <w:color w:val="0000FF"/>
                <w:w w:val="93"/>
              </w:rPr>
            </w:pPr>
            <w:hyperlink r:id="rId416">
              <w:r>
                <w:rPr>
                  <w:rFonts w:ascii="Arial" w:cs="Arial" w:eastAsia="Arial" w:hAnsi="Arial"/>
                  <w:sz w:val="18"/>
                  <w:szCs w:val="18"/>
                  <w:color w:val="0000FF"/>
                  <w:w w:val="93"/>
                </w:rPr>
                <w:t>Registration Rights Agreement by and between the Registrant and the stockholders of ZebiAI Therapeutics, Inc. dated April 22, 2021</w:t>
              </w:r>
            </w:hyperlink>
          </w:p>
        </w:tc>
      </w:tr>
      <w:tr>
        <w:trPr>
          <w:trHeight w:val="20"/>
        </w:trPr>
        <w:tc>
          <w:tcPr>
            <w:tcW w:w="12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1240" w:type="dxa"/>
            <w:vAlign w:val="bottom"/>
          </w:tcPr>
          <w:p>
            <w:pPr>
              <w:spacing w:after="0"/>
              <w:rPr>
                <w:sz w:val="13"/>
                <w:szCs w:val="13"/>
                <w:color w:val="auto"/>
              </w:rPr>
            </w:pPr>
          </w:p>
        </w:tc>
        <w:tc>
          <w:tcPr>
            <w:tcW w:w="9900" w:type="dxa"/>
            <w:vAlign w:val="bottom"/>
            <w:gridSpan w:val="23"/>
          </w:tcPr>
          <w:p>
            <w:pPr>
              <w:spacing w:after="0" w:line="156" w:lineRule="exact"/>
              <w:rPr>
                <w:rFonts w:ascii="Arial" w:cs="Arial" w:eastAsia="Arial" w:hAnsi="Arial"/>
                <w:sz w:val="18"/>
                <w:szCs w:val="18"/>
                <w:color w:val="0000FF"/>
                <w:w w:val="92"/>
              </w:rPr>
            </w:pPr>
            <w:hyperlink r:id="rId416">
              <w:r>
                <w:rPr>
                  <w:rFonts w:ascii="Arial" w:cs="Arial" w:eastAsia="Arial" w:hAnsi="Arial"/>
                  <w:sz w:val="18"/>
                  <w:szCs w:val="18"/>
                  <w:color w:val="0000FF"/>
                  <w:w w:val="92"/>
                </w:rPr>
                <w:t>(incorporated by reference to Exhibit 10.14 to the Registrant’s Registration Statement on Form S-1 (File No. 333-255583) filed on April</w:t>
              </w:r>
            </w:hyperlink>
          </w:p>
        </w:tc>
      </w:tr>
      <w:tr>
        <w:trPr>
          <w:trHeight w:val="155"/>
        </w:trPr>
        <w:tc>
          <w:tcPr>
            <w:tcW w:w="124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416">
              <w:r>
                <w:rPr>
                  <w:rFonts w:ascii="Arial" w:cs="Arial" w:eastAsia="Arial" w:hAnsi="Arial"/>
                  <w:sz w:val="18"/>
                  <w:szCs w:val="18"/>
                  <w:color w:val="0000FF"/>
                  <w:w w:val="86"/>
                </w:rPr>
                <w:t>28,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8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10.15</w:t>
            </w:r>
          </w:p>
        </w:tc>
        <w:tc>
          <w:tcPr>
            <w:tcW w:w="9900" w:type="dxa"/>
            <w:vAlign w:val="bottom"/>
            <w:gridSpan w:val="23"/>
          </w:tcPr>
          <w:p>
            <w:pPr>
              <w:spacing w:after="0"/>
              <w:rPr>
                <w:rFonts w:ascii="Arial" w:cs="Arial" w:eastAsia="Arial" w:hAnsi="Arial"/>
                <w:sz w:val="18"/>
                <w:szCs w:val="18"/>
                <w:color w:val="0000FF"/>
                <w:w w:val="91"/>
              </w:rPr>
            </w:pPr>
            <w:hyperlink r:id="rId417">
              <w:r>
                <w:rPr>
                  <w:rFonts w:ascii="Arial" w:cs="Arial" w:eastAsia="Arial" w:hAnsi="Arial"/>
                  <w:sz w:val="18"/>
                  <w:szCs w:val="18"/>
                  <w:color w:val="0000FF"/>
                  <w:w w:val="91"/>
                </w:rPr>
                <w:t>Lease Agreement between the Registrant and ARE-MA REGION NO. 58, LLC, dated as of January 10, 2018 (incorporated by reference</w:t>
              </w:r>
            </w:hyperlink>
          </w:p>
        </w:tc>
      </w:tr>
      <w:tr>
        <w:trPr>
          <w:trHeight w:val="155"/>
        </w:trPr>
        <w:tc>
          <w:tcPr>
            <w:tcW w:w="1240" w:type="dxa"/>
            <w:vAlign w:val="bottom"/>
          </w:tcPr>
          <w:p>
            <w:pPr>
              <w:spacing w:after="0"/>
              <w:rPr>
                <w:sz w:val="13"/>
                <w:szCs w:val="13"/>
                <w:color w:val="auto"/>
              </w:rPr>
            </w:pPr>
          </w:p>
        </w:tc>
        <w:tc>
          <w:tcPr>
            <w:tcW w:w="98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417">
              <w:r>
                <w:rPr>
                  <w:rFonts w:ascii="Arial" w:cs="Arial" w:eastAsia="Arial" w:hAnsi="Arial"/>
                  <w:sz w:val="18"/>
                  <w:szCs w:val="18"/>
                  <w:color w:val="0000FF"/>
                </w:rPr>
                <w:t>to Exhibit 10.7 of the Registrant’s Registration Statement on Form S-1 (File No. 333-239412) filed on June 24, 2020).</w:t>
              </w:r>
            </w:hyperlink>
          </w:p>
        </w:tc>
        <w:tc>
          <w:tcPr>
            <w:tcW w:w="40" w:type="dxa"/>
            <w:vAlign w:val="bottom"/>
            <w:gridSpan w:val="2"/>
          </w:tcPr>
          <w:p>
            <w:pPr>
              <w:spacing w:after="0"/>
              <w:rPr>
                <w:sz w:val="13"/>
                <w:szCs w:val="13"/>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gridSpan w:val="5"/>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10.16</w:t>
            </w:r>
          </w:p>
        </w:tc>
        <w:tc>
          <w:tcPr>
            <w:tcW w:w="9900" w:type="dxa"/>
            <w:vAlign w:val="bottom"/>
            <w:gridSpan w:val="23"/>
          </w:tcPr>
          <w:p>
            <w:pPr>
              <w:spacing w:after="0"/>
              <w:rPr>
                <w:rFonts w:ascii="Arial" w:cs="Arial" w:eastAsia="Arial" w:hAnsi="Arial"/>
                <w:sz w:val="18"/>
                <w:szCs w:val="18"/>
                <w:color w:val="0000FF"/>
                <w:w w:val="99"/>
              </w:rPr>
            </w:pPr>
            <w:hyperlink r:id="rId418">
              <w:r>
                <w:rPr>
                  <w:rFonts w:ascii="Arial" w:cs="Arial" w:eastAsia="Arial" w:hAnsi="Arial"/>
                  <w:sz w:val="18"/>
                  <w:szCs w:val="18"/>
                  <w:color w:val="0000FF"/>
                  <w:w w:val="99"/>
                </w:rPr>
                <w:t>Second Amendment to Lease, dated as of September 23, 2020, between the Registrant and ARE-MA REGION NO. 58, LLC</w:t>
              </w:r>
            </w:hyperlink>
          </w:p>
        </w:tc>
      </w:tr>
      <w:tr>
        <w:trPr>
          <w:trHeight w:val="155"/>
        </w:trPr>
        <w:tc>
          <w:tcPr>
            <w:tcW w:w="1240" w:type="dxa"/>
            <w:vAlign w:val="bottom"/>
          </w:tcPr>
          <w:p>
            <w:pPr>
              <w:spacing w:after="0"/>
              <w:rPr>
                <w:sz w:val="13"/>
                <w:szCs w:val="13"/>
                <w:color w:val="auto"/>
              </w:rPr>
            </w:pPr>
          </w:p>
        </w:tc>
        <w:tc>
          <w:tcPr>
            <w:tcW w:w="902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418">
              <w:r>
                <w:rPr>
                  <w:rFonts w:ascii="Arial" w:cs="Arial" w:eastAsia="Arial" w:hAnsi="Arial"/>
                  <w:sz w:val="18"/>
                  <w:szCs w:val="18"/>
                  <w:color w:val="0000FF"/>
                  <w:w w:val="91"/>
                </w:rPr>
                <w:t>(incorporated by reference to Exhibit 10.7 of the Registrant’s Form 10-Q (File No. 001-39385) filed on November 12, 2020).</w:t>
              </w:r>
            </w:hyperlink>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gridSpan w:val="5"/>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32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10.17</w:t>
            </w:r>
          </w:p>
        </w:tc>
        <w:tc>
          <w:tcPr>
            <w:tcW w:w="9900" w:type="dxa"/>
            <w:vAlign w:val="bottom"/>
            <w:gridSpan w:val="23"/>
          </w:tcPr>
          <w:p>
            <w:pPr>
              <w:spacing w:after="0"/>
              <w:rPr>
                <w:rFonts w:ascii="Arial" w:cs="Arial" w:eastAsia="Arial" w:hAnsi="Arial"/>
                <w:sz w:val="18"/>
                <w:szCs w:val="18"/>
                <w:color w:val="0000FF"/>
                <w:w w:val="92"/>
              </w:rPr>
            </w:pPr>
            <w:hyperlink r:id="rId419">
              <w:r>
                <w:rPr>
                  <w:rFonts w:ascii="Arial" w:cs="Arial" w:eastAsia="Arial" w:hAnsi="Arial"/>
                  <w:sz w:val="18"/>
                  <w:szCs w:val="18"/>
                  <w:color w:val="0000FF"/>
                  <w:w w:val="92"/>
                </w:rPr>
                <w:t>Lease by and between the Registrant and BMR-Hampshire, LLC, dated May 26, 2021 (incorporated by reference to Exhibit 10.5 of the</w:t>
              </w:r>
            </w:hyperlink>
          </w:p>
        </w:tc>
      </w:tr>
      <w:tr>
        <w:trPr>
          <w:trHeight w:val="156"/>
        </w:trPr>
        <w:tc>
          <w:tcPr>
            <w:tcW w:w="1240" w:type="dxa"/>
            <w:vAlign w:val="bottom"/>
          </w:tcPr>
          <w:p>
            <w:pPr>
              <w:spacing w:after="0"/>
              <w:rPr>
                <w:sz w:val="13"/>
                <w:szCs w:val="13"/>
                <w:color w:val="auto"/>
              </w:rPr>
            </w:pPr>
          </w:p>
        </w:tc>
        <w:tc>
          <w:tcPr>
            <w:tcW w:w="97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419">
              <w:r>
                <w:rPr>
                  <w:rFonts w:ascii="Arial" w:cs="Arial" w:eastAsia="Arial" w:hAnsi="Arial"/>
                  <w:sz w:val="18"/>
                  <w:szCs w:val="18"/>
                  <w:color w:val="0000FF"/>
                </w:rPr>
                <w:t>Registrant’s Form 10-Q (File No. 001-39385) filed on August 12, 2021).</w:t>
              </w:r>
            </w:hyperlink>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gridSpan w:val="5"/>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18"/>
                <w:szCs w:val="18"/>
                <w:color w:val="auto"/>
              </w:rPr>
              <w:t>21.1*</w:t>
            </w:r>
          </w:p>
        </w:tc>
        <w:tc>
          <w:tcPr>
            <w:tcW w:w="9900" w:type="dxa"/>
            <w:vAlign w:val="bottom"/>
            <w:gridSpan w:val="23"/>
          </w:tcPr>
          <w:p>
            <w:pPr>
              <w:spacing w:after="0"/>
              <w:rPr>
                <w:rFonts w:ascii="Arial" w:cs="Arial" w:eastAsia="Arial" w:hAnsi="Arial"/>
                <w:sz w:val="18"/>
                <w:szCs w:val="18"/>
                <w:color w:val="0000FF"/>
              </w:rPr>
            </w:pPr>
            <w:hyperlink w:anchor="page232">
              <w:r>
                <w:rPr>
                  <w:rFonts w:ascii="Arial" w:cs="Arial" w:eastAsia="Arial" w:hAnsi="Arial"/>
                  <w:sz w:val="18"/>
                  <w:szCs w:val="18"/>
                  <w:color w:val="0000FF"/>
                </w:rPr>
                <w:t>List of Subsidiaries of Registrant.</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EE"/>
            </w:tcBorders>
            <w:gridSpan w:val="5"/>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23.1*</w:t>
            </w:r>
          </w:p>
        </w:tc>
        <w:tc>
          <w:tcPr>
            <w:tcW w:w="9900" w:type="dxa"/>
            <w:vAlign w:val="bottom"/>
            <w:gridSpan w:val="23"/>
          </w:tcPr>
          <w:p>
            <w:pPr>
              <w:spacing w:after="0"/>
              <w:rPr>
                <w:rFonts w:ascii="Arial" w:cs="Arial" w:eastAsia="Arial" w:hAnsi="Arial"/>
                <w:sz w:val="18"/>
                <w:szCs w:val="18"/>
                <w:color w:val="0000FF"/>
              </w:rPr>
            </w:pPr>
            <w:hyperlink w:anchor="page233">
              <w:r>
                <w:rPr>
                  <w:rFonts w:ascii="Arial" w:cs="Arial" w:eastAsia="Arial" w:hAnsi="Arial"/>
                  <w:sz w:val="18"/>
                  <w:szCs w:val="18"/>
                  <w:color w:val="0000FF"/>
                </w:rPr>
                <w:t>Consent of Ernst &amp; Young LLP, independent registered public accounting firm.</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gridSpan w:val="6"/>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18"/>
                <w:szCs w:val="18"/>
                <w:color w:val="auto"/>
              </w:rPr>
              <w:t>24.1*</w:t>
            </w:r>
          </w:p>
        </w:tc>
        <w:tc>
          <w:tcPr>
            <w:tcW w:w="9900" w:type="dxa"/>
            <w:vAlign w:val="bottom"/>
            <w:gridSpan w:val="23"/>
          </w:tcPr>
          <w:p>
            <w:pPr>
              <w:spacing w:after="0"/>
              <w:rPr>
                <w:rFonts w:ascii="Arial" w:cs="Arial" w:eastAsia="Arial" w:hAnsi="Arial"/>
                <w:sz w:val="18"/>
                <w:szCs w:val="18"/>
                <w:color w:val="0000FF"/>
              </w:rPr>
            </w:pPr>
            <w:hyperlink w:anchor="page169">
              <w:r>
                <w:rPr>
                  <w:rFonts w:ascii="Arial" w:cs="Arial" w:eastAsia="Arial" w:hAnsi="Arial"/>
                  <w:sz w:val="18"/>
                  <w:szCs w:val="18"/>
                  <w:color w:val="0000FF"/>
                </w:rPr>
                <w:t>Power of Attorney (included on signature page).</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gridSpan w:val="6"/>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9900" w:type="dxa"/>
            <w:vAlign w:val="bottom"/>
            <w:gridSpan w:val="23"/>
          </w:tcPr>
          <w:p>
            <w:pPr>
              <w:spacing w:after="0"/>
              <w:rPr>
                <w:rFonts w:ascii="Arial" w:cs="Arial" w:eastAsia="Arial" w:hAnsi="Arial"/>
                <w:sz w:val="18"/>
                <w:szCs w:val="18"/>
                <w:color w:val="0000FF"/>
                <w:w w:val="94"/>
              </w:rPr>
            </w:pPr>
            <w:hyperlink w:anchor="page234">
              <w:r>
                <w:rPr>
                  <w:rFonts w:ascii="Arial" w:cs="Arial" w:eastAsia="Arial" w:hAnsi="Arial"/>
                  <w:sz w:val="18"/>
                  <w:szCs w:val="18"/>
                  <w:color w:val="0000FF"/>
                  <w:w w:val="94"/>
                </w:rPr>
                <w:t>Certification of Principal Executive Officer Pursuant to Rules 13a-14(a) or 15d-14(a) under the Securities Exchange Act of 1934, as</w:t>
              </w:r>
            </w:hyperlink>
          </w:p>
        </w:tc>
      </w:tr>
      <w:tr>
        <w:trPr>
          <w:trHeight w:val="155"/>
        </w:trPr>
        <w:tc>
          <w:tcPr>
            <w:tcW w:w="124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w:anchor="page234">
              <w:r>
                <w:rPr>
                  <w:rFonts w:ascii="Arial" w:cs="Arial" w:eastAsia="Arial" w:hAnsi="Arial"/>
                  <w:sz w:val="18"/>
                  <w:szCs w:val="18"/>
                  <w:color w:val="0000FF"/>
                  <w:w w:val="89"/>
                </w:rPr>
                <w:t>Adopted Pursuant to Section 302 of the Sarbanes-Oxley Act of 2002.</w:t>
              </w:r>
            </w:hyperlink>
          </w:p>
        </w:tc>
        <w:tc>
          <w:tcPr>
            <w:tcW w:w="4560" w:type="dxa"/>
            <w:vAlign w:val="bottom"/>
            <w:tcBorders>
              <w:top w:val="single" w:sz="8" w:color="0000FF"/>
            </w:tcBorders>
            <w:gridSpan w:val="7"/>
          </w:tcPr>
          <w:p>
            <w:pPr>
              <w:spacing w:after="0"/>
              <w:rPr>
                <w:sz w:val="13"/>
                <w:szCs w:val="13"/>
                <w:color w:val="auto"/>
              </w:rPr>
            </w:pPr>
          </w:p>
        </w:tc>
        <w:tc>
          <w:tcPr>
            <w:tcW w:w="26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9900" w:type="dxa"/>
            <w:vAlign w:val="bottom"/>
            <w:gridSpan w:val="23"/>
          </w:tcPr>
          <w:p>
            <w:pPr>
              <w:spacing w:after="0"/>
              <w:rPr>
                <w:rFonts w:ascii="Arial" w:cs="Arial" w:eastAsia="Arial" w:hAnsi="Arial"/>
                <w:sz w:val="18"/>
                <w:szCs w:val="18"/>
                <w:color w:val="0000FF"/>
                <w:w w:val="95"/>
              </w:rPr>
            </w:pPr>
            <w:hyperlink w:anchor="page236">
              <w:r>
                <w:rPr>
                  <w:rFonts w:ascii="Arial" w:cs="Arial" w:eastAsia="Arial" w:hAnsi="Arial"/>
                  <w:sz w:val="18"/>
                  <w:szCs w:val="18"/>
                  <w:color w:val="0000FF"/>
                  <w:w w:val="95"/>
                </w:rPr>
                <w:t>Certification of Principal Financial Officer Pursuant to Rules 13a-14(a) or 15d-14(a) under the Securities Exchange Act of 1934, as</w:t>
              </w:r>
            </w:hyperlink>
          </w:p>
        </w:tc>
      </w:tr>
      <w:tr>
        <w:trPr>
          <w:trHeight w:val="156"/>
        </w:trPr>
        <w:tc>
          <w:tcPr>
            <w:tcW w:w="124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w:anchor="page236">
              <w:r>
                <w:rPr>
                  <w:rFonts w:ascii="Arial" w:cs="Arial" w:eastAsia="Arial" w:hAnsi="Arial"/>
                  <w:sz w:val="18"/>
                  <w:szCs w:val="18"/>
                  <w:color w:val="0000FF"/>
                  <w:w w:val="89"/>
                </w:rPr>
                <w:t>Adopted Pursuant to Section 302 of the Sarbanes-Oxley Act of 2002.</w:t>
              </w:r>
            </w:hyperlink>
          </w:p>
        </w:tc>
        <w:tc>
          <w:tcPr>
            <w:tcW w:w="4540" w:type="dxa"/>
            <w:vAlign w:val="bottom"/>
            <w:tcBorders>
              <w:top w:val="single" w:sz="8" w:color="0000FF"/>
            </w:tcBorders>
            <w:gridSpan w:val="6"/>
          </w:tcPr>
          <w:p>
            <w:pPr>
              <w:spacing w:after="0"/>
              <w:rPr>
                <w:sz w:val="13"/>
                <w:szCs w:val="13"/>
                <w:color w:val="auto"/>
              </w:rPr>
            </w:pPr>
          </w:p>
        </w:tc>
        <w:tc>
          <w:tcPr>
            <w:tcW w:w="280" w:type="dxa"/>
            <w:vAlign w:val="bottom"/>
            <w:gridSpan w:val="5"/>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9900" w:type="dxa"/>
            <w:vAlign w:val="bottom"/>
            <w:gridSpan w:val="23"/>
          </w:tcPr>
          <w:p>
            <w:pPr>
              <w:spacing w:after="0"/>
              <w:rPr>
                <w:rFonts w:ascii="Arial" w:cs="Arial" w:eastAsia="Arial" w:hAnsi="Arial"/>
                <w:sz w:val="18"/>
                <w:szCs w:val="18"/>
                <w:color w:val="0000FF"/>
                <w:w w:val="92"/>
              </w:rPr>
            </w:pPr>
            <w:hyperlink w:anchor="page238">
              <w:r>
                <w:rPr>
                  <w:rFonts w:ascii="Arial" w:cs="Arial" w:eastAsia="Arial" w:hAnsi="Arial"/>
                  <w:sz w:val="18"/>
                  <w:szCs w:val="18"/>
                  <w:color w:val="0000FF"/>
                  <w:w w:val="92"/>
                </w:rPr>
                <w:t>Certification of Principal Executive Officer and Principal Financial Officer Pursuant to 18 U.S.C. Section 1350, as Adopted Pursuant to</w:t>
              </w:r>
            </w:hyperlink>
          </w:p>
        </w:tc>
      </w:tr>
      <w:tr>
        <w:trPr>
          <w:trHeight w:val="156"/>
        </w:trPr>
        <w:tc>
          <w:tcPr>
            <w:tcW w:w="124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w:anchor="page238">
              <w:r>
                <w:rPr>
                  <w:rFonts w:ascii="Arial" w:cs="Arial" w:eastAsia="Arial" w:hAnsi="Arial"/>
                  <w:sz w:val="18"/>
                  <w:szCs w:val="18"/>
                  <w:color w:val="0000FF"/>
                  <w:w w:val="89"/>
                </w:rPr>
                <w:t>Section 906 of the Sarbanes-Oxley Act of 2002.</w:t>
              </w:r>
            </w:hyperlink>
          </w:p>
        </w:tc>
        <w:tc>
          <w:tcPr>
            <w:tcW w:w="6320" w:type="dxa"/>
            <w:vAlign w:val="bottom"/>
            <w:tcBorders>
              <w:top w:val="single" w:sz="8" w:color="0000FF"/>
            </w:tcBorders>
            <w:gridSpan w:val="13"/>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900" w:type="dxa"/>
            <w:vAlign w:val="bottom"/>
            <w:gridSpan w:val="23"/>
          </w:tcPr>
          <w:p>
            <w:pPr>
              <w:spacing w:after="0"/>
              <w:rPr>
                <w:sz w:val="20"/>
                <w:szCs w:val="20"/>
                <w:color w:val="auto"/>
              </w:rPr>
            </w:pPr>
            <w:r>
              <w:rPr>
                <w:rFonts w:ascii="Arial" w:cs="Arial" w:eastAsia="Arial" w:hAnsi="Arial"/>
                <w:sz w:val="18"/>
                <w:szCs w:val="18"/>
                <w:color w:val="auto"/>
              </w:rPr>
              <w:t>XBRL Instance Document</w:t>
            </w:r>
          </w:p>
        </w:tc>
      </w:tr>
      <w:tr>
        <w:trPr>
          <w:trHeight w:val="486"/>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gridSpan w:val="2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90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90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90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80" w:lineRule="exact"/>
        <w:rPr>
          <w:sz w:val="20"/>
          <w:szCs w:val="20"/>
          <w:color w:val="auto"/>
        </w:rPr>
      </w:pPr>
    </w:p>
    <w:p>
      <w:pPr>
        <w:ind w:left="1240" w:hanging="1219"/>
        <w:spacing w:after="0"/>
        <w:tabs>
          <w:tab w:leader="none" w:pos="12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36271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0">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7" w:right="419" w:bottom="1440" w:gutter="0" w:footer="0" w:header="0"/>
        </w:sectPr>
      </w:pPr>
    </w:p>
    <w:bookmarkStart w:id="167" w:name="page168"/>
    <w:bookmarkEnd w:id="167"/>
    <w:p>
      <w:pPr>
        <w:ind w:firstLine="8"/>
        <w:spacing w:after="0" w:line="242" w:lineRule="auto"/>
        <w:tabs>
          <w:tab w:leader="none" w:pos="22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Portions of this exhibit (indicated by asterisks) were omitted in accordance with the rules of Item 601(b)(10) of Regulation S-K.</w:t>
      </w:r>
    </w:p>
    <w:p>
      <w:pPr>
        <w:spacing w:after="0" w:line="3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a management contract or any compensatory plan, contract or arrangement.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Relay Therapeutics, Inc.</w:t>
      </w:r>
    </w:p>
    <w:p>
      <w:pPr>
        <w:sectPr>
          <w:pgSz w:w="11900" w:h="16838" w:orient="portrait"/>
          <w:cols w:equalWidth="0" w:num="1">
            <w:col w:w="11240"/>
          </w:cols>
          <w:pgMar w:left="320" w:top="324" w:right="339" w:bottom="1440" w:gutter="0" w:footer="0" w:header="0"/>
        </w:sectPr>
      </w:pPr>
    </w:p>
    <w:p>
      <w:pPr>
        <w:spacing w:after="0" w:line="1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February 24, 2022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2120"/>
        <w:spacing w:after="0"/>
        <w:rPr>
          <w:sz w:val="20"/>
          <w:szCs w:val="20"/>
          <w:color w:val="auto"/>
        </w:rPr>
      </w:pPr>
      <w:r>
        <w:rPr>
          <w:rFonts w:ascii="Arial" w:cs="Arial" w:eastAsia="Arial" w:hAnsi="Arial"/>
          <w:sz w:val="16"/>
          <w:szCs w:val="16"/>
          <w:color w:val="auto"/>
        </w:rPr>
        <w:t>/s/ Sanjiv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12065</wp:posOffset>
            </wp:positionV>
            <wp:extent cx="35229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3">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3">
            <w:col w:w="4520" w:space="720"/>
            <w:col w:w="1860" w:space="720"/>
            <w:col w:w="3420"/>
          </w:cols>
          <w:pgMar w:left="320" w:top="324" w:right="339" w:bottom="1440" w:gutter="0" w:footer="0" w:header="0"/>
          <w:type w:val="continuous"/>
        </w:sectPr>
      </w:pPr>
    </w:p>
    <w:p>
      <w:pPr>
        <w:ind w:left="7680"/>
        <w:spacing w:after="0" w:line="230" w:lineRule="auto"/>
        <w:rPr>
          <w:sz w:val="20"/>
          <w:szCs w:val="20"/>
          <w:color w:val="auto"/>
        </w:rPr>
      </w:pPr>
      <w:r>
        <w:rPr>
          <w:rFonts w:ascii="Arial" w:cs="Arial" w:eastAsia="Arial" w:hAnsi="Arial"/>
          <w:sz w:val="18"/>
          <w:szCs w:val="18"/>
          <w:color w:val="auto"/>
        </w:rPr>
        <w:t>Sanjiv K. Patel, M.D.</w:t>
      </w:r>
    </w:p>
    <w:p>
      <w:pPr>
        <w:ind w:left="708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(Principal Executive Officer)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16"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Each person whose individual signature appears below hereby authorizes and appoints Sanjiv K. Patel, M.D. and Brian Adams,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center"/>
              <w:ind w:right="1460"/>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50"/>
        </w:trPr>
        <w:tc>
          <w:tcPr>
            <w:tcW w:w="10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9"/>
          </w:tcPr>
          <w:p>
            <w:pPr>
              <w:jc w:val="center"/>
              <w:ind w:right="1180"/>
              <w:spacing w:after="0"/>
              <w:rPr>
                <w:sz w:val="20"/>
                <w:szCs w:val="20"/>
                <w:color w:val="auto"/>
              </w:rPr>
            </w:pPr>
            <w:r>
              <w:rPr>
                <w:rFonts w:ascii="Arial" w:cs="Arial" w:eastAsia="Arial" w:hAnsi="Arial"/>
                <w:sz w:val="18"/>
                <w:szCs w:val="18"/>
                <w:color w:val="auto"/>
                <w:w w:val="92"/>
              </w:rPr>
              <w:t>/s/ Sanjiv K. Patel</w:t>
            </w:r>
          </w:p>
        </w:tc>
        <w:tc>
          <w:tcPr>
            <w:tcW w:w="120" w:type="dxa"/>
            <w:vAlign w:val="bottom"/>
          </w:tcPr>
          <w:p>
            <w:pPr>
              <w:spacing w:after="0"/>
              <w:rPr>
                <w:sz w:val="21"/>
                <w:szCs w:val="21"/>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President, Chief Executive Officer and Director</w:t>
            </w:r>
          </w:p>
        </w:tc>
        <w:tc>
          <w:tcPr>
            <w:tcW w:w="10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2640" w:type="dxa"/>
            <w:vAlign w:val="bottom"/>
            <w:gridSpan w:val="13"/>
          </w:tcPr>
          <w:p>
            <w:pPr>
              <w:jc w:val="center"/>
              <w:ind w:right="1080"/>
              <w:spacing w:after="0"/>
              <w:rPr>
                <w:sz w:val="20"/>
                <w:szCs w:val="20"/>
                <w:color w:val="auto"/>
              </w:rPr>
            </w:pPr>
            <w:r>
              <w:rPr>
                <w:rFonts w:ascii="Arial" w:cs="Arial" w:eastAsia="Arial" w:hAnsi="Arial"/>
                <w:sz w:val="18"/>
                <w:szCs w:val="18"/>
                <w:color w:val="auto"/>
                <w:w w:val="94"/>
              </w:rPr>
              <w:t>Sanjiv K. Patel, M.D.</w:t>
            </w:r>
          </w:p>
        </w:tc>
        <w:tc>
          <w:tcPr>
            <w:tcW w:w="12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2640" w:type="dxa"/>
            <w:vAlign w:val="bottom"/>
            <w:gridSpan w:val="13"/>
          </w:tcPr>
          <w:p>
            <w:pPr>
              <w:jc w:val="center"/>
              <w:ind w:right="1080"/>
              <w:spacing w:after="0"/>
              <w:rPr>
                <w:sz w:val="20"/>
                <w:szCs w:val="20"/>
                <w:color w:val="auto"/>
              </w:rPr>
            </w:pPr>
            <w:r>
              <w:rPr>
                <w:rFonts w:ascii="Arial" w:cs="Arial" w:eastAsia="Arial" w:hAnsi="Arial"/>
                <w:sz w:val="18"/>
                <w:szCs w:val="18"/>
                <w:color w:val="auto"/>
                <w:w w:val="89"/>
              </w:rPr>
              <w:t xml:space="preserve">/s/ </w:t>
            </w:r>
            <w:r>
              <w:rPr>
                <w:rFonts w:ascii="Arial" w:cs="Arial" w:eastAsia="Arial" w:hAnsi="Arial"/>
                <w:sz w:val="18"/>
                <w:szCs w:val="18"/>
                <w:color w:val="auto"/>
                <w:highlight w:val="white"/>
                <w:w w:val="89"/>
              </w:rPr>
              <w:t>Thomas Catinazzo</w:t>
            </w:r>
          </w:p>
        </w:tc>
        <w:tc>
          <w:tcPr>
            <w:tcW w:w="1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c>
          <w:tcPr>
            <w:tcW w:w="0" w:type="dxa"/>
            <w:vAlign w:val="bottom"/>
          </w:tcPr>
          <w:p>
            <w:pPr>
              <w:spacing w:after="0"/>
              <w:rPr>
                <w:sz w:val="1"/>
                <w:szCs w:val="1"/>
                <w:color w:val="auto"/>
              </w:rPr>
            </w:pPr>
          </w:p>
        </w:tc>
      </w:tr>
      <w:tr>
        <w:trPr>
          <w:trHeight w:val="142"/>
        </w:trPr>
        <w:tc>
          <w:tcPr>
            <w:tcW w:w="10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40" w:type="dxa"/>
            <w:vAlign w:val="bottom"/>
            <w:gridSpan w:val="7"/>
          </w:tcPr>
          <w:p>
            <w:pPr>
              <w:jc w:val="center"/>
              <w:ind w:right="100"/>
              <w:spacing w:after="0" w:line="142" w:lineRule="exact"/>
              <w:rPr>
                <w:sz w:val="20"/>
                <w:szCs w:val="20"/>
                <w:color w:val="auto"/>
              </w:rPr>
            </w:pPr>
            <w:r>
              <w:rPr>
                <w:rFonts w:ascii="Arial" w:cs="Arial" w:eastAsia="Arial" w:hAnsi="Arial"/>
                <w:sz w:val="16"/>
                <w:szCs w:val="16"/>
                <w:color w:val="auto"/>
                <w:highlight w:val="white"/>
              </w:rPr>
              <w:t>Thomas Catinazzo</w:t>
            </w: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tcPr>
          <w:p>
            <w:pPr>
              <w:jc w:val="right"/>
              <w:ind w:right="1132"/>
              <w:spacing w:after="0" w:line="142" w:lineRule="exact"/>
              <w:rPr>
                <w:sz w:val="20"/>
                <w:szCs w:val="20"/>
                <w:color w:val="auto"/>
              </w:rPr>
            </w:pPr>
            <w:r>
              <w:rPr>
                <w:rFonts w:ascii="Arial" w:cs="Arial" w:eastAsia="Arial" w:hAnsi="Arial"/>
                <w:sz w:val="16"/>
                <w:szCs w:val="16"/>
                <w:color w:val="auto"/>
              </w:rPr>
              <w:t>(Principal Accounting Officer and</w:t>
            </w: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20" w:type="dxa"/>
            <w:vAlign w:val="bottom"/>
            <w:gridSpan w:val="9"/>
          </w:tcPr>
          <w:p>
            <w:pPr>
              <w:jc w:val="center"/>
              <w:ind w:right="1200"/>
              <w:spacing w:after="0"/>
              <w:rPr>
                <w:sz w:val="20"/>
                <w:szCs w:val="20"/>
                <w:color w:val="auto"/>
              </w:rPr>
            </w:pPr>
            <w:r>
              <w:rPr>
                <w:rFonts w:ascii="Arial" w:cs="Arial" w:eastAsia="Arial" w:hAnsi="Arial"/>
                <w:sz w:val="18"/>
                <w:szCs w:val="18"/>
                <w:color w:val="auto"/>
                <w:w w:val="94"/>
              </w:rPr>
              <w:t xml:space="preserve">/s/ </w:t>
            </w:r>
            <w:r>
              <w:rPr>
                <w:rFonts w:ascii="Arial" w:cs="Arial" w:eastAsia="Arial" w:hAnsi="Arial"/>
                <w:sz w:val="18"/>
                <w:szCs w:val="18"/>
                <w:color w:val="auto"/>
                <w:highlight w:val="white"/>
                <w:w w:val="94"/>
              </w:rPr>
              <w:t>Alexis Borisy</w:t>
            </w:r>
          </w:p>
        </w:tc>
        <w:tc>
          <w:tcPr>
            <w:tcW w:w="120" w:type="dxa"/>
            <w:vAlign w:val="bottom"/>
          </w:tcPr>
          <w:p>
            <w:pPr>
              <w:spacing w:after="0"/>
              <w:rPr>
                <w:sz w:val="21"/>
                <w:szCs w:val="21"/>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color w:val="auto"/>
                <w:highlight w:val="white"/>
                <w:w w:val="97"/>
              </w:rPr>
              <w:t>Alexis Borisy</w:t>
            </w: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gridSpan w:val="2"/>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9"/>
          </w:tcPr>
          <w:p>
            <w:pPr>
              <w:jc w:val="center"/>
              <w:ind w:right="1180"/>
              <w:spacing w:after="0"/>
              <w:rPr>
                <w:sz w:val="20"/>
                <w:szCs w:val="20"/>
                <w:color w:val="auto"/>
              </w:rPr>
            </w:pPr>
            <w:r>
              <w:rPr>
                <w:rFonts w:ascii="Arial" w:cs="Arial" w:eastAsia="Arial" w:hAnsi="Arial"/>
                <w:sz w:val="18"/>
                <w:szCs w:val="18"/>
                <w:color w:val="auto"/>
                <w:w w:val="98"/>
              </w:rPr>
              <w:t xml:space="preserve">/s/ </w:t>
            </w:r>
            <w:r>
              <w:rPr>
                <w:rFonts w:ascii="Arial" w:cs="Arial" w:eastAsia="Arial" w:hAnsi="Arial"/>
                <w:sz w:val="18"/>
                <w:szCs w:val="18"/>
                <w:color w:val="auto"/>
                <w:highlight w:val="white"/>
                <w:w w:val="98"/>
              </w:rPr>
              <w:t>Linda A. Hill</w:t>
            </w:r>
          </w:p>
        </w:tc>
        <w:tc>
          <w:tcPr>
            <w:tcW w:w="12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60" w:type="dxa"/>
            <w:vAlign w:val="bottom"/>
            <w:gridSpan w:val="7"/>
          </w:tcPr>
          <w:p>
            <w:pPr>
              <w:jc w:val="center"/>
              <w:spacing w:after="0"/>
              <w:rPr>
                <w:sz w:val="20"/>
                <w:szCs w:val="20"/>
                <w:color w:val="auto"/>
              </w:rPr>
            </w:pPr>
            <w:r>
              <w:rPr>
                <w:rFonts w:ascii="Arial" w:cs="Arial" w:eastAsia="Arial" w:hAnsi="Arial"/>
                <w:sz w:val="18"/>
                <w:szCs w:val="18"/>
                <w:color w:val="auto"/>
                <w:highlight w:val="white"/>
                <w:w w:val="96"/>
              </w:rPr>
              <w:t>Linda A. Hill, Ph.D.</w:t>
            </w: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gridSpan w:val="2"/>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2640" w:type="dxa"/>
            <w:vAlign w:val="bottom"/>
            <w:gridSpan w:val="13"/>
          </w:tcPr>
          <w:p>
            <w:pPr>
              <w:jc w:val="center"/>
              <w:ind w:right="1080"/>
              <w:spacing w:after="0"/>
              <w:rPr>
                <w:sz w:val="20"/>
                <w:szCs w:val="20"/>
                <w:color w:val="auto"/>
              </w:rPr>
            </w:pPr>
            <w:r>
              <w:rPr>
                <w:rFonts w:ascii="Arial" w:cs="Arial" w:eastAsia="Arial" w:hAnsi="Arial"/>
                <w:sz w:val="18"/>
                <w:szCs w:val="18"/>
                <w:color w:val="auto"/>
                <w:w w:val="90"/>
              </w:rPr>
              <w:t xml:space="preserve">/s/ </w:t>
            </w:r>
            <w:r>
              <w:rPr>
                <w:rFonts w:ascii="Arial" w:cs="Arial" w:eastAsia="Arial" w:hAnsi="Arial"/>
                <w:sz w:val="18"/>
                <w:szCs w:val="18"/>
                <w:color w:val="auto"/>
                <w:highlight w:val="white"/>
                <w:w w:val="90"/>
              </w:rPr>
              <w:t>Douglas S. Ingram</w:t>
            </w:r>
          </w:p>
        </w:tc>
        <w:tc>
          <w:tcPr>
            <w:tcW w:w="12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80" w:type="dxa"/>
            <w:vAlign w:val="bottom"/>
            <w:gridSpan w:val="9"/>
          </w:tcPr>
          <w:p>
            <w:pPr>
              <w:jc w:val="center"/>
              <w:ind w:right="120"/>
              <w:spacing w:after="0"/>
              <w:rPr>
                <w:sz w:val="20"/>
                <w:szCs w:val="20"/>
                <w:color w:val="auto"/>
              </w:rPr>
            </w:pPr>
            <w:r>
              <w:rPr>
                <w:rFonts w:ascii="Arial" w:cs="Arial" w:eastAsia="Arial" w:hAnsi="Arial"/>
                <w:sz w:val="18"/>
                <w:szCs w:val="18"/>
                <w:color w:val="auto"/>
                <w:highlight w:val="white"/>
                <w:w w:val="91"/>
              </w:rPr>
              <w:t>Douglas S. Ingram</w:t>
            </w: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9"/>
          </w:tcPr>
          <w:p>
            <w:pPr>
              <w:jc w:val="center"/>
              <w:ind w:right="1180"/>
              <w:spacing w:after="0"/>
              <w:rPr>
                <w:sz w:val="20"/>
                <w:szCs w:val="20"/>
                <w:color w:val="auto"/>
              </w:rPr>
            </w:pPr>
            <w:r>
              <w:rPr>
                <w:rFonts w:ascii="Arial" w:cs="Arial" w:eastAsia="Arial" w:hAnsi="Arial"/>
                <w:sz w:val="18"/>
                <w:szCs w:val="18"/>
                <w:color w:val="auto"/>
                <w:w w:val="95"/>
              </w:rPr>
              <w:t xml:space="preserve">/s/ </w:t>
            </w:r>
            <w:r>
              <w:rPr>
                <w:rFonts w:ascii="Arial" w:cs="Arial" w:eastAsia="Arial" w:hAnsi="Arial"/>
                <w:sz w:val="18"/>
                <w:szCs w:val="18"/>
                <w:color w:val="auto"/>
                <w:highlight w:val="white"/>
                <w:w w:val="95"/>
              </w:rPr>
              <w:t>Mark Murcko</w:t>
            </w:r>
          </w:p>
        </w:tc>
        <w:tc>
          <w:tcPr>
            <w:tcW w:w="12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500" w:type="dxa"/>
            <w:vAlign w:val="bottom"/>
            <w:gridSpan w:val="9"/>
          </w:tcPr>
          <w:p>
            <w:pPr>
              <w:jc w:val="center"/>
              <w:spacing w:after="0"/>
              <w:rPr>
                <w:sz w:val="20"/>
                <w:szCs w:val="20"/>
                <w:color w:val="auto"/>
              </w:rPr>
            </w:pPr>
            <w:r>
              <w:rPr>
                <w:rFonts w:ascii="Arial" w:cs="Arial" w:eastAsia="Arial" w:hAnsi="Arial"/>
                <w:sz w:val="18"/>
                <w:szCs w:val="18"/>
                <w:color w:val="auto"/>
                <w:highlight w:val="white"/>
                <w:w w:val="94"/>
              </w:rPr>
              <w:t>Mark Murcko, Ph.D.</w:t>
            </w:r>
          </w:p>
        </w:tc>
        <w:tc>
          <w:tcPr>
            <w:tcW w:w="1100" w:type="dxa"/>
            <w:vAlign w:val="bottom"/>
            <w:tcBorders>
              <w:top w:val="single" w:sz="8" w:color="auto"/>
            </w:tcBorders>
            <w:gridSpan w:val="3"/>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9"/>
          </w:tcPr>
          <w:p>
            <w:pPr>
              <w:jc w:val="center"/>
              <w:ind w:right="1200"/>
              <w:spacing w:after="0"/>
              <w:rPr>
                <w:sz w:val="20"/>
                <w:szCs w:val="20"/>
                <w:color w:val="auto"/>
              </w:rPr>
            </w:pPr>
            <w:r>
              <w:rPr>
                <w:rFonts w:ascii="Arial" w:cs="Arial" w:eastAsia="Arial" w:hAnsi="Arial"/>
                <w:sz w:val="18"/>
                <w:szCs w:val="18"/>
                <w:color w:val="auto"/>
                <w:w w:val="91"/>
              </w:rPr>
              <w:t xml:space="preserve">/s/ </w:t>
            </w:r>
            <w:r>
              <w:rPr>
                <w:rFonts w:ascii="Arial" w:cs="Arial" w:eastAsia="Arial" w:hAnsi="Arial"/>
                <w:sz w:val="18"/>
                <w:szCs w:val="18"/>
                <w:color w:val="auto"/>
                <w:highlight w:val="white"/>
                <w:w w:val="91"/>
              </w:rPr>
              <w:t>Jami Rubin</w:t>
            </w:r>
          </w:p>
        </w:tc>
        <w:tc>
          <w:tcPr>
            <w:tcW w:w="12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Pr>
          <w:p>
            <w:pPr>
              <w:jc w:val="center"/>
              <w:ind w:right="19"/>
              <w:spacing w:after="0"/>
              <w:rPr>
                <w:sz w:val="20"/>
                <w:szCs w:val="20"/>
                <w:color w:val="auto"/>
              </w:rPr>
            </w:pPr>
            <w:r>
              <w:rPr>
                <w:rFonts w:ascii="Arial" w:cs="Arial" w:eastAsia="Arial" w:hAnsi="Arial"/>
                <w:sz w:val="18"/>
                <w:szCs w:val="18"/>
                <w:color w:val="auto"/>
                <w:highlight w:val="white"/>
                <w:w w:val="91"/>
              </w:rPr>
              <w:t>Jami Rubin</w:t>
            </w:r>
          </w:p>
        </w:tc>
        <w:tc>
          <w:tcPr>
            <w:tcW w:w="1340" w:type="dxa"/>
            <w:vAlign w:val="bottom"/>
            <w:tcBorders>
              <w:top w:val="single" w:sz="8" w:color="auto"/>
            </w:tcBorders>
            <w:gridSpan w:val="6"/>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9"/>
          </w:tcPr>
          <w:p>
            <w:pPr>
              <w:jc w:val="center"/>
              <w:ind w:right="1180"/>
              <w:spacing w:after="0"/>
              <w:rPr>
                <w:sz w:val="20"/>
                <w:szCs w:val="20"/>
                <w:color w:val="auto"/>
              </w:rPr>
            </w:pPr>
            <w:r>
              <w:rPr>
                <w:rFonts w:ascii="Arial" w:cs="Arial" w:eastAsia="Arial" w:hAnsi="Arial"/>
                <w:sz w:val="18"/>
                <w:szCs w:val="18"/>
                <w:color w:val="auto"/>
                <w:w w:val="89"/>
              </w:rPr>
              <w:t xml:space="preserve">/s/ </w:t>
            </w:r>
            <w:r>
              <w:rPr>
                <w:rFonts w:ascii="Arial" w:cs="Arial" w:eastAsia="Arial" w:hAnsi="Arial"/>
                <w:sz w:val="18"/>
                <w:szCs w:val="18"/>
                <w:color w:val="auto"/>
                <w:highlight w:val="white"/>
                <w:w w:val="89"/>
              </w:rPr>
              <w:t>Laura Shawver</w:t>
            </w:r>
          </w:p>
        </w:tc>
        <w:tc>
          <w:tcPr>
            <w:tcW w:w="12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tcPr>
          <w:p>
            <w:pPr>
              <w:spacing w:after="0"/>
              <w:rPr>
                <w:sz w:val="18"/>
                <w:szCs w:val="18"/>
                <w:color w:val="auto"/>
              </w:rPr>
            </w:pPr>
          </w:p>
        </w:tc>
        <w:tc>
          <w:tcPr>
            <w:tcW w:w="1580" w:type="dxa"/>
            <w:vAlign w:val="bottom"/>
            <w:gridSpan w:val="12"/>
          </w:tcPr>
          <w:p>
            <w:pPr>
              <w:jc w:val="center"/>
              <w:spacing w:after="0"/>
              <w:rPr>
                <w:sz w:val="20"/>
                <w:szCs w:val="20"/>
                <w:color w:val="auto"/>
              </w:rPr>
            </w:pPr>
            <w:r>
              <w:rPr>
                <w:rFonts w:ascii="Arial" w:cs="Arial" w:eastAsia="Arial" w:hAnsi="Arial"/>
                <w:sz w:val="18"/>
                <w:szCs w:val="18"/>
                <w:color w:val="auto"/>
                <w:highlight w:val="white"/>
                <w:w w:val="89"/>
              </w:rPr>
              <w:t>Laura Shawver, Ph.D.</w:t>
            </w:r>
          </w:p>
        </w:tc>
        <w:tc>
          <w:tcPr>
            <w:tcW w:w="1060" w:type="dxa"/>
            <w:vAlign w:val="bottom"/>
            <w:tcBorders>
              <w:top w:val="single" w:sz="8" w:color="auto"/>
            </w:tcBorders>
          </w:tcPr>
          <w:p>
            <w:pPr>
              <w:spacing w:after="0"/>
              <w:rPr>
                <w:sz w:val="18"/>
                <w:szCs w:val="18"/>
                <w:color w:val="auto"/>
              </w:rPr>
            </w:pPr>
          </w:p>
        </w:tc>
        <w:tc>
          <w:tcPr>
            <w:tcW w:w="4980" w:type="dxa"/>
            <w:vAlign w:val="bottom"/>
            <w:gridSpan w:val="2"/>
            <w:vMerge w:val="restart"/>
          </w:tcPr>
          <w:p>
            <w:pPr>
              <w:jc w:val="right"/>
              <w:ind w:right="285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8"/>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69" w:name="page170"/>
    <w:bookmarkEnd w:id="169"/>
    <w:p>
      <w:pPr>
        <w:jc w:val="right"/>
        <w:spacing w:after="0"/>
        <w:rPr>
          <w:sz w:val="20"/>
          <w:szCs w:val="20"/>
          <w:color w:val="auto"/>
        </w:rPr>
      </w:pPr>
      <w:r>
        <w:rPr>
          <w:rFonts w:ascii="Arial" w:cs="Arial" w:eastAsia="Arial" w:hAnsi="Arial"/>
          <w:sz w:val="22"/>
          <w:szCs w:val="22"/>
          <w:b w:val="1"/>
          <w:bCs w:val="1"/>
          <w:color w:val="auto"/>
        </w:rPr>
        <w:t>Exhibit 10.2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RELAY THERAPEUTICS,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2020 STOCK OPTION AND INCENTIVE PLAN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GENERAL PURPOSE OF THE PLAN; DEFINITIONS</w:t>
      </w:r>
    </w:p>
    <w:p>
      <w:pPr>
        <w:spacing w:after="0" w:line="206" w:lineRule="exact"/>
        <w:rPr>
          <w:sz w:val="20"/>
          <w:szCs w:val="20"/>
          <w:color w:val="auto"/>
        </w:rPr>
      </w:pPr>
    </w:p>
    <w:p>
      <w:pPr>
        <w:ind w:firstLine="749"/>
        <w:spacing w:after="0" w:line="234" w:lineRule="auto"/>
        <w:rPr>
          <w:sz w:val="20"/>
          <w:szCs w:val="20"/>
          <w:color w:val="auto"/>
        </w:rPr>
      </w:pPr>
      <w:r>
        <w:rPr>
          <w:rFonts w:ascii="Arial" w:cs="Arial" w:eastAsia="Arial" w:hAnsi="Arial"/>
          <w:sz w:val="22"/>
          <w:szCs w:val="22"/>
          <w:color w:val="auto"/>
        </w:rPr>
        <w:t>The name of the plan is the Relay Therapeutics, Inc. 2020 Stock Option and Incentive Plan (the “Plan”). The purpose of the Plan is to encourage and enable the officers, employees, Non-Employee Directors and Consultants of Relay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following terms shall be defined as set forth below:</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Act</w:t>
      </w:r>
      <w:r>
        <w:rPr>
          <w:rFonts w:ascii="Arial" w:cs="Arial" w:eastAsia="Arial" w:hAnsi="Arial"/>
          <w:sz w:val="22"/>
          <w:szCs w:val="22"/>
          <w:color w:val="auto"/>
        </w:rPr>
        <w:t>” means the U.S. Securities Act of 1933, as amended, and the rules and regulations thereunder.</w:t>
      </w:r>
    </w:p>
    <w:p>
      <w:pPr>
        <w:spacing w:after="0" w:line="206" w:lineRule="exact"/>
        <w:rPr>
          <w:sz w:val="20"/>
          <w:szCs w:val="20"/>
          <w:color w:val="auto"/>
        </w:rPr>
      </w:pPr>
    </w:p>
    <w:p>
      <w:pPr>
        <w:ind w:right="100" w:firstLine="749"/>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Administrator</w:t>
      </w:r>
      <w:r>
        <w:rPr>
          <w:rFonts w:ascii="Arial" w:cs="Arial" w:eastAsia="Arial" w:hAnsi="Arial"/>
          <w:sz w:val="22"/>
          <w:szCs w:val="22"/>
          <w:color w:val="auto"/>
        </w:rPr>
        <w:t>” means either the Board or the compensation committee of the Board or a similar committee performing the functions of the compensation committee and which is comprised of not less than two Non</w:t>
      </w:r>
      <w:r>
        <w:rPr>
          <w:rFonts w:ascii="MS PGothic" w:cs="MS PGothic" w:eastAsia="MS PGothic" w:hAnsi="MS PGothic"/>
          <w:sz w:val="22"/>
          <w:szCs w:val="22"/>
          <w:color w:val="auto"/>
        </w:rPr>
        <w:t>‑</w:t>
      </w:r>
      <w:r>
        <w:rPr>
          <w:rFonts w:ascii="Arial" w:cs="Arial" w:eastAsia="Arial" w:hAnsi="Arial"/>
          <w:sz w:val="22"/>
          <w:szCs w:val="22"/>
          <w:color w:val="auto"/>
        </w:rPr>
        <w:t>Employee Directors who are independent.</w:t>
      </w:r>
    </w:p>
    <w:p>
      <w:pPr>
        <w:spacing w:after="0" w:line="186" w:lineRule="exact"/>
        <w:rPr>
          <w:sz w:val="20"/>
          <w:szCs w:val="20"/>
          <w:color w:val="auto"/>
        </w:rPr>
      </w:pPr>
    </w:p>
    <w:p>
      <w:pPr>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86" w:lineRule="exact"/>
        <w:rPr>
          <w:sz w:val="20"/>
          <w:szCs w:val="20"/>
          <w:color w:val="auto"/>
        </w:rPr>
      </w:pPr>
    </w:p>
    <w:p>
      <w:pPr>
        <w:ind w:right="400" w:firstLine="749"/>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Award</w:t>
      </w:r>
      <w:r>
        <w:rPr>
          <w:rFonts w:ascii="Arial" w:cs="Arial" w:eastAsia="Arial" w:hAnsi="Arial"/>
          <w:sz w:val="21"/>
          <w:szCs w:val="21"/>
          <w:color w:val="auto"/>
        </w:rPr>
        <w:t>” or “</w:t>
      </w:r>
      <w:r>
        <w:rPr>
          <w:rFonts w:ascii="Arial" w:cs="Arial" w:eastAsia="Arial" w:hAnsi="Arial"/>
          <w:sz w:val="21"/>
          <w:szCs w:val="21"/>
          <w:i w:val="1"/>
          <w:iCs w:val="1"/>
          <w:color w:val="auto"/>
        </w:rPr>
        <w:t>Awards,</w:t>
      </w:r>
      <w:r>
        <w:rPr>
          <w:rFonts w:ascii="Arial" w:cs="Arial" w:eastAsia="Arial" w:hAnsi="Arial"/>
          <w:sz w:val="21"/>
          <w:szCs w:val="21"/>
          <w:color w:val="auto"/>
        </w:rPr>
        <w:t>”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spacing w:after="0" w:line="169" w:lineRule="exact"/>
        <w:rPr>
          <w:sz w:val="20"/>
          <w:szCs w:val="20"/>
          <w:color w:val="auto"/>
        </w:rPr>
      </w:pPr>
    </w:p>
    <w:p>
      <w:pPr>
        <w:ind w:right="580"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Award Agreement</w:t>
      </w:r>
      <w:r>
        <w:rPr>
          <w:rFonts w:ascii="Arial" w:cs="Arial" w:eastAsia="Arial" w:hAnsi="Arial"/>
          <w:sz w:val="19"/>
          <w:szCs w:val="19"/>
          <w:color w:val="auto"/>
        </w:rPr>
        <w:t>” means a written or electronic document setting forth the terms and provisions applicable to an Award granted under the Plan. Each Award Agreement is subject to the terms and conditions of the Plan.</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w:t>
      </w:r>
      <w:r>
        <w:rPr>
          <w:rFonts w:ascii="Arial" w:cs="Arial" w:eastAsia="Arial" w:hAnsi="Arial"/>
          <w:sz w:val="22"/>
          <w:szCs w:val="22"/>
          <w:color w:val="auto"/>
        </w:rPr>
        <w:t>” means the Board of Directors of the Company.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Cash-Based Award</w:t>
      </w:r>
      <w:r>
        <w:rPr>
          <w:rFonts w:ascii="Arial" w:cs="Arial" w:eastAsia="Arial" w:hAnsi="Arial"/>
          <w:sz w:val="22"/>
          <w:szCs w:val="22"/>
          <w:color w:val="auto"/>
        </w:rPr>
        <w:t>” means an Award entitling the recipient to receive a cash-denominated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0" w:name="page171"/>
    <w:bookmarkEnd w:id="170"/>
    <w:p>
      <w:pPr>
        <w:ind w:right="20" w:firstLine="749"/>
        <w:spacing w:after="0" w:line="270" w:lineRule="auto"/>
        <w:rPr>
          <w:sz w:val="20"/>
          <w:szCs w:val="20"/>
          <w:color w:val="auto"/>
        </w:rPr>
      </w:pPr>
      <w:r>
        <w:rPr>
          <w:rFonts w:ascii="Arial" w:cs="Arial" w:eastAsia="Arial" w:hAnsi="Arial"/>
          <w:sz w:val="19"/>
          <w:szCs w:val="19"/>
          <w:i w:val="1"/>
          <w:iCs w:val="1"/>
          <w:color w:val="auto"/>
        </w:rPr>
        <w:t xml:space="preserve">“Cause” </w:t>
      </w:r>
      <w:r>
        <w:rPr>
          <w:rFonts w:ascii="Arial" w:cs="Arial" w:eastAsia="Arial" w:hAnsi="Arial"/>
          <w:sz w:val="19"/>
          <w:szCs w:val="19"/>
          <w:color w:val="auto"/>
        </w:rPr>
        <w:t>means, unless otherwise set forth in an applicable employment agreement with a grantee, grantee’s (i)</w:t>
      </w:r>
      <w:r>
        <w:rPr>
          <w:rFonts w:ascii="Arial" w:cs="Arial" w:eastAsia="Arial" w:hAnsi="Arial"/>
          <w:sz w:val="19"/>
          <w:szCs w:val="19"/>
          <w:i w:val="1"/>
          <w:iCs w:val="1"/>
          <w:color w:val="auto"/>
        </w:rPr>
        <w:t xml:space="preserve"> </w:t>
      </w:r>
      <w:r>
        <w:rPr>
          <w:rFonts w:ascii="Arial" w:cs="Arial" w:eastAsia="Arial" w:hAnsi="Arial"/>
          <w:sz w:val="19"/>
          <w:szCs w:val="19"/>
          <w:color w:val="auto"/>
        </w:rPr>
        <w:t>dishonest statements or acts with respect to the Company or any Subsidiary of the Company, or any current or prospective customers, suppliers, vendors or other third parties with which such entity does business; (ii) commission of (A) a felony or (B) any misdemeanor involving moral turpitude, deceit, dishonesty or fraud; (iii) substantial continued failure to perform his assigned duties and responsibilities which failure continues for thirty (30) days after written notice given to the grantee by the Company;</w:t>
      </w:r>
    </w:p>
    <w:p>
      <w:pPr>
        <w:spacing w:after="0" w:line="4" w:lineRule="exact"/>
        <w:rPr>
          <w:sz w:val="20"/>
          <w:szCs w:val="20"/>
          <w:color w:val="auto"/>
        </w:rPr>
      </w:pPr>
    </w:p>
    <w:p>
      <w:pPr>
        <w:jc w:val="both"/>
        <w:ind w:right="640" w:firstLine="8"/>
        <w:spacing w:after="0" w:line="234" w:lineRule="auto"/>
        <w:tabs>
          <w:tab w:leader="none" w:pos="366" w:val="left"/>
        </w:tabs>
        <w:numPr>
          <w:ilvl w:val="0"/>
          <w:numId w:val="88"/>
        </w:numPr>
        <w:rPr>
          <w:rFonts w:ascii="Arial" w:cs="Arial" w:eastAsia="Arial" w:hAnsi="Arial"/>
          <w:sz w:val="22"/>
          <w:szCs w:val="22"/>
          <w:color w:val="auto"/>
        </w:rPr>
      </w:pPr>
      <w:r>
        <w:rPr>
          <w:rFonts w:ascii="Arial" w:cs="Arial" w:eastAsia="Arial" w:hAnsi="Arial"/>
          <w:sz w:val="22"/>
          <w:szCs w:val="22"/>
          <w:color w:val="auto"/>
        </w:rPr>
        <w:t>gross negligence, willful misconduct or insubordination with respect to the Company; or (v) material violation of any provision of any agreement(s) between the grantee and the Company, including any agreement relating to noncompetition, nonsolicitation, nondisclosure and/or assignment of inventions.</w:t>
      </w:r>
    </w:p>
    <w:p>
      <w:pPr>
        <w:spacing w:after="0" w:line="187" w:lineRule="exact"/>
        <w:rPr>
          <w:sz w:val="20"/>
          <w:szCs w:val="20"/>
          <w:color w:val="auto"/>
        </w:rPr>
      </w:pPr>
    </w:p>
    <w:p>
      <w:pPr>
        <w:ind w:right="24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Code</w:t>
      </w:r>
      <w:r>
        <w:rPr>
          <w:rFonts w:ascii="Arial" w:cs="Arial" w:eastAsia="Arial" w:hAnsi="Arial"/>
          <w:sz w:val="22"/>
          <w:szCs w:val="22"/>
          <w:color w:val="auto"/>
        </w:rPr>
        <w:t>” means the Internal Revenue Code of 1986, as amended, and any successor Code, and related rules, regulations and interpretations.</w:t>
      </w:r>
    </w:p>
    <w:p>
      <w:pPr>
        <w:spacing w:after="0" w:line="175" w:lineRule="exact"/>
        <w:rPr>
          <w:sz w:val="20"/>
          <w:szCs w:val="20"/>
          <w:color w:val="auto"/>
        </w:rPr>
      </w:pPr>
    </w:p>
    <w:p>
      <w:pPr>
        <w:ind w:right="560"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Consultant</w:t>
      </w:r>
      <w:r>
        <w:rPr>
          <w:rFonts w:ascii="Arial" w:cs="Arial" w:eastAsia="Arial" w:hAnsi="Arial"/>
          <w:sz w:val="19"/>
          <w:szCs w:val="19"/>
          <w:color w:val="auto"/>
        </w:rPr>
        <w:t xml:space="preserve">” means a consultant or adviser who provides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services to the Company or an Affiliate as an independent contractor and who qualifies as a consultant or advisor under Instruction A.1.(a)(1) of Form S-8 under the Act.</w:t>
      </w:r>
    </w:p>
    <w:p>
      <w:pPr>
        <w:spacing w:after="0" w:line="105" w:lineRule="exact"/>
        <w:rPr>
          <w:sz w:val="20"/>
          <w:szCs w:val="20"/>
          <w:color w:val="auto"/>
        </w:rPr>
      </w:pPr>
    </w:p>
    <w:p>
      <w:pPr>
        <w:ind w:right="40"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Dividend Equivalent Right”</w:t>
      </w:r>
      <w:r>
        <w:rPr>
          <w:rFonts w:ascii="Arial" w:cs="Arial" w:eastAsia="Arial" w:hAnsi="Arial"/>
          <w:sz w:val="22"/>
          <w:szCs w:val="22"/>
          <w:color w:val="auto"/>
        </w:rPr>
        <w:t xml:space="preserve"> means an Award entitling the grantee to receive credits based on cash dividends that would have been paid on the shares of Stock specified in the Dividend Equivalent Right (or other award to which it relates) if such shares had been issued to and held by the grantee.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Effective Date</w:t>
      </w:r>
      <w:r>
        <w:rPr>
          <w:rFonts w:ascii="Arial" w:cs="Arial" w:eastAsia="Arial" w:hAnsi="Arial"/>
          <w:sz w:val="22"/>
          <w:szCs w:val="22"/>
          <w:color w:val="auto"/>
        </w:rPr>
        <w:t>” means the date on which the Plan becomes effective as set forth in Section 19.</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Exchange Act</w:t>
      </w:r>
      <w:r>
        <w:rPr>
          <w:rFonts w:ascii="Arial" w:cs="Arial" w:eastAsia="Arial" w:hAnsi="Arial"/>
          <w:sz w:val="19"/>
          <w:szCs w:val="19"/>
          <w:color w:val="auto"/>
        </w:rPr>
        <w:t>” means the U.S. Securities Exchange Act of 1934, as amended, and the rules and regulations thereunder.</w:t>
      </w:r>
    </w:p>
    <w:p>
      <w:pPr>
        <w:spacing w:after="0" w:line="241" w:lineRule="exact"/>
        <w:rPr>
          <w:sz w:val="20"/>
          <w:szCs w:val="20"/>
          <w:color w:val="auto"/>
        </w:rPr>
      </w:pPr>
    </w:p>
    <w:p>
      <w:pPr>
        <w:ind w:firstLine="749"/>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Fair Market Value</w:t>
      </w:r>
      <w:r>
        <w:rPr>
          <w:rFonts w:ascii="Arial" w:cs="Arial" w:eastAsia="Arial" w:hAnsi="Arial"/>
          <w:sz w:val="19"/>
          <w:szCs w:val="19"/>
          <w:color w:val="auto"/>
        </w:rPr>
        <w:t>” of the Stock on any given date means the fair market value of the Stock determined in good faith by the Administrator; provided, however, that if the Stock is listed on The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 provided further, however, that if the date for which Fair Market Value is determined is the Registration Date, the Fair Market Value shall be the “Price to the Public” (or equivalent) set forth on the cover page for the final prospectus relating to the Company’s initial public offering.</w:t>
      </w:r>
    </w:p>
    <w:p>
      <w:pPr>
        <w:spacing w:after="0" w:line="152" w:lineRule="exact"/>
        <w:rPr>
          <w:sz w:val="20"/>
          <w:szCs w:val="20"/>
          <w:color w:val="auto"/>
        </w:rPr>
      </w:pPr>
    </w:p>
    <w:p>
      <w:pPr>
        <w:ind w:right="18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Incentive Stock Option</w:t>
      </w:r>
      <w:r>
        <w:rPr>
          <w:rFonts w:ascii="Arial" w:cs="Arial" w:eastAsia="Arial" w:hAnsi="Arial"/>
          <w:sz w:val="22"/>
          <w:szCs w:val="22"/>
          <w:color w:val="auto"/>
        </w:rPr>
        <w:t>” means any Stock Option designated and qualified as an “incentive stock option” as defined in Section 422 of the Code.</w:t>
      </w:r>
    </w:p>
    <w:p>
      <w:pPr>
        <w:spacing w:after="0" w:line="175" w:lineRule="exact"/>
        <w:rPr>
          <w:sz w:val="20"/>
          <w:szCs w:val="20"/>
          <w:color w:val="auto"/>
        </w:rPr>
      </w:pPr>
    </w:p>
    <w:p>
      <w:pPr>
        <w:ind w:right="960" w:firstLine="803"/>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Non-Employee Director</w:t>
      </w:r>
      <w:r>
        <w:rPr>
          <w:rFonts w:ascii="Arial" w:cs="Arial" w:eastAsia="Arial" w:hAnsi="Arial"/>
          <w:sz w:val="22"/>
          <w:szCs w:val="22"/>
          <w:color w:val="auto"/>
        </w:rPr>
        <w:t>” means a member of the Board who is not also an employee of the Company or any Subsidiary.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Non-Qualified Stock Option</w:t>
      </w:r>
      <w:r>
        <w:rPr>
          <w:rFonts w:ascii="Arial" w:cs="Arial" w:eastAsia="Arial" w:hAnsi="Arial"/>
          <w:sz w:val="22"/>
          <w:szCs w:val="22"/>
          <w:color w:val="auto"/>
        </w:rPr>
        <w:t>” means any Stock Option that is not an Incentive Stock Option.</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1" w:name="page172"/>
    <w:bookmarkEnd w:id="171"/>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Option</w:t>
      </w:r>
      <w:r>
        <w:rPr>
          <w:rFonts w:ascii="Arial" w:cs="Arial" w:eastAsia="Arial" w:hAnsi="Arial"/>
          <w:sz w:val="22"/>
          <w:szCs w:val="22"/>
          <w:color w:val="auto"/>
        </w:rPr>
        <w:t>” or “</w:t>
      </w:r>
      <w:r>
        <w:rPr>
          <w:rFonts w:ascii="Arial" w:cs="Arial" w:eastAsia="Arial" w:hAnsi="Arial"/>
          <w:sz w:val="22"/>
          <w:szCs w:val="22"/>
          <w:i w:val="1"/>
          <w:iCs w:val="1"/>
          <w:color w:val="auto"/>
        </w:rPr>
        <w:t>Stock Option</w:t>
      </w:r>
      <w:r>
        <w:rPr>
          <w:rFonts w:ascii="Arial" w:cs="Arial" w:eastAsia="Arial" w:hAnsi="Arial"/>
          <w:sz w:val="22"/>
          <w:szCs w:val="22"/>
          <w:color w:val="auto"/>
        </w:rPr>
        <w:t>” means any option to purchase shares of Stock granted pursuant to Section 5.</w:t>
      </w:r>
    </w:p>
    <w:p>
      <w:pPr>
        <w:spacing w:after="0" w:line="206" w:lineRule="exact"/>
        <w:rPr>
          <w:sz w:val="20"/>
          <w:szCs w:val="20"/>
          <w:color w:val="auto"/>
        </w:rPr>
      </w:pPr>
    </w:p>
    <w:p>
      <w:pPr>
        <w:ind w:firstLine="749"/>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Registration Date</w:t>
      </w:r>
      <w:r>
        <w:rPr>
          <w:rFonts w:ascii="Arial" w:cs="Arial" w:eastAsia="Arial" w:hAnsi="Arial"/>
          <w:sz w:val="21"/>
          <w:szCs w:val="21"/>
          <w:color w:val="auto"/>
        </w:rPr>
        <w:t>” means the date upon which the registration statement on Form S-1 that is filed by the Company with respect to its initial public offering is declared effective by the U.S. Securities and Exchange Commission.</w:t>
      </w:r>
    </w:p>
    <w:p>
      <w:pPr>
        <w:spacing w:after="0" w:line="151" w:lineRule="exact"/>
        <w:rPr>
          <w:sz w:val="20"/>
          <w:szCs w:val="20"/>
          <w:color w:val="auto"/>
        </w:rPr>
      </w:pPr>
    </w:p>
    <w:p>
      <w:pPr>
        <w:ind w:right="54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Shares</w:t>
      </w:r>
      <w:r>
        <w:rPr>
          <w:rFonts w:ascii="Arial" w:cs="Arial" w:eastAsia="Arial" w:hAnsi="Arial"/>
          <w:sz w:val="22"/>
          <w:szCs w:val="22"/>
          <w:color w:val="auto"/>
        </w:rPr>
        <w:t>” means the shares of Stock underlying a Restricted Stock Award that remain subject to a risk of forfeiture or the Company’s right of repurchase.</w:t>
      </w:r>
    </w:p>
    <w:p>
      <w:pPr>
        <w:spacing w:after="0" w:line="175" w:lineRule="exact"/>
        <w:rPr>
          <w:sz w:val="20"/>
          <w:szCs w:val="20"/>
          <w:color w:val="auto"/>
        </w:rPr>
      </w:pPr>
    </w:p>
    <w:p>
      <w:pPr>
        <w:ind w:right="76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Stock Award</w:t>
      </w:r>
      <w:r>
        <w:rPr>
          <w:rFonts w:ascii="Arial" w:cs="Arial" w:eastAsia="Arial" w:hAnsi="Arial"/>
          <w:sz w:val="22"/>
          <w:szCs w:val="22"/>
          <w:color w:val="auto"/>
        </w:rPr>
        <w:t>” means an Award of Restricted Shares subject to such restrictions and conditions as the Administrator may determine at the time of grant.</w:t>
      </w:r>
    </w:p>
    <w:p>
      <w:pPr>
        <w:spacing w:after="0" w:line="175" w:lineRule="exact"/>
        <w:rPr>
          <w:sz w:val="20"/>
          <w:szCs w:val="20"/>
          <w:color w:val="auto"/>
        </w:rPr>
      </w:pPr>
    </w:p>
    <w:p>
      <w:pPr>
        <w:ind w:right="16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Stock Units</w:t>
      </w:r>
      <w:r>
        <w:rPr>
          <w:rFonts w:ascii="Arial" w:cs="Arial" w:eastAsia="Arial" w:hAnsi="Arial"/>
          <w:sz w:val="22"/>
          <w:szCs w:val="22"/>
          <w:color w:val="auto"/>
        </w:rPr>
        <w:t>” means an Award of stock units subject to such restrictions and conditions as the Administrator may determine at the time of grant.</w:t>
      </w:r>
    </w:p>
    <w:p>
      <w:pPr>
        <w:spacing w:after="0" w:line="175" w:lineRule="exact"/>
        <w:rPr>
          <w:sz w:val="20"/>
          <w:szCs w:val="20"/>
          <w:color w:val="auto"/>
        </w:rPr>
      </w:pPr>
    </w:p>
    <w:p>
      <w:pPr>
        <w:ind w:right="20" w:firstLine="749"/>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Sale Event</w:t>
      </w:r>
      <w:r>
        <w:rPr>
          <w:rFonts w:ascii="Arial" w:cs="Arial" w:eastAsia="Arial" w:hAnsi="Arial"/>
          <w:sz w:val="19"/>
          <w:szCs w:val="19"/>
          <w:color w:val="auto"/>
        </w:rPr>
        <w:t>” shall mean (i) the sale of all or substantially all of the assets of the Company on a consolidated basis to an unrelated person or entity, (ii) the following individuals cease for any reason to constitute a majority of the number of directors then serving on the Board: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then still in office who either were members of the Board on the Effective Date or whose appointment, election or nomination for election was previously so approved (the “Incumbent Directors”); (ii) a merger, reorganization or consolidation with any other corporation or other entity, other than (A) a merger, reorganization or consolidation pursuant to which the holders of the Company’s outstanding voting power and outstanding stock immediately prior to such transaction continue to own a majority of the outstanding voting power and outstanding stock or other equity interests of the resulting or successor entity (or its ultimate parent, if applicable) immediately upon completion of such transaction and (B) the Incumbent Directors continuing immediately thereafter to represent at least a majority of the board of directors of the resulting or successor entity (or its ultimate parent, if applicable),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5015230</wp:posOffset>
            </wp:positionH>
            <wp:positionV relativeFrom="paragraph">
              <wp:posOffset>-2202180</wp:posOffset>
            </wp:positionV>
            <wp:extent cx="342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48" w:lineRule="exact"/>
        <w:rPr>
          <w:sz w:val="20"/>
          <w:szCs w:val="20"/>
          <w:color w:val="auto"/>
        </w:rPr>
      </w:pPr>
    </w:p>
    <w:p>
      <w:pPr>
        <w:ind w:right="66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Sale Price</w:t>
      </w:r>
      <w:r>
        <w:rPr>
          <w:rFonts w:ascii="Arial" w:cs="Arial" w:eastAsia="Arial" w:hAnsi="Arial"/>
          <w:sz w:val="22"/>
          <w:szCs w:val="22"/>
          <w:color w:val="auto"/>
        </w:rPr>
        <w:t>” means the value as determined by the Administrator of the consideration payable, or otherwise to be received by stockholders, per share of Stock pursuant to a Sale Event.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Section 409A</w:t>
      </w:r>
      <w:r>
        <w:rPr>
          <w:rFonts w:ascii="Arial" w:cs="Arial" w:eastAsia="Arial" w:hAnsi="Arial"/>
          <w:sz w:val="19"/>
          <w:szCs w:val="19"/>
          <w:color w:val="auto"/>
        </w:rPr>
        <w:t>” means Section 409A of the Code and the regulations and other guidance promulgated thereunder.</w:t>
      </w:r>
    </w:p>
    <w:p>
      <w:pPr>
        <w:spacing w:after="0" w:line="241" w:lineRule="exact"/>
        <w:rPr>
          <w:sz w:val="20"/>
          <w:szCs w:val="20"/>
          <w:color w:val="auto"/>
        </w:rPr>
      </w:pPr>
    </w:p>
    <w:p>
      <w:pPr>
        <w:ind w:right="18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Service Relationship</w:t>
      </w:r>
      <w:r>
        <w:rPr>
          <w:rFonts w:ascii="Arial" w:cs="Arial" w:eastAsia="Arial" w:hAnsi="Arial"/>
          <w:sz w:val="22"/>
          <w:szCs w:val="22"/>
          <w:color w:val="auto"/>
        </w:rPr>
        <w:t>” means any relationship as an employee, Non-Employee Director or Consultant of the Company or any Affiliate. Unless as otherwise set forth in the Award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72" w:name="page173"/>
    <w:bookmarkEnd w:id="172"/>
    <w:p>
      <w:pPr>
        <w:jc w:val="both"/>
        <w:ind w:right="140"/>
        <w:spacing w:after="0" w:line="238" w:lineRule="auto"/>
        <w:rPr>
          <w:sz w:val="20"/>
          <w:szCs w:val="20"/>
          <w:color w:val="auto"/>
        </w:rPr>
      </w:pPr>
      <w:r>
        <w:rPr>
          <w:rFonts w:ascii="Arial" w:cs="Arial" w:eastAsia="Arial" w:hAnsi="Arial"/>
          <w:sz w:val="22"/>
          <w:szCs w:val="22"/>
          <w:color w:val="auto"/>
        </w:rPr>
        <w:t>Agreement, a Service Relationship shall be deemed to continue without interruption in the event a grantee’s status changes from full-time employee to part-time employee or a grantee’s status changes from employee to Consultant or Non-Employee Director or vice versa, provided that there is no interruption or other termination of Service Relationship in connection with the grantee’s change in capacity.</w:t>
      </w:r>
    </w:p>
    <w:p>
      <w:pPr>
        <w:spacing w:after="0" w:line="185" w:lineRule="exact"/>
        <w:rPr>
          <w:sz w:val="20"/>
          <w:szCs w:val="20"/>
          <w:color w:val="auto"/>
        </w:rPr>
      </w:pPr>
    </w:p>
    <w:p>
      <w:pPr>
        <w:ind w:right="56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Stock</w:t>
      </w:r>
      <w:r>
        <w:rPr>
          <w:rFonts w:ascii="Arial" w:cs="Arial" w:eastAsia="Arial" w:hAnsi="Arial"/>
          <w:sz w:val="22"/>
          <w:szCs w:val="22"/>
          <w:color w:val="auto"/>
        </w:rPr>
        <w:t>” means the Common Stock, par value $0.001 per share, of the Company, subject to adjustments pursuant to Section 3.</w:t>
      </w:r>
    </w:p>
    <w:p>
      <w:pPr>
        <w:spacing w:after="0" w:line="175" w:lineRule="exact"/>
        <w:rPr>
          <w:sz w:val="20"/>
          <w:szCs w:val="20"/>
          <w:color w:val="auto"/>
        </w:rPr>
      </w:pPr>
    </w:p>
    <w:p>
      <w:pPr>
        <w:ind w:right="80"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Stock Appreciation Right</w:t>
      </w:r>
      <w:r>
        <w:rPr>
          <w:rFonts w:ascii="Arial" w:cs="Arial" w:eastAsia="Arial" w:hAnsi="Arial"/>
          <w:sz w:val="22"/>
          <w:szCs w:val="22"/>
          <w:color w:val="auto"/>
        </w:rPr>
        <w:t>” means an Award entitling the recipient to receive shares of Stock (or cash, to the extent explicitly provided for in the 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85" w:lineRule="exact"/>
        <w:rPr>
          <w:sz w:val="20"/>
          <w:szCs w:val="20"/>
          <w:color w:val="auto"/>
        </w:rPr>
      </w:pPr>
    </w:p>
    <w:p>
      <w:pPr>
        <w:ind w:right="36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means any corporation or other entity (other than the Company) in which the Company has at least a 50 percent interest, either directly or indirectly.</w:t>
      </w:r>
    </w:p>
    <w:p>
      <w:pPr>
        <w:spacing w:after="0" w:line="175" w:lineRule="exact"/>
        <w:rPr>
          <w:sz w:val="20"/>
          <w:szCs w:val="20"/>
          <w:color w:val="auto"/>
        </w:rPr>
      </w:pPr>
    </w:p>
    <w:p>
      <w:pPr>
        <w:jc w:val="both"/>
        <w:ind w:right="200"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Ten Percent Owner</w:t>
      </w:r>
      <w:r>
        <w:rPr>
          <w:rFonts w:ascii="Arial" w:cs="Arial" w:eastAsia="Arial" w:hAnsi="Arial"/>
          <w:sz w:val="22"/>
          <w:szCs w:val="22"/>
          <w:color w:val="auto"/>
        </w:rPr>
        <w:t>” means an employee who owns or is deemed to own (by reason of the attribution rules of Section 424(d) of the Code) more than 10 percent of the combined voting power of all classes of stock of the Company or any parent or subsidiary corporation.</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Stock Award</w:t>
      </w:r>
      <w:r>
        <w:rPr>
          <w:rFonts w:ascii="Arial" w:cs="Arial" w:eastAsia="Arial" w:hAnsi="Arial"/>
          <w:sz w:val="22"/>
          <w:szCs w:val="22"/>
          <w:color w:val="auto"/>
        </w:rPr>
        <w:t>” means an Award of shares of Stock free of any restrictions.</w:t>
      </w:r>
    </w:p>
    <w:p>
      <w:pPr>
        <w:spacing w:after="0" w:line="206" w:lineRule="exact"/>
        <w:rPr>
          <w:sz w:val="20"/>
          <w:szCs w:val="20"/>
          <w:color w:val="auto"/>
        </w:rPr>
      </w:pPr>
    </w:p>
    <w:p>
      <w:pPr>
        <w:ind w:left="1500" w:right="1120" w:hanging="1497"/>
        <w:spacing w:after="0" w:line="250"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ADMINISTRATION OF PLAN; ADMINISTRATOR AUTHORITY TO SELECT GRANTEES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DETERMINE AWARDS</w:t>
      </w:r>
    </w:p>
    <w:p>
      <w:pPr>
        <w:spacing w:after="0" w:line="175" w:lineRule="exact"/>
        <w:rPr>
          <w:sz w:val="20"/>
          <w:szCs w:val="20"/>
          <w:color w:val="auto"/>
        </w:rPr>
      </w:pPr>
    </w:p>
    <w:p>
      <w:pPr>
        <w:ind w:left="1160" w:hanging="403"/>
        <w:spacing w:after="0"/>
        <w:tabs>
          <w:tab w:leader="none" w:pos="116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Administration of Plan</w:t>
      </w:r>
      <w:r>
        <w:rPr>
          <w:rFonts w:ascii="Arial" w:cs="Arial" w:eastAsia="Arial" w:hAnsi="Arial"/>
          <w:sz w:val="22"/>
          <w:szCs w:val="22"/>
          <w:color w:val="auto"/>
        </w:rPr>
        <w:t>. The Plan shall be administered by the Administrator.</w:t>
      </w:r>
    </w:p>
    <w:p>
      <w:pPr>
        <w:spacing w:after="0" w:line="206" w:lineRule="exact"/>
        <w:rPr>
          <w:rFonts w:ascii="Arial" w:cs="Arial" w:eastAsia="Arial" w:hAnsi="Arial"/>
          <w:sz w:val="22"/>
          <w:szCs w:val="22"/>
          <w:color w:val="auto"/>
        </w:rPr>
      </w:pPr>
    </w:p>
    <w:p>
      <w:pPr>
        <w:ind w:right="80" w:firstLine="757"/>
        <w:spacing w:after="0" w:line="250" w:lineRule="auto"/>
        <w:tabs>
          <w:tab w:leader="none" w:pos="1109"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Powers of Administrator</w:t>
      </w:r>
      <w:r>
        <w:rPr>
          <w:rFonts w:ascii="Arial" w:cs="Arial" w:eastAsia="Arial" w:hAnsi="Arial"/>
          <w:sz w:val="22"/>
          <w:szCs w:val="22"/>
          <w:color w:val="auto"/>
        </w:rPr>
        <w:t>. The Administrator shall have the power and authority to grant Awards consistent with the terms of the Plan, including the power and authority:</w:t>
      </w:r>
    </w:p>
    <w:p>
      <w:pPr>
        <w:spacing w:after="0" w:line="175" w:lineRule="exact"/>
        <w:rPr>
          <w:sz w:val="20"/>
          <w:szCs w:val="20"/>
          <w:color w:val="auto"/>
        </w:rPr>
      </w:pPr>
    </w:p>
    <w:p>
      <w:pPr>
        <w:ind w:left="1500"/>
        <w:spacing w:after="0"/>
        <w:tabs>
          <w:tab w:leader="none" w:pos="30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to select the individuals to whom Awards may from time to time be granted;</w:t>
      </w:r>
    </w:p>
    <w:p>
      <w:pPr>
        <w:spacing w:after="0" w:line="206" w:lineRule="exact"/>
        <w:rPr>
          <w:sz w:val="20"/>
          <w:szCs w:val="20"/>
          <w:color w:val="auto"/>
        </w:rPr>
      </w:pPr>
    </w:p>
    <w:p>
      <w:pPr>
        <w:ind w:right="180" w:firstLine="1505"/>
        <w:spacing w:after="0" w:line="238" w:lineRule="auto"/>
        <w:tabs>
          <w:tab w:leader="none" w:pos="3049" w:val="left"/>
        </w:tabs>
        <w:numPr>
          <w:ilvl w:val="0"/>
          <w:numId w:val="90"/>
        </w:numPr>
        <w:rPr>
          <w:rFonts w:ascii="Arial" w:cs="Arial" w:eastAsia="Arial" w:hAnsi="Arial"/>
          <w:sz w:val="22"/>
          <w:szCs w:val="22"/>
          <w:color w:val="auto"/>
        </w:rPr>
      </w:pPr>
      <w:r>
        <w:rPr>
          <w:rFonts w:ascii="Arial" w:cs="Arial" w:eastAsia="Arial" w:hAnsi="Arial"/>
          <w:sz w:val="22"/>
          <w:szCs w:val="22"/>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84" w:lineRule="exact"/>
        <w:rPr>
          <w:rFonts w:ascii="Arial" w:cs="Arial" w:eastAsia="Arial" w:hAnsi="Arial"/>
          <w:sz w:val="22"/>
          <w:szCs w:val="22"/>
          <w:color w:val="auto"/>
        </w:rPr>
      </w:pPr>
    </w:p>
    <w:p>
      <w:pPr>
        <w:ind w:left="3060" w:hanging="1555"/>
        <w:spacing w:after="0"/>
        <w:tabs>
          <w:tab w:leader="none" w:pos="30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to determine the number of shares of Stock to be covered by any Award;</w:t>
      </w:r>
    </w:p>
    <w:p>
      <w:pPr>
        <w:spacing w:after="0" w:line="206" w:lineRule="exact"/>
        <w:rPr>
          <w:rFonts w:ascii="Arial" w:cs="Arial" w:eastAsia="Arial" w:hAnsi="Arial"/>
          <w:sz w:val="22"/>
          <w:szCs w:val="22"/>
          <w:color w:val="auto"/>
        </w:rPr>
      </w:pPr>
    </w:p>
    <w:p>
      <w:pPr>
        <w:ind w:right="220" w:firstLine="1505"/>
        <w:spacing w:after="0"/>
        <w:tabs>
          <w:tab w:leader="none" w:pos="3049" w:val="left"/>
        </w:tabs>
        <w:numPr>
          <w:ilvl w:val="0"/>
          <w:numId w:val="90"/>
        </w:numPr>
        <w:rPr>
          <w:rFonts w:ascii="Arial" w:cs="Arial" w:eastAsia="Arial" w:hAnsi="Arial"/>
          <w:sz w:val="22"/>
          <w:szCs w:val="22"/>
          <w:color w:val="auto"/>
        </w:rPr>
      </w:pPr>
      <w:r>
        <w:rPr>
          <w:rFonts w:ascii="Arial" w:cs="Arial" w:eastAsia="Arial" w:hAnsi="Arial"/>
          <w:sz w:val="22"/>
          <w:szCs w:val="22"/>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Agreements;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00" w:type="dxa"/>
            <w:vAlign w:val="bottom"/>
          </w:tcPr>
          <w:p>
            <w:pPr>
              <w:ind w:left="1500"/>
              <w:spacing w:after="0"/>
              <w:rPr>
                <w:sz w:val="20"/>
                <w:szCs w:val="20"/>
                <w:color w:val="auto"/>
              </w:rPr>
            </w:pPr>
            <w:r>
              <w:rPr>
                <w:rFonts w:ascii="Arial" w:cs="Arial" w:eastAsia="Arial" w:hAnsi="Arial"/>
                <w:sz w:val="22"/>
                <w:szCs w:val="22"/>
                <w:color w:val="auto"/>
              </w:rPr>
              <w:t>(v)</w:t>
            </w:r>
          </w:p>
        </w:tc>
        <w:tc>
          <w:tcPr>
            <w:tcW w:w="8840" w:type="dxa"/>
            <w:vAlign w:val="bottom"/>
          </w:tcPr>
          <w:p>
            <w:pPr>
              <w:jc w:val="right"/>
              <w:ind w:right="472"/>
              <w:spacing w:after="0"/>
              <w:rPr>
                <w:sz w:val="20"/>
                <w:szCs w:val="20"/>
                <w:color w:val="auto"/>
              </w:rPr>
            </w:pPr>
            <w:r>
              <w:rPr>
                <w:rFonts w:ascii="Arial" w:cs="Arial" w:eastAsia="Arial" w:hAnsi="Arial"/>
                <w:sz w:val="22"/>
                <w:szCs w:val="22"/>
                <w:color w:val="auto"/>
                <w:w w:val="97"/>
              </w:rPr>
              <w:t>to accelerate at any time the exercisability or vesting of all or any portion of any Award;</w:t>
            </w:r>
          </w:p>
        </w:tc>
      </w:tr>
      <w:tr>
        <w:trPr>
          <w:trHeight w:val="274"/>
        </w:trPr>
        <w:tc>
          <w:tcPr>
            <w:tcW w:w="2400" w:type="dxa"/>
            <w:vAlign w:val="bottom"/>
          </w:tcPr>
          <w:p>
            <w:pPr>
              <w:spacing w:after="0"/>
              <w:rPr>
                <w:sz w:val="23"/>
                <w:szCs w:val="23"/>
                <w:color w:val="auto"/>
              </w:rPr>
            </w:pPr>
          </w:p>
        </w:tc>
        <w:tc>
          <w:tcPr>
            <w:tcW w:w="8840" w:type="dxa"/>
            <w:vAlign w:val="bottom"/>
          </w:tcPr>
          <w:p>
            <w:pPr>
              <w:jc w:val="right"/>
              <w:ind w:right="5452"/>
              <w:spacing w:after="0"/>
              <w:rPr>
                <w:sz w:val="20"/>
                <w:szCs w:val="20"/>
                <w:color w:val="auto"/>
              </w:rPr>
            </w:pPr>
            <w:r>
              <w:rPr>
                <w:rFonts w:ascii="Arial" w:cs="Arial" w:eastAsia="Arial" w:hAnsi="Arial"/>
                <w:sz w:val="22"/>
                <w:szCs w:val="22"/>
                <w:color w:val="auto"/>
              </w:rPr>
              <w:t>4</w:t>
            </w:r>
          </w:p>
        </w:tc>
      </w:tr>
      <w:tr>
        <w:trPr>
          <w:trHeight w:val="348"/>
        </w:trPr>
        <w:tc>
          <w:tcPr>
            <w:tcW w:w="2400" w:type="dxa"/>
            <w:vAlign w:val="bottom"/>
            <w:tcBorders>
              <w:bottom w:val="single" w:sz="8" w:color="9A9A9A"/>
            </w:tcBorders>
          </w:tcPr>
          <w:p>
            <w:pPr>
              <w:spacing w:after="0"/>
              <w:rPr>
                <w:sz w:val="24"/>
                <w:szCs w:val="24"/>
                <w:color w:val="auto"/>
              </w:rPr>
            </w:pPr>
          </w:p>
        </w:tc>
        <w:tc>
          <w:tcPr>
            <w:tcW w:w="8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3" w:name="page174"/>
    <w:bookmarkEnd w:id="173"/>
    <w:p>
      <w:pPr>
        <w:ind w:left="3060" w:hanging="1555"/>
        <w:spacing w:after="0"/>
        <w:tabs>
          <w:tab w:leader="none" w:pos="3060" w:val="left"/>
        </w:tabs>
        <w:numPr>
          <w:ilvl w:val="0"/>
          <w:numId w:val="91"/>
        </w:numPr>
        <w:rPr>
          <w:rFonts w:ascii="Arial" w:cs="Arial" w:eastAsia="Arial" w:hAnsi="Arial"/>
          <w:sz w:val="21"/>
          <w:szCs w:val="21"/>
          <w:color w:val="auto"/>
        </w:rPr>
      </w:pPr>
      <w:r>
        <w:rPr>
          <w:rFonts w:ascii="Arial" w:cs="Arial" w:eastAsia="Arial" w:hAnsi="Arial"/>
          <w:sz w:val="21"/>
          <w:szCs w:val="21"/>
          <w:color w:val="auto"/>
        </w:rPr>
        <w:t>subject to the provisions of Section 5(c), to extend at any time the period in which Stock</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Options may be exercised; and</w:t>
      </w:r>
    </w:p>
    <w:p>
      <w:pPr>
        <w:spacing w:after="0" w:line="188" w:lineRule="exact"/>
        <w:rPr>
          <w:rFonts w:ascii="Arial" w:cs="Arial" w:eastAsia="Arial" w:hAnsi="Arial"/>
          <w:sz w:val="21"/>
          <w:szCs w:val="21"/>
          <w:color w:val="auto"/>
        </w:rPr>
      </w:pPr>
    </w:p>
    <w:p>
      <w:pPr>
        <w:jc w:val="both"/>
        <w:ind w:firstLine="1505"/>
        <w:spacing w:after="0" w:line="287" w:lineRule="auto"/>
        <w:tabs>
          <w:tab w:leader="none" w:pos="3049" w:val="left"/>
        </w:tabs>
        <w:numPr>
          <w:ilvl w:val="0"/>
          <w:numId w:val="91"/>
        </w:numPr>
        <w:rPr>
          <w:rFonts w:ascii="Arial" w:cs="Arial" w:eastAsia="Arial" w:hAnsi="Arial"/>
          <w:sz w:val="19"/>
          <w:szCs w:val="19"/>
          <w:color w:val="auto"/>
        </w:rPr>
      </w:pPr>
      <w:r>
        <w:rPr>
          <w:rFonts w:ascii="Arial" w:cs="Arial" w:eastAsia="Arial" w:hAnsi="Arial"/>
          <w:sz w:val="19"/>
          <w:szCs w:val="19"/>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43"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All decisions and interpretations of the Administrator shall be final, binding, and conclusive on all persons, including the Company and Plan grantees.</w:t>
      </w:r>
    </w:p>
    <w:p>
      <w:pPr>
        <w:spacing w:after="0" w:line="175" w:lineRule="exact"/>
        <w:rPr>
          <w:sz w:val="20"/>
          <w:szCs w:val="20"/>
          <w:color w:val="auto"/>
        </w:rPr>
      </w:pPr>
    </w:p>
    <w:p>
      <w:pPr>
        <w:ind w:right="40" w:firstLine="757"/>
        <w:spacing w:after="0" w:line="275" w:lineRule="auto"/>
        <w:tabs>
          <w:tab w:leader="none" w:pos="1096"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Delegation of Authority to Grant Awards</w:t>
      </w:r>
      <w:r>
        <w:rPr>
          <w:rFonts w:ascii="Arial" w:cs="Arial" w:eastAsia="Arial" w:hAnsi="Arial"/>
          <w:sz w:val="19"/>
          <w:szCs w:val="19"/>
          <w:color w:val="auto"/>
        </w:rPr>
        <w:t>. Subject to applicable law, the Administrator, in its discretion, may delegate to a committee consisting of one or more officers of the Company including the Chief Executive Office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57" w:lineRule="exact"/>
        <w:rPr>
          <w:rFonts w:ascii="Arial" w:cs="Arial" w:eastAsia="Arial" w:hAnsi="Arial"/>
          <w:sz w:val="19"/>
          <w:szCs w:val="19"/>
          <w:color w:val="auto"/>
        </w:rPr>
      </w:pPr>
    </w:p>
    <w:p>
      <w:pPr>
        <w:jc w:val="both"/>
        <w:ind w:right="660" w:firstLine="757"/>
        <w:spacing w:after="0"/>
        <w:tabs>
          <w:tab w:leader="none" w:pos="1109"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Award Agreement</w:t>
      </w:r>
      <w:r>
        <w:rPr>
          <w:rFonts w:ascii="Arial" w:cs="Arial" w:eastAsia="Arial" w:hAnsi="Arial"/>
          <w:sz w:val="22"/>
          <w:szCs w:val="22"/>
          <w:color w:val="auto"/>
        </w:rPr>
        <w:t>. Awards under the Plan shall be evidenced by Award Agreements that set forth the terms, conditions and limitations for each Award which may include, without limitation, the term of an Award and the provisions applicable in the event the Service Relationship terminates.</w:t>
      </w:r>
    </w:p>
    <w:p>
      <w:pPr>
        <w:spacing w:after="0" w:line="186" w:lineRule="exact"/>
        <w:rPr>
          <w:rFonts w:ascii="Arial" w:cs="Arial" w:eastAsia="Arial" w:hAnsi="Arial"/>
          <w:sz w:val="22"/>
          <w:szCs w:val="22"/>
          <w:color w:val="auto"/>
        </w:rPr>
      </w:pPr>
    </w:p>
    <w:p>
      <w:pPr>
        <w:ind w:firstLine="757"/>
        <w:spacing w:after="0" w:line="246" w:lineRule="auto"/>
        <w:tabs>
          <w:tab w:leader="none" w:pos="1096"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84" w:lineRule="exact"/>
        <w:rPr>
          <w:rFonts w:ascii="Arial" w:cs="Arial" w:eastAsia="Arial" w:hAnsi="Arial"/>
          <w:sz w:val="21"/>
          <w:szCs w:val="21"/>
          <w:color w:val="auto"/>
        </w:rPr>
      </w:pPr>
    </w:p>
    <w:p>
      <w:pPr>
        <w:ind w:right="80" w:firstLine="757"/>
        <w:spacing w:after="0" w:line="233" w:lineRule="auto"/>
        <w:tabs>
          <w:tab w:leader="none" w:pos="1073"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Foreign Award Recipients</w:t>
      </w:r>
      <w:r>
        <w:rPr>
          <w:rFonts w:ascii="Arial" w:cs="Arial" w:eastAsia="Arial" w:hAnsi="Arial"/>
          <w:sz w:val="22"/>
          <w:szCs w:val="22"/>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74" w:name="page175"/>
    <w:bookmarkEnd w:id="174"/>
    <w:p>
      <w:pPr>
        <w:ind w:right="120"/>
        <w:spacing w:after="0" w:line="277" w:lineRule="auto"/>
        <w:rPr>
          <w:sz w:val="20"/>
          <w:szCs w:val="20"/>
          <w:color w:val="auto"/>
        </w:rPr>
      </w:pPr>
      <w:r>
        <w:rPr>
          <w:rFonts w:ascii="Arial" w:cs="Arial" w:eastAsia="Arial" w:hAnsi="Arial"/>
          <w:sz w:val="19"/>
          <w:szCs w:val="19"/>
          <w:color w:val="auto"/>
        </w:rPr>
        <w:t>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STOCK ISSUABLE UNDER THE PLAN; MERGERS; SUBSTITUTION</w:t>
      </w:r>
    </w:p>
    <w:p>
      <w:pPr>
        <w:spacing w:after="0" w:line="206" w:lineRule="exact"/>
        <w:rPr>
          <w:sz w:val="20"/>
          <w:szCs w:val="20"/>
          <w:color w:val="auto"/>
        </w:rPr>
      </w:pPr>
    </w:p>
    <w:p>
      <w:pPr>
        <w:ind w:firstLine="757"/>
        <w:spacing w:after="0" w:line="270" w:lineRule="auto"/>
        <w:tabs>
          <w:tab w:leader="none" w:pos="1096"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Stock Issuable</w:t>
      </w:r>
      <w:r>
        <w:rPr>
          <w:rFonts w:ascii="Arial" w:cs="Arial" w:eastAsia="Arial" w:hAnsi="Arial"/>
          <w:sz w:val="19"/>
          <w:szCs w:val="19"/>
          <w:color w:val="auto"/>
        </w:rPr>
        <w:t>. The maximum number of shares of Stock reserved and available for issuance under the Plan shall be 8,376,080 shares (the “Initial Limit”), subject to adjustment as provided in this Section 3, plus on January 1, 2021 and on each January 1 thereafter, the number of shares of Stock reserved and available for issuance under the Plan shall be cumulatively increased by five percent (5%) percent of the number of shares of Common Stock issued and outstanding on the immediately preceding December 31, or such lesser number of shares as approved by the Administrator, in all cases subject to adjustment as provided in this Section 3(c) (the “Annual Increase”). Subject to such overall limitation, the maximum aggregate number of shares of Stock that may be issued in the form of Incentive Stock Options shall not exceed the Initial Limit cumulatively increased on January 1, 2021 and on each January 1 thereafter by the lesser of the Annual Increase for such year or 8,376,080 shares of Stock, subject in all cases to adjustment as provided in Section 3(c). For purposes of this limitation, the shares of Stock underlying any awards under the Plan and the shares of Common Stock of the Company underlying the Company’s 2016 Stock Option and Grant Plan, as amended,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65" w:lineRule="exact"/>
        <w:rPr>
          <w:rFonts w:ascii="Arial" w:cs="Arial" w:eastAsia="Arial" w:hAnsi="Arial"/>
          <w:sz w:val="19"/>
          <w:szCs w:val="19"/>
          <w:color w:val="auto"/>
        </w:rPr>
      </w:pPr>
    </w:p>
    <w:p>
      <w:pPr>
        <w:ind w:right="20" w:firstLine="757"/>
        <w:spacing w:after="0" w:line="279" w:lineRule="auto"/>
        <w:tabs>
          <w:tab w:leader="none" w:pos="1109"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Maximum Awards to Non-Employee Directors</w:t>
      </w:r>
      <w:r>
        <w:rPr>
          <w:rFonts w:ascii="Arial" w:cs="Arial" w:eastAsia="Arial" w:hAnsi="Arial"/>
          <w:sz w:val="19"/>
          <w:szCs w:val="19"/>
          <w:color w:val="auto"/>
        </w:rPr>
        <w:t>. Notwithstanding anything to the contrary in this Plan, the value of all Awards awarded under this Plan and all other cash compensation paid by the Company to any Non-Employee Director in any calendar year for his or her services as a Non-Employee Director shall not exceed: (i) $1,000,000 in the first calendar year an individual becomes a Non-Employee Director and (ii) $750,000 in any other calendar year. For the purpose of this limitation, the value of any Award shall be its grant date fair value, as determined in accordance with ASC 718 or successor provision but excluding the impact of estimated forfeitures related to service-based vesting provisions.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75" w:name="page176"/>
    <w:bookmarkEnd w:id="175"/>
    <w:p>
      <w:pPr>
        <w:ind w:left="-20" w:right="20" w:firstLine="757"/>
        <w:spacing w:after="0" w:line="270" w:lineRule="auto"/>
        <w:tabs>
          <w:tab w:leader="none" w:pos="107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Changes in Stock</w:t>
      </w:r>
      <w:r>
        <w:rPr>
          <w:rFonts w:ascii="Arial" w:cs="Arial" w:eastAsia="Arial" w:hAnsi="Arial"/>
          <w:sz w:val="19"/>
          <w:szCs w:val="19"/>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left="-20" w:firstLine="757"/>
        <w:spacing w:after="0" w:line="270" w:lineRule="auto"/>
        <w:tabs>
          <w:tab w:leader="none" w:pos="1089"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Mergers and Other Transactions</w:t>
      </w:r>
      <w:r>
        <w:rPr>
          <w:rFonts w:ascii="Arial" w:cs="Arial" w:eastAsia="Arial" w:hAnsi="Arial"/>
          <w:sz w:val="19"/>
          <w:szCs w:val="19"/>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217170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1" w:right="339" w:bottom="1440" w:gutter="0" w:footer="0" w:header="0"/>
        </w:sectPr>
      </w:pPr>
    </w:p>
    <w:bookmarkStart w:id="176" w:name="page177"/>
    <w:bookmarkEnd w:id="176"/>
    <w:p>
      <w:pPr>
        <w:ind w:right="240"/>
        <w:spacing w:after="0" w:line="279" w:lineRule="auto"/>
        <w:rPr>
          <w:sz w:val="20"/>
          <w:szCs w:val="20"/>
          <w:color w:val="auto"/>
        </w:rPr>
      </w:pPr>
      <w:r>
        <w:rPr>
          <w:rFonts w:ascii="Arial" w:cs="Arial" w:eastAsia="Arial" w:hAnsi="Arial"/>
          <w:sz w:val="19"/>
          <w:szCs w:val="19"/>
          <w:color w:val="auto"/>
        </w:rPr>
        <w:t>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ELIGIBILITY</w:t>
      </w:r>
    </w:p>
    <w:p>
      <w:pPr>
        <w:spacing w:after="0" w:line="206" w:lineRule="exact"/>
        <w:rPr>
          <w:sz w:val="20"/>
          <w:szCs w:val="20"/>
          <w:color w:val="auto"/>
        </w:rPr>
      </w:pPr>
    </w:p>
    <w:p>
      <w:pPr>
        <w:ind w:firstLine="749"/>
        <w:spacing w:after="0" w:line="282" w:lineRule="auto"/>
        <w:rPr>
          <w:sz w:val="20"/>
          <w:szCs w:val="20"/>
          <w:color w:val="auto"/>
        </w:rPr>
      </w:pPr>
      <w:r>
        <w:rPr>
          <w:rFonts w:ascii="Arial" w:cs="Arial" w:eastAsia="Arial" w:hAnsi="Arial"/>
          <w:sz w:val="19"/>
          <w:szCs w:val="19"/>
          <w:color w:val="auto"/>
        </w:rPr>
        <w:t>Grantees under the Plan will be such employees, Non-Employee Directors or Consultants of the Company and its Affiliates as are selected from time to time by the Administrator in its sole discretion; provided that Awards may not be granted to employees, Non-Employee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STOCK OPTIONS</w:t>
      </w:r>
    </w:p>
    <w:p>
      <w:pPr>
        <w:spacing w:after="0" w:line="206" w:lineRule="exact"/>
        <w:rPr>
          <w:sz w:val="20"/>
          <w:szCs w:val="20"/>
          <w:color w:val="auto"/>
        </w:rPr>
      </w:pPr>
    </w:p>
    <w:p>
      <w:pPr>
        <w:ind w:right="340" w:firstLine="757"/>
        <w:spacing w:after="0" w:line="250" w:lineRule="auto"/>
        <w:tabs>
          <w:tab w:leader="none" w:pos="1096"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Award of Stock Options</w:t>
      </w:r>
      <w:r>
        <w:rPr>
          <w:rFonts w:ascii="Arial" w:cs="Arial" w:eastAsia="Arial" w:hAnsi="Arial"/>
          <w:sz w:val="22"/>
          <w:szCs w:val="22"/>
          <w:color w:val="auto"/>
        </w:rPr>
        <w:t>. The Administrator may grant Stock Options under the Plan. Any Stock Option granted under the Plan shall be in such form as the Administrator may from time to time approve.</w:t>
      </w:r>
    </w:p>
    <w:p>
      <w:pPr>
        <w:spacing w:after="0" w:line="175" w:lineRule="exact"/>
        <w:rPr>
          <w:sz w:val="20"/>
          <w:szCs w:val="20"/>
          <w:color w:val="auto"/>
        </w:rPr>
      </w:pPr>
    </w:p>
    <w:p>
      <w:pPr>
        <w:ind w:right="80" w:firstLine="749"/>
        <w:spacing w:after="0" w:line="238" w:lineRule="auto"/>
        <w:rPr>
          <w:sz w:val="20"/>
          <w:szCs w:val="20"/>
          <w:color w:val="auto"/>
        </w:rPr>
      </w:pPr>
      <w:r>
        <w:rPr>
          <w:rFonts w:ascii="Arial" w:cs="Arial" w:eastAsia="Arial" w:hAnsi="Arial"/>
          <w:sz w:val="22"/>
          <w:szCs w:val="22"/>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85" w:lineRule="exact"/>
        <w:rPr>
          <w:sz w:val="20"/>
          <w:szCs w:val="20"/>
          <w:color w:val="auto"/>
        </w:rPr>
      </w:pPr>
    </w:p>
    <w:p>
      <w:pPr>
        <w:ind w:firstLine="749"/>
        <w:spacing w:after="0" w:line="238" w:lineRule="auto"/>
        <w:rPr>
          <w:sz w:val="20"/>
          <w:szCs w:val="20"/>
          <w:color w:val="auto"/>
        </w:rPr>
      </w:pPr>
      <w:r>
        <w:rPr>
          <w:rFonts w:ascii="Arial" w:cs="Arial" w:eastAsia="Arial" w:hAnsi="Arial"/>
          <w:sz w:val="22"/>
          <w:szCs w:val="22"/>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85" w:lineRule="exact"/>
        <w:rPr>
          <w:sz w:val="20"/>
          <w:szCs w:val="20"/>
          <w:color w:val="auto"/>
        </w:rPr>
      </w:pPr>
    </w:p>
    <w:p>
      <w:pPr>
        <w:ind w:right="40" w:firstLine="757"/>
        <w:spacing w:after="0" w:line="246" w:lineRule="auto"/>
        <w:tabs>
          <w:tab w:leader="none" w:pos="1109"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Exercise Price</w:t>
      </w:r>
      <w:r>
        <w:rPr>
          <w:rFonts w:ascii="Arial" w:cs="Arial" w:eastAsia="Arial" w:hAnsi="Arial"/>
          <w:sz w:val="21"/>
          <w:szCs w:val="21"/>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date of grant.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7" w:name="page178"/>
    <w:bookmarkEnd w:id="177"/>
    <w:p>
      <w:pPr>
        <w:ind w:right="520" w:firstLine="757"/>
        <w:spacing w:after="0" w:line="297" w:lineRule="auto"/>
        <w:tabs>
          <w:tab w:leader="none" w:pos="1096"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Option Term</w:t>
      </w:r>
      <w:r>
        <w:rPr>
          <w:rFonts w:ascii="Arial" w:cs="Arial" w:eastAsia="Arial" w:hAnsi="Arial"/>
          <w:sz w:val="19"/>
          <w:szCs w:val="19"/>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33" w:lineRule="exact"/>
        <w:rPr>
          <w:rFonts w:ascii="Arial" w:cs="Arial" w:eastAsia="Arial" w:hAnsi="Arial"/>
          <w:sz w:val="19"/>
          <w:szCs w:val="19"/>
          <w:color w:val="auto"/>
        </w:rPr>
      </w:pPr>
    </w:p>
    <w:p>
      <w:pPr>
        <w:ind w:right="80" w:firstLine="757"/>
        <w:spacing w:after="0" w:line="287" w:lineRule="auto"/>
        <w:tabs>
          <w:tab w:leader="none" w:pos="1109"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Exercisability; Rights of a Stockholder</w:t>
      </w:r>
      <w:r>
        <w:rPr>
          <w:rFonts w:ascii="Arial" w:cs="Arial" w:eastAsia="Arial" w:hAnsi="Arial"/>
          <w:sz w:val="19"/>
          <w:szCs w:val="19"/>
          <w:color w:val="auto"/>
        </w:rPr>
        <w:t>. Stock Options shall become exercisable at such time or times, whether or not in installments, as shall be determined by the Administrator at or after the date of grant.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42" w:lineRule="exact"/>
        <w:rPr>
          <w:rFonts w:ascii="Arial" w:cs="Arial" w:eastAsia="Arial" w:hAnsi="Arial"/>
          <w:sz w:val="19"/>
          <w:szCs w:val="19"/>
          <w:color w:val="auto"/>
        </w:rPr>
      </w:pPr>
    </w:p>
    <w:p>
      <w:pPr>
        <w:ind w:right="160" w:firstLine="757"/>
        <w:spacing w:after="0" w:line="297" w:lineRule="auto"/>
        <w:tabs>
          <w:tab w:leader="none" w:pos="1096"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Agreement:</w:t>
      </w:r>
    </w:p>
    <w:p>
      <w:pPr>
        <w:spacing w:after="0" w:line="133" w:lineRule="exact"/>
        <w:rPr>
          <w:rFonts w:ascii="Arial" w:cs="Arial" w:eastAsia="Arial" w:hAnsi="Arial"/>
          <w:sz w:val="19"/>
          <w:szCs w:val="19"/>
          <w:color w:val="auto"/>
        </w:rPr>
      </w:pPr>
    </w:p>
    <w:p>
      <w:pPr>
        <w:ind w:left="1500" w:hanging="369"/>
        <w:spacing w:after="0"/>
        <w:tabs>
          <w:tab w:leader="none" w:pos="1500" w:val="left"/>
        </w:tabs>
        <w:numPr>
          <w:ilvl w:val="1"/>
          <w:numId w:val="97"/>
        </w:numPr>
        <w:rPr>
          <w:rFonts w:ascii="Arial" w:cs="Arial" w:eastAsia="Arial" w:hAnsi="Arial"/>
          <w:sz w:val="22"/>
          <w:szCs w:val="22"/>
          <w:color w:val="auto"/>
        </w:rPr>
      </w:pPr>
      <w:r>
        <w:rPr>
          <w:rFonts w:ascii="Arial" w:cs="Arial" w:eastAsia="Arial" w:hAnsi="Arial"/>
          <w:sz w:val="22"/>
          <w:szCs w:val="22"/>
          <w:color w:val="auto"/>
        </w:rPr>
        <w:t>In cash, by certified or bank check or other instrument acceptable to the Administrator;</w:t>
      </w:r>
    </w:p>
    <w:p>
      <w:pPr>
        <w:spacing w:after="0" w:line="206" w:lineRule="exact"/>
        <w:rPr>
          <w:rFonts w:ascii="Arial" w:cs="Arial" w:eastAsia="Arial" w:hAnsi="Arial"/>
          <w:sz w:val="22"/>
          <w:szCs w:val="22"/>
          <w:color w:val="auto"/>
        </w:rPr>
      </w:pPr>
    </w:p>
    <w:p>
      <w:pPr>
        <w:ind w:firstLine="1131"/>
        <w:spacing w:after="0"/>
        <w:tabs>
          <w:tab w:leader="none" w:pos="1495" w:val="left"/>
        </w:tabs>
        <w:numPr>
          <w:ilvl w:val="1"/>
          <w:numId w:val="97"/>
        </w:numPr>
        <w:rPr>
          <w:rFonts w:ascii="Arial" w:cs="Arial" w:eastAsia="Arial" w:hAnsi="Arial"/>
          <w:sz w:val="22"/>
          <w:szCs w:val="22"/>
          <w:color w:val="auto"/>
        </w:rPr>
      </w:pPr>
      <w:r>
        <w:rPr>
          <w:rFonts w:ascii="Arial" w:cs="Arial" w:eastAsia="Arial" w:hAnsi="Arial"/>
          <w:sz w:val="22"/>
          <w:szCs w:val="22"/>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86" w:lineRule="exact"/>
        <w:rPr>
          <w:rFonts w:ascii="Arial" w:cs="Arial" w:eastAsia="Arial" w:hAnsi="Arial"/>
          <w:sz w:val="22"/>
          <w:szCs w:val="22"/>
          <w:color w:val="auto"/>
        </w:rPr>
      </w:pPr>
    </w:p>
    <w:p>
      <w:pPr>
        <w:jc w:val="both"/>
        <w:ind w:right="340" w:firstLine="1131"/>
        <w:spacing w:after="0" w:line="249" w:lineRule="auto"/>
        <w:tabs>
          <w:tab w:leader="none" w:pos="1555" w:val="left"/>
        </w:tabs>
        <w:numPr>
          <w:ilvl w:val="1"/>
          <w:numId w:val="97"/>
        </w:numPr>
        <w:rPr>
          <w:rFonts w:ascii="Arial" w:cs="Arial" w:eastAsia="Arial" w:hAnsi="Arial"/>
          <w:sz w:val="21"/>
          <w:szCs w:val="21"/>
          <w:color w:val="auto"/>
        </w:rPr>
      </w:pPr>
      <w:r>
        <w:rPr>
          <w:rFonts w:ascii="Arial" w:cs="Arial" w:eastAsia="Arial" w:hAnsi="Arial"/>
          <w:sz w:val="21"/>
          <w:szCs w:val="21"/>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78" w:lineRule="exact"/>
        <w:rPr>
          <w:rFonts w:ascii="Arial" w:cs="Arial" w:eastAsia="Arial" w:hAnsi="Arial"/>
          <w:sz w:val="21"/>
          <w:szCs w:val="21"/>
          <w:color w:val="auto"/>
        </w:rPr>
      </w:pPr>
    </w:p>
    <w:p>
      <w:pPr>
        <w:jc w:val="both"/>
        <w:ind w:right="20" w:firstLine="1131"/>
        <w:spacing w:after="0"/>
        <w:tabs>
          <w:tab w:leader="none" w:pos="1489" w:val="left"/>
        </w:tabs>
        <w:numPr>
          <w:ilvl w:val="1"/>
          <w:numId w:val="97"/>
        </w:numPr>
        <w:rPr>
          <w:rFonts w:ascii="Arial" w:cs="Arial" w:eastAsia="Arial" w:hAnsi="Arial"/>
          <w:sz w:val="22"/>
          <w:szCs w:val="22"/>
          <w:color w:val="auto"/>
        </w:rPr>
      </w:pPr>
      <w:r>
        <w:rPr>
          <w:rFonts w:ascii="Arial" w:cs="Arial" w:eastAsia="Arial" w:hAnsi="Arial"/>
          <w:sz w:val="22"/>
          <w:szCs w:val="22"/>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6"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Agreement or applicable provisions of laws (including the satisfaction of any withholding taxes that the Company or an Affiliate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78" w:name="page179"/>
    <w:bookmarkEnd w:id="178"/>
    <w:p>
      <w:pPr>
        <w:spacing w:after="0" w:line="274" w:lineRule="auto"/>
        <w:rPr>
          <w:sz w:val="20"/>
          <w:szCs w:val="20"/>
          <w:color w:val="auto"/>
        </w:rPr>
      </w:pPr>
      <w:r>
        <w:rPr>
          <w:rFonts w:ascii="Arial" w:cs="Arial" w:eastAsia="Arial" w:hAnsi="Arial"/>
          <w:sz w:val="21"/>
          <w:szCs w:val="21"/>
          <w:color w:val="auto"/>
        </w:rPr>
        <w:t>automated system for the exercise of Stock Options, such as a system using an internet website or interactive voice response, then the paperless exercise of Stock Options may be permitted through the use of such an automated system.</w:t>
      </w:r>
    </w:p>
    <w:p>
      <w:pPr>
        <w:spacing w:after="0" w:line="151" w:lineRule="exact"/>
        <w:rPr>
          <w:sz w:val="20"/>
          <w:szCs w:val="20"/>
          <w:color w:val="auto"/>
        </w:rPr>
      </w:pPr>
    </w:p>
    <w:p>
      <w:pPr>
        <w:ind w:right="80" w:firstLine="757"/>
        <w:spacing w:after="0" w:line="282" w:lineRule="auto"/>
        <w:tabs>
          <w:tab w:leader="none" w:pos="1019"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Annual Limit on Incentive Stock Options</w:t>
      </w:r>
      <w:r>
        <w:rPr>
          <w:rFonts w:ascii="Arial" w:cs="Arial" w:eastAsia="Arial" w:hAnsi="Arial"/>
          <w:sz w:val="19"/>
          <w:szCs w:val="19"/>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STOCK APPRECIATION RIGHTS</w:t>
      </w:r>
    </w:p>
    <w:p>
      <w:pPr>
        <w:spacing w:after="0" w:line="206" w:lineRule="exact"/>
        <w:rPr>
          <w:sz w:val="20"/>
          <w:szCs w:val="20"/>
          <w:color w:val="auto"/>
        </w:rPr>
      </w:pPr>
    </w:p>
    <w:p>
      <w:pPr>
        <w:ind w:right="80" w:firstLine="757"/>
        <w:spacing w:after="0" w:line="249" w:lineRule="auto"/>
        <w:tabs>
          <w:tab w:leader="none" w:pos="1042"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Award of Stock Appreciation Rights</w:t>
      </w:r>
      <w:r>
        <w:rPr>
          <w:rFonts w:ascii="Arial" w:cs="Arial" w:eastAsia="Arial" w:hAnsi="Arial"/>
          <w:sz w:val="21"/>
          <w:szCs w:val="21"/>
          <w:color w:val="auto"/>
        </w:rPr>
        <w:t>.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78" w:lineRule="exact"/>
        <w:rPr>
          <w:rFonts w:ascii="Arial" w:cs="Arial" w:eastAsia="Arial" w:hAnsi="Arial"/>
          <w:sz w:val="21"/>
          <w:szCs w:val="21"/>
          <w:color w:val="auto"/>
        </w:rPr>
      </w:pPr>
    </w:p>
    <w:p>
      <w:pPr>
        <w:ind w:right="100" w:firstLine="757"/>
        <w:spacing w:after="0" w:line="250" w:lineRule="auto"/>
        <w:tabs>
          <w:tab w:leader="none" w:pos="1055"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Exercise Price of Stock Appreciation Rights</w:t>
      </w:r>
      <w:r>
        <w:rPr>
          <w:rFonts w:ascii="Arial" w:cs="Arial" w:eastAsia="Arial" w:hAnsi="Arial"/>
          <w:sz w:val="22"/>
          <w:szCs w:val="22"/>
          <w:color w:val="auto"/>
        </w:rPr>
        <w:t>. The exercise price of a Stock Appreciation Right shall not be less than 100 percent of the Fair Market Value of the Stock on the date of grant.</w:t>
      </w:r>
    </w:p>
    <w:p>
      <w:pPr>
        <w:spacing w:after="0" w:line="174" w:lineRule="exact"/>
        <w:rPr>
          <w:rFonts w:ascii="Arial" w:cs="Arial" w:eastAsia="Arial" w:hAnsi="Arial"/>
          <w:sz w:val="22"/>
          <w:szCs w:val="22"/>
          <w:color w:val="auto"/>
        </w:rPr>
      </w:pPr>
    </w:p>
    <w:p>
      <w:pPr>
        <w:ind w:right="240" w:firstLine="757"/>
        <w:spacing w:after="0" w:line="250" w:lineRule="auto"/>
        <w:tabs>
          <w:tab w:leader="none" w:pos="1042"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Grant and Exercise of Stock Appreciation Rights</w:t>
      </w:r>
      <w:r>
        <w:rPr>
          <w:rFonts w:ascii="Arial" w:cs="Arial" w:eastAsia="Arial" w:hAnsi="Arial"/>
          <w:sz w:val="22"/>
          <w:szCs w:val="22"/>
          <w:color w:val="auto"/>
        </w:rPr>
        <w:t>. Stock Appreciation Rights may be granted by the Administrator independently of any Stock Option granted pursuant to Section 5 of the Plan.</w:t>
      </w:r>
    </w:p>
    <w:p>
      <w:pPr>
        <w:spacing w:after="0" w:line="174" w:lineRule="exact"/>
        <w:rPr>
          <w:rFonts w:ascii="Arial" w:cs="Arial" w:eastAsia="Arial" w:hAnsi="Arial"/>
          <w:sz w:val="22"/>
          <w:szCs w:val="22"/>
          <w:color w:val="auto"/>
        </w:rPr>
      </w:pPr>
    </w:p>
    <w:p>
      <w:pPr>
        <w:ind w:right="260" w:firstLine="757"/>
        <w:spacing w:after="0" w:line="238" w:lineRule="auto"/>
        <w:tabs>
          <w:tab w:leader="none" w:pos="1055"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Terms and Conditions of Stock Appreciation Rights</w:t>
      </w:r>
      <w:r>
        <w:rPr>
          <w:rFonts w:ascii="Arial" w:cs="Arial" w:eastAsia="Arial" w:hAnsi="Arial"/>
          <w:sz w:val="22"/>
          <w:szCs w:val="22"/>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RESTRICTED STOCK AWARDS</w:t>
      </w:r>
    </w:p>
    <w:p>
      <w:pPr>
        <w:spacing w:after="0" w:line="206" w:lineRule="exact"/>
        <w:rPr>
          <w:sz w:val="20"/>
          <w:szCs w:val="20"/>
          <w:color w:val="auto"/>
        </w:rPr>
      </w:pPr>
    </w:p>
    <w:p>
      <w:pPr>
        <w:ind w:right="280" w:firstLine="757"/>
        <w:spacing w:after="0" w:line="238" w:lineRule="auto"/>
        <w:tabs>
          <w:tab w:leader="none" w:pos="1042"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Nature of Restricted Stock Awards</w:t>
      </w:r>
      <w:r>
        <w:rPr>
          <w:rFonts w:ascii="Arial" w:cs="Arial" w:eastAsia="Arial" w:hAnsi="Arial"/>
          <w:sz w:val="22"/>
          <w:szCs w:val="22"/>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84" w:lineRule="exact"/>
        <w:rPr>
          <w:rFonts w:ascii="Arial" w:cs="Arial" w:eastAsia="Arial" w:hAnsi="Arial"/>
          <w:sz w:val="22"/>
          <w:szCs w:val="22"/>
          <w:color w:val="auto"/>
        </w:rPr>
      </w:pPr>
    </w:p>
    <w:p>
      <w:pPr>
        <w:ind w:right="100" w:firstLine="757"/>
        <w:spacing w:after="0" w:line="297" w:lineRule="auto"/>
        <w:tabs>
          <w:tab w:leader="none" w:pos="1055"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79" w:name="page180"/>
    <w:bookmarkEnd w:id="179"/>
    <w:p>
      <w:pPr>
        <w:ind w:right="60"/>
        <w:spacing w:after="0" w:line="246" w:lineRule="auto"/>
        <w:rPr>
          <w:sz w:val="20"/>
          <w:szCs w:val="20"/>
          <w:color w:val="auto"/>
        </w:rPr>
      </w:pPr>
      <w:r>
        <w:rPr>
          <w:rFonts w:ascii="Arial" w:cs="Arial" w:eastAsia="Arial" w:hAnsi="Arial"/>
          <w:sz w:val="21"/>
          <w:szCs w:val="21"/>
          <w:color w:val="auto"/>
        </w:rPr>
        <w:t>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84" w:lineRule="exact"/>
        <w:rPr>
          <w:sz w:val="20"/>
          <w:szCs w:val="20"/>
          <w:color w:val="auto"/>
        </w:rPr>
      </w:pPr>
    </w:p>
    <w:p>
      <w:pPr>
        <w:ind w:right="20" w:firstLine="757"/>
        <w:spacing w:after="0" w:line="273" w:lineRule="auto"/>
        <w:tabs>
          <w:tab w:leader="none" w:pos="1042"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16 below, in writing after the Award is issued, if a grantee’s employment (or other Service Relationship) with the Company and its Affiliates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60" w:lineRule="exact"/>
        <w:rPr>
          <w:rFonts w:ascii="Arial" w:cs="Arial" w:eastAsia="Arial" w:hAnsi="Arial"/>
          <w:sz w:val="19"/>
          <w:szCs w:val="19"/>
          <w:color w:val="auto"/>
        </w:rPr>
      </w:pPr>
    </w:p>
    <w:p>
      <w:pPr>
        <w:ind w:right="240" w:firstLine="757"/>
        <w:spacing w:after="0" w:line="249" w:lineRule="auto"/>
        <w:tabs>
          <w:tab w:leader="none" w:pos="1055"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Vesting of Restricted Shares</w:t>
      </w:r>
      <w:r>
        <w:rPr>
          <w:rFonts w:ascii="Arial" w:cs="Arial" w:eastAsia="Arial" w:hAnsi="Arial"/>
          <w:sz w:val="21"/>
          <w:szCs w:val="21"/>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RESTRICTED STOCK UNITS</w:t>
      </w:r>
    </w:p>
    <w:p>
      <w:pPr>
        <w:spacing w:after="0" w:line="206" w:lineRule="exact"/>
        <w:rPr>
          <w:sz w:val="20"/>
          <w:szCs w:val="20"/>
          <w:color w:val="auto"/>
        </w:rPr>
      </w:pPr>
    </w:p>
    <w:p>
      <w:pPr>
        <w:ind w:firstLine="757"/>
        <w:spacing w:after="0" w:line="245" w:lineRule="auto"/>
        <w:tabs>
          <w:tab w:leader="none" w:pos="1042"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Nature of Restricted Stock Units</w:t>
      </w:r>
      <w:r>
        <w:rPr>
          <w:rFonts w:ascii="Arial" w:cs="Arial" w:eastAsia="Arial" w:hAnsi="Arial"/>
          <w:sz w:val="21"/>
          <w:szCs w:val="21"/>
          <w:color w:val="auto"/>
        </w:rPr>
        <w:t>.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80" w:name="page181"/>
    <w:bookmarkEnd w:id="180"/>
    <w:p>
      <w:pPr>
        <w:ind w:right="60" w:firstLine="757"/>
        <w:spacing w:after="0" w:line="273" w:lineRule="auto"/>
        <w:tabs>
          <w:tab w:leader="none" w:pos="1055"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Election to Receive Restricted Stock Units in Lieu of Compensation</w:t>
      </w:r>
      <w:r>
        <w:rPr>
          <w:rFonts w:ascii="Arial" w:cs="Arial" w:eastAsia="Arial" w:hAnsi="Arial"/>
          <w:sz w:val="19"/>
          <w:szCs w:val="19"/>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w:t>
      </w:r>
    </w:p>
    <w:p>
      <w:pPr>
        <w:spacing w:after="0" w:line="160" w:lineRule="exact"/>
        <w:rPr>
          <w:rFonts w:ascii="Arial" w:cs="Arial" w:eastAsia="Arial" w:hAnsi="Arial"/>
          <w:sz w:val="19"/>
          <w:szCs w:val="19"/>
          <w:color w:val="auto"/>
        </w:rPr>
      </w:pPr>
    </w:p>
    <w:p>
      <w:pPr>
        <w:ind w:firstLine="757"/>
        <w:spacing w:after="0" w:line="238" w:lineRule="auto"/>
        <w:tabs>
          <w:tab w:leader="none" w:pos="1042"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84" w:lineRule="exact"/>
        <w:rPr>
          <w:rFonts w:ascii="Arial" w:cs="Arial" w:eastAsia="Arial" w:hAnsi="Arial"/>
          <w:sz w:val="22"/>
          <w:szCs w:val="22"/>
          <w:color w:val="auto"/>
        </w:rPr>
      </w:pPr>
    </w:p>
    <w:p>
      <w:pPr>
        <w:jc w:val="both"/>
        <w:ind w:right="100" w:firstLine="757"/>
        <w:spacing w:after="0" w:line="238" w:lineRule="auto"/>
        <w:tabs>
          <w:tab w:leader="none" w:pos="1055"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Agreement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UNRESTRICTED STOCK AWARDS</w:t>
      </w:r>
    </w:p>
    <w:p>
      <w:pPr>
        <w:spacing w:after="0" w:line="206" w:lineRule="exact"/>
        <w:rPr>
          <w:sz w:val="20"/>
          <w:szCs w:val="20"/>
          <w:color w:val="auto"/>
        </w:rPr>
      </w:pPr>
    </w:p>
    <w:p>
      <w:pPr>
        <w:ind w:right="360" w:firstLine="749"/>
        <w:spacing w:after="0" w:line="287" w:lineRule="auto"/>
        <w:rPr>
          <w:sz w:val="20"/>
          <w:szCs w:val="20"/>
          <w:color w:val="auto"/>
        </w:rPr>
      </w:pPr>
      <w:r>
        <w:rPr>
          <w:rFonts w:ascii="Arial" w:cs="Arial" w:eastAsia="Arial" w:hAnsi="Arial"/>
          <w:sz w:val="19"/>
          <w:szCs w:val="19"/>
          <w:u w:val="single" w:color="auto"/>
          <w:color w:val="auto"/>
        </w:rPr>
        <w:t>Grant or Sale of Unrestricted Stock</w:t>
      </w:r>
      <w:r>
        <w:rPr>
          <w:rFonts w:ascii="Arial" w:cs="Arial" w:eastAsia="Arial" w:hAnsi="Arial"/>
          <w:sz w:val="19"/>
          <w:szCs w:val="19"/>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CASH-BASED AWARDS</w:t>
      </w:r>
    </w:p>
    <w:p>
      <w:pPr>
        <w:spacing w:after="0" w:line="206" w:lineRule="exact"/>
        <w:rPr>
          <w:sz w:val="20"/>
          <w:szCs w:val="20"/>
          <w:color w:val="auto"/>
        </w:rPr>
      </w:pPr>
    </w:p>
    <w:p>
      <w:pPr>
        <w:ind w:right="100" w:firstLine="749"/>
        <w:spacing w:after="0" w:line="277" w:lineRule="auto"/>
        <w:rPr>
          <w:sz w:val="20"/>
          <w:szCs w:val="20"/>
          <w:color w:val="auto"/>
        </w:rPr>
      </w:pPr>
      <w:r>
        <w:rPr>
          <w:rFonts w:ascii="Arial" w:cs="Arial" w:eastAsia="Arial" w:hAnsi="Arial"/>
          <w:sz w:val="19"/>
          <w:szCs w:val="19"/>
          <w:u w:val="single" w:color="auto"/>
          <w:color w:val="auto"/>
        </w:rPr>
        <w:t>Grant of Cash-Based Awards</w:t>
      </w:r>
      <w:r>
        <w:rPr>
          <w:rFonts w:ascii="Arial" w:cs="Arial" w:eastAsia="Arial" w:hAnsi="Arial"/>
          <w:sz w:val="19"/>
          <w:szCs w:val="19"/>
          <w:color w:val="auto"/>
        </w:rPr>
        <w:t>. The Administrator may grant Cash-Based Awards under the Plan. A Cash-Based Award is an Award that entitles the grantee to a payment in cash upon the attainment of specified performance goals, including continued employment (or other Service Relationship).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DIVIDEND EQUIVALENT RIGHTS</w:t>
      </w:r>
    </w:p>
    <w:p>
      <w:pPr>
        <w:spacing w:after="0" w:line="206" w:lineRule="exact"/>
        <w:rPr>
          <w:sz w:val="20"/>
          <w:szCs w:val="20"/>
          <w:color w:val="auto"/>
        </w:rPr>
      </w:pPr>
    </w:p>
    <w:p>
      <w:pPr>
        <w:ind w:firstLine="749"/>
        <w:spacing w:after="0" w:line="272" w:lineRule="auto"/>
        <w:rPr>
          <w:sz w:val="20"/>
          <w:szCs w:val="20"/>
          <w:color w:val="auto"/>
        </w:rPr>
      </w:pP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200" w:lineRule="exact"/>
        <w:rPr>
          <w:sz w:val="20"/>
          <w:szCs w:val="20"/>
          <w:color w:val="auto"/>
        </w:rPr>
      </w:pPr>
    </w:p>
    <w:p>
      <w:pPr>
        <w:spacing w:after="0" w:line="204" w:lineRule="exact"/>
        <w:rPr>
          <w:sz w:val="20"/>
          <w:szCs w:val="20"/>
          <w:color w:val="auto"/>
        </w:rPr>
      </w:pPr>
    </w:p>
    <w:p>
      <w:pPr>
        <w:jc w:val="both"/>
        <w:ind w:right="160" w:firstLine="757"/>
        <w:spacing w:after="0"/>
        <w:tabs>
          <w:tab w:leader="none" w:pos="1055"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Agreement or, subject to Section 16 below, in writing after the Award is issued, a grantee’s rights in all Dividend Equivalent Rights shall automatically terminate upon the grantee’s cessation of Service Relationship) for any reason.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TRANSFERABILITY OF AWARDS</w:t>
      </w:r>
    </w:p>
    <w:p>
      <w:pPr>
        <w:spacing w:after="0" w:line="206" w:lineRule="exact"/>
        <w:rPr>
          <w:sz w:val="20"/>
          <w:szCs w:val="20"/>
          <w:color w:val="auto"/>
        </w:rPr>
      </w:pPr>
    </w:p>
    <w:p>
      <w:pPr>
        <w:ind w:right="80" w:firstLine="757"/>
        <w:spacing w:after="0" w:line="282" w:lineRule="auto"/>
        <w:tabs>
          <w:tab w:leader="none" w:pos="1042"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47" w:lineRule="exact"/>
        <w:rPr>
          <w:rFonts w:ascii="Arial" w:cs="Arial" w:eastAsia="Arial" w:hAnsi="Arial"/>
          <w:sz w:val="19"/>
          <w:szCs w:val="19"/>
          <w:color w:val="auto"/>
        </w:rPr>
      </w:pPr>
    </w:p>
    <w:p>
      <w:pPr>
        <w:ind w:right="100" w:firstLine="757"/>
        <w:spacing w:after="0" w:line="248" w:lineRule="auto"/>
        <w:tabs>
          <w:tab w:leader="none" w:pos="1055"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Administrator Action</w:t>
      </w:r>
      <w:r>
        <w:rPr>
          <w:rFonts w:ascii="Arial" w:cs="Arial" w:eastAsia="Arial" w:hAnsi="Arial"/>
          <w:sz w:val="21"/>
          <w:szCs w:val="21"/>
          <w:color w:val="auto"/>
        </w:rPr>
        <w:t>. Notwithstanding Section 12(a), the Administrator, in its discretion, may provide either in the Award Agreement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77" w:lineRule="exact"/>
        <w:rPr>
          <w:sz w:val="20"/>
          <w:szCs w:val="20"/>
          <w:color w:val="auto"/>
        </w:rPr>
      </w:pPr>
    </w:p>
    <w:p>
      <w:pPr>
        <w:ind w:firstLine="749"/>
        <w:spacing w:after="0"/>
        <w:rPr>
          <w:sz w:val="20"/>
          <w:szCs w:val="20"/>
          <w:color w:val="auto"/>
        </w:rPr>
      </w:pPr>
      <w:r>
        <w:rPr>
          <w:rFonts w:ascii="Arial" w:cs="Arial" w:eastAsia="Arial" w:hAnsi="Arial"/>
          <w:sz w:val="22"/>
          <w:szCs w:val="22"/>
          <w:u w:val="single" w:color="auto"/>
          <w:color w:val="auto"/>
        </w:rPr>
        <w:t>Fcmily Member</w:t>
      </w:r>
      <w:r>
        <w:rPr>
          <w:rFonts w:ascii="Arial" w:cs="Arial" w:eastAsia="Arial" w:hAnsi="Arial"/>
          <w:sz w:val="22"/>
          <w:szCs w:val="22"/>
          <w:color w:val="auto"/>
        </w:rPr>
        <w:t>.a For purposes of Section 12(b), “family member” shall mean a grantee’s child, stepchild, grandchild, parent, stepparent, grandparent, spouse, former spouse, sibling, niece, nephew, mother-in-law, father-in-law, son-in-law, daughter-in-law,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2" w:name="page183"/>
    <w:bookmarkEnd w:id="182"/>
    <w:p>
      <w:pPr>
        <w:ind w:right="20"/>
        <w:spacing w:after="0" w:line="238" w:lineRule="auto"/>
        <w:rPr>
          <w:sz w:val="20"/>
          <w:szCs w:val="20"/>
          <w:color w:val="auto"/>
        </w:rPr>
      </w:pPr>
      <w:r>
        <w:rPr>
          <w:rFonts w:ascii="Arial" w:cs="Arial" w:eastAsia="Arial" w:hAnsi="Arial"/>
          <w:sz w:val="22"/>
          <w:szCs w:val="22"/>
          <w:color w:val="auto"/>
        </w:rPr>
        <w:t>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85" w:lineRule="exact"/>
        <w:rPr>
          <w:sz w:val="20"/>
          <w:szCs w:val="20"/>
          <w:color w:val="auto"/>
        </w:rPr>
      </w:pPr>
    </w:p>
    <w:p>
      <w:pPr>
        <w:ind w:right="20" w:firstLine="757"/>
        <w:spacing w:after="0" w:line="282" w:lineRule="auto"/>
        <w:tabs>
          <w:tab w:leader="none" w:pos="1055"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Designation of Beneficiary</w:t>
      </w:r>
      <w:r>
        <w:rPr>
          <w:rFonts w:ascii="Arial" w:cs="Arial" w:eastAsia="Arial" w:hAnsi="Arial"/>
          <w:sz w:val="19"/>
          <w:szCs w:val="19"/>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TAX WITHHOLDING</w:t>
      </w:r>
    </w:p>
    <w:p>
      <w:pPr>
        <w:spacing w:after="0" w:line="206" w:lineRule="exact"/>
        <w:rPr>
          <w:sz w:val="20"/>
          <w:szCs w:val="20"/>
          <w:color w:val="auto"/>
        </w:rPr>
      </w:pPr>
    </w:p>
    <w:p>
      <w:pPr>
        <w:ind w:firstLine="757"/>
        <w:spacing w:after="0" w:line="277" w:lineRule="auto"/>
        <w:tabs>
          <w:tab w:leader="none" w:pos="1042"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Payment by Grantee</w:t>
      </w:r>
      <w:r>
        <w:rPr>
          <w:rFonts w:ascii="Arial" w:cs="Arial" w:eastAsia="Arial" w:hAnsi="Arial"/>
          <w:sz w:val="19"/>
          <w:szCs w:val="19"/>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1" w:lineRule="exact"/>
        <w:rPr>
          <w:rFonts w:ascii="Arial" w:cs="Arial" w:eastAsia="Arial" w:hAnsi="Arial"/>
          <w:sz w:val="19"/>
          <w:szCs w:val="19"/>
          <w:color w:val="auto"/>
        </w:rPr>
      </w:pPr>
    </w:p>
    <w:p>
      <w:pPr>
        <w:ind w:right="160" w:firstLine="757"/>
        <w:spacing w:after="0" w:line="274" w:lineRule="auto"/>
        <w:tabs>
          <w:tab w:leader="none" w:pos="1055"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Payment in Stock</w:t>
      </w:r>
      <w:r>
        <w:rPr>
          <w:rFonts w:ascii="Arial" w:cs="Arial" w:eastAsia="Arial" w:hAnsi="Arial"/>
          <w:sz w:val="19"/>
          <w:szCs w:val="19"/>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SECTION 409A AWARDS</w:t>
      </w:r>
    </w:p>
    <w:p>
      <w:pPr>
        <w:spacing w:after="0" w:line="206" w:lineRule="exact"/>
        <w:rPr>
          <w:sz w:val="20"/>
          <w:szCs w:val="20"/>
          <w:color w:val="auto"/>
        </w:rPr>
      </w:pPr>
    </w:p>
    <w:p>
      <w:pPr>
        <w:ind w:right="220" w:firstLine="749"/>
        <w:spacing w:after="0" w:line="236" w:lineRule="auto"/>
        <w:rPr>
          <w:sz w:val="20"/>
          <w:szCs w:val="20"/>
          <w:color w:val="auto"/>
        </w:rPr>
      </w:pPr>
      <w:r>
        <w:rPr>
          <w:rFonts w:ascii="Arial" w:cs="Arial" w:eastAsia="Arial" w:hAnsi="Arial"/>
          <w:sz w:val="22"/>
          <w:szCs w:val="22"/>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3" w:name="page184"/>
    <w:bookmarkEnd w:id="183"/>
    <w:p>
      <w:pPr>
        <w:spacing w:after="0" w:line="235" w:lineRule="auto"/>
        <w:rPr>
          <w:sz w:val="20"/>
          <w:szCs w:val="20"/>
          <w:color w:val="auto"/>
        </w:rPr>
      </w:pPr>
      <w:r>
        <w:rPr>
          <w:rFonts w:ascii="Arial" w:cs="Arial" w:eastAsia="Arial" w:hAnsi="Arial"/>
          <w:sz w:val="22"/>
          <w:szCs w:val="22"/>
          <w:color w:val="auto"/>
        </w:rPr>
        <w:t>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TERMINATION OF SERVICE RELATIONSHIP, TRANSFER, LEAVE OF ABSENCE, ETC.</w:t>
      </w:r>
    </w:p>
    <w:p>
      <w:pPr>
        <w:spacing w:after="0" w:line="206" w:lineRule="exact"/>
        <w:rPr>
          <w:sz w:val="20"/>
          <w:szCs w:val="20"/>
          <w:color w:val="auto"/>
        </w:rPr>
      </w:pPr>
    </w:p>
    <w:p>
      <w:pPr>
        <w:ind w:right="100" w:firstLine="757"/>
        <w:spacing w:after="0" w:line="328" w:lineRule="auto"/>
        <w:tabs>
          <w:tab w:leader="none" w:pos="1042"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Termination of Service Relationship</w:t>
      </w:r>
      <w:r>
        <w:rPr>
          <w:rFonts w:ascii="Arial" w:cs="Arial" w:eastAsia="Arial" w:hAnsi="Arial"/>
          <w:sz w:val="19"/>
          <w:szCs w:val="19"/>
          <w:color w:val="auto"/>
        </w:rPr>
        <w:t>. If the grantee’s Service Relationship is with an Affiliate and such Affiliate ceases to be an Affiliate, the grantee shall be deemed to have terminated his or her Service Relationship for purposes of the Plan.</w:t>
      </w:r>
    </w:p>
    <w:p>
      <w:pPr>
        <w:spacing w:after="0" w:line="104" w:lineRule="exact"/>
        <w:rPr>
          <w:rFonts w:ascii="Arial" w:cs="Arial" w:eastAsia="Arial" w:hAnsi="Arial"/>
          <w:sz w:val="19"/>
          <w:szCs w:val="19"/>
          <w:color w:val="auto"/>
        </w:rPr>
      </w:pPr>
    </w:p>
    <w:p>
      <w:pPr>
        <w:ind w:left="1060" w:hanging="303"/>
        <w:spacing w:after="0"/>
        <w:tabs>
          <w:tab w:leader="none" w:pos="106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For purposes of the Plan, the following events shall not be deemed a termination of a Service Relationship:</w:t>
      </w:r>
    </w:p>
    <w:p>
      <w:pPr>
        <w:spacing w:after="0" w:line="217" w:lineRule="exact"/>
        <w:rPr>
          <w:rFonts w:ascii="Arial" w:cs="Arial" w:eastAsia="Arial" w:hAnsi="Arial"/>
          <w:sz w:val="21"/>
          <w:szCs w:val="21"/>
          <w:color w:val="auto"/>
        </w:rPr>
      </w:pPr>
    </w:p>
    <w:p>
      <w:pPr>
        <w:ind w:right="100" w:firstLine="1131"/>
        <w:spacing w:after="0" w:line="250" w:lineRule="auto"/>
        <w:tabs>
          <w:tab w:leader="none" w:pos="1381"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 transfer to the employment of the Company from an Affiliate or from the Company to an Affiliate, or from one Affiliate to another; or</w:t>
      </w:r>
    </w:p>
    <w:p>
      <w:pPr>
        <w:spacing w:after="0" w:line="174" w:lineRule="exact"/>
        <w:rPr>
          <w:rFonts w:ascii="Arial" w:cs="Arial" w:eastAsia="Arial" w:hAnsi="Arial"/>
          <w:sz w:val="22"/>
          <w:szCs w:val="22"/>
          <w:color w:val="auto"/>
        </w:rPr>
      </w:pPr>
    </w:p>
    <w:p>
      <w:pPr>
        <w:ind w:firstLine="1131"/>
        <w:spacing w:after="0"/>
        <w:tabs>
          <w:tab w:leader="none" w:pos="1441"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AMENDMENTS AND TERMINATION</w:t>
      </w:r>
    </w:p>
    <w:p>
      <w:pPr>
        <w:spacing w:after="0" w:line="206" w:lineRule="exact"/>
        <w:rPr>
          <w:sz w:val="20"/>
          <w:szCs w:val="20"/>
          <w:color w:val="auto"/>
        </w:rPr>
      </w:pPr>
    </w:p>
    <w:p>
      <w:pPr>
        <w:ind w:right="40" w:firstLine="749"/>
        <w:spacing w:after="0" w:line="274" w:lineRule="auto"/>
        <w:rPr>
          <w:sz w:val="20"/>
          <w:szCs w:val="20"/>
          <w:color w:val="auto"/>
        </w:rPr>
      </w:pPr>
      <w:r>
        <w:rPr>
          <w:rFonts w:ascii="Arial" w:cs="Arial" w:eastAsia="Arial" w:hAnsi="Arial"/>
          <w:sz w:val="19"/>
          <w:szCs w:val="19"/>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or to the extent otherwise required by applicable laws, Plan amendments shall be subject to approval by Company stockholders. Nothing in this Section 16 shall limit the Administrator’s authority to take any action permitted pursuant to Section 3(c) or 3(d).</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STATUS OF PLAN</w:t>
      </w:r>
    </w:p>
    <w:p>
      <w:pPr>
        <w:spacing w:after="0" w:line="206" w:lineRule="exact"/>
        <w:rPr>
          <w:sz w:val="20"/>
          <w:szCs w:val="20"/>
          <w:color w:val="auto"/>
        </w:rPr>
      </w:pPr>
    </w:p>
    <w:p>
      <w:pPr>
        <w:ind w:right="100" w:firstLine="749"/>
        <w:spacing w:after="0" w:line="252" w:lineRule="auto"/>
        <w:rPr>
          <w:sz w:val="20"/>
          <w:szCs w:val="20"/>
          <w:color w:val="auto"/>
        </w:rPr>
      </w:pPr>
      <w:r>
        <w:rPr>
          <w:rFonts w:ascii="Arial" w:cs="Arial" w:eastAsia="Arial" w:hAnsi="Arial"/>
          <w:sz w:val="21"/>
          <w:szCs w:val="21"/>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4" w:name="page185"/>
    <w:bookmarkEnd w:id="184"/>
    <w:p>
      <w:pPr>
        <w:ind w:right="400"/>
        <w:spacing w:after="0" w:line="250" w:lineRule="auto"/>
        <w:rPr>
          <w:sz w:val="20"/>
          <w:szCs w:val="20"/>
          <w:color w:val="auto"/>
        </w:rPr>
      </w:pPr>
      <w:r>
        <w:rPr>
          <w:rFonts w:ascii="Arial" w:cs="Arial" w:eastAsia="Arial" w:hAnsi="Arial"/>
          <w:sz w:val="22"/>
          <w:szCs w:val="22"/>
          <w:color w:val="auto"/>
        </w:rPr>
        <w:t>obligations to deliver Stock or make payments with respect to Awards hereunder, provided that the existence of such trusts or other arrangements is consistent with the foregoing sentence.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GENERAL PROVISIONS</w:t>
      </w:r>
    </w:p>
    <w:p>
      <w:pPr>
        <w:spacing w:after="0" w:line="206" w:lineRule="exact"/>
        <w:rPr>
          <w:sz w:val="20"/>
          <w:szCs w:val="20"/>
          <w:color w:val="auto"/>
        </w:rPr>
      </w:pPr>
    </w:p>
    <w:p>
      <w:pPr>
        <w:ind w:right="180" w:firstLine="749"/>
        <w:spacing w:after="0" w:line="328" w:lineRule="auto"/>
        <w:rPr>
          <w:sz w:val="20"/>
          <w:szCs w:val="20"/>
          <w:color w:val="auto"/>
        </w:rPr>
      </w:pPr>
      <w:r>
        <w:rPr>
          <w:rFonts w:ascii="Arial" w:cs="Arial" w:eastAsia="Arial" w:hAnsi="Arial"/>
          <w:sz w:val="19"/>
          <w:szCs w:val="19"/>
          <w:u w:val="single" w:color="auto"/>
          <w:color w:val="auto"/>
        </w:rPr>
        <w:t>Na Distribution</w:t>
      </w:r>
      <w:r>
        <w:rPr>
          <w:rFonts w:ascii="Arial" w:cs="Arial" w:eastAsia="Arial" w:hAnsi="Arial"/>
          <w:sz w:val="19"/>
          <w:szCs w:val="19"/>
          <w:color w:val="auto"/>
        </w:rPr>
        <w:t>.o The Administrator may require each person acquiring Stock pursuant to an Award to represent to and agree with the Company in writing that such person is acquiring the shares without a view to distribution thereof.</w:t>
      </w:r>
    </w:p>
    <w:p>
      <w:pPr>
        <w:spacing w:after="0" w:line="105" w:lineRule="exact"/>
        <w:rPr>
          <w:sz w:val="20"/>
          <w:szCs w:val="20"/>
          <w:color w:val="auto"/>
        </w:rPr>
      </w:pPr>
    </w:p>
    <w:p>
      <w:pPr>
        <w:ind w:firstLine="757"/>
        <w:spacing w:after="0" w:line="270" w:lineRule="auto"/>
        <w:tabs>
          <w:tab w:leader="none" w:pos="1055"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Issuance of Stock</w:t>
      </w:r>
      <w:r>
        <w:rPr>
          <w:rFonts w:ascii="Arial" w:cs="Arial" w:eastAsia="Arial" w:hAnsi="Arial"/>
          <w:sz w:val="19"/>
          <w:szCs w:val="19"/>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62" w:lineRule="exact"/>
        <w:rPr>
          <w:rFonts w:ascii="Arial" w:cs="Arial" w:eastAsia="Arial" w:hAnsi="Arial"/>
          <w:sz w:val="19"/>
          <w:szCs w:val="19"/>
          <w:color w:val="auto"/>
        </w:rPr>
      </w:pPr>
    </w:p>
    <w:p>
      <w:pPr>
        <w:ind w:right="80" w:firstLine="757"/>
        <w:spacing w:after="0" w:line="297" w:lineRule="auto"/>
        <w:tabs>
          <w:tab w:leader="none" w:pos="1042"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33" w:lineRule="exact"/>
        <w:rPr>
          <w:rFonts w:ascii="Arial" w:cs="Arial" w:eastAsia="Arial" w:hAnsi="Arial"/>
          <w:sz w:val="19"/>
          <w:szCs w:val="19"/>
          <w:color w:val="auto"/>
        </w:rPr>
      </w:pPr>
    </w:p>
    <w:p>
      <w:pPr>
        <w:jc w:val="both"/>
        <w:ind w:right="120" w:firstLine="757"/>
        <w:spacing w:after="0" w:line="238" w:lineRule="auto"/>
        <w:tabs>
          <w:tab w:leader="none" w:pos="1055"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Other Compensation Arrangements; No Rights to Continued Service Relationship</w:t>
      </w:r>
      <w:r>
        <w:rPr>
          <w:rFonts w:ascii="Arial" w:cs="Arial" w:eastAsia="Arial" w:hAnsi="Arial"/>
          <w:sz w:val="22"/>
          <w:szCs w:val="22"/>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grantee any right to continued Service Relationship.</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5" w:name="page186"/>
    <w:bookmarkEnd w:id="185"/>
    <w:p>
      <w:pPr>
        <w:ind w:right="280" w:firstLine="757"/>
        <w:spacing w:after="0" w:line="250" w:lineRule="auto"/>
        <w:tabs>
          <w:tab w:leader="none" w:pos="1042"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Trading Policy Restrictions</w:t>
      </w:r>
      <w:r>
        <w:rPr>
          <w:rFonts w:ascii="Arial" w:cs="Arial" w:eastAsia="Arial" w:hAnsi="Arial"/>
          <w:sz w:val="22"/>
          <w:szCs w:val="22"/>
          <w:color w:val="auto"/>
        </w:rPr>
        <w:t>. Option exercises and other Awards under the Plan shall be subject to the Company’s insider trading policies and procedures, as in effect from time to time.</w:t>
      </w:r>
    </w:p>
    <w:p>
      <w:pPr>
        <w:spacing w:after="0" w:line="174" w:lineRule="exact"/>
        <w:rPr>
          <w:rFonts w:ascii="Arial" w:cs="Arial" w:eastAsia="Arial" w:hAnsi="Arial"/>
          <w:sz w:val="22"/>
          <w:szCs w:val="22"/>
          <w:color w:val="auto"/>
        </w:rPr>
      </w:pPr>
    </w:p>
    <w:p>
      <w:pPr>
        <w:ind w:right="20" w:firstLine="757"/>
        <w:spacing w:after="0" w:line="250" w:lineRule="auto"/>
        <w:tabs>
          <w:tab w:leader="none" w:pos="1019"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Clawback Policy</w:t>
      </w:r>
      <w:r>
        <w:rPr>
          <w:rFonts w:ascii="Arial" w:cs="Arial" w:eastAsia="Arial" w:hAnsi="Arial"/>
          <w:sz w:val="22"/>
          <w:szCs w:val="22"/>
          <w:color w:val="auto"/>
        </w:rPr>
        <w:t>. Awards under the Plan shall be subject to the Company’s clawback policy, as the same be adopted or in effect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EFFECTIVE DATE OF PLAN</w:t>
      </w:r>
    </w:p>
    <w:p>
      <w:pPr>
        <w:spacing w:after="0" w:line="206" w:lineRule="exact"/>
        <w:rPr>
          <w:sz w:val="20"/>
          <w:szCs w:val="20"/>
          <w:color w:val="auto"/>
        </w:rPr>
      </w:pPr>
    </w:p>
    <w:p>
      <w:pPr>
        <w:ind w:firstLine="749"/>
        <w:spacing w:after="0" w:line="236" w:lineRule="auto"/>
        <w:rPr>
          <w:sz w:val="20"/>
          <w:szCs w:val="20"/>
          <w:color w:val="auto"/>
        </w:rPr>
      </w:pPr>
      <w:r>
        <w:rPr>
          <w:rFonts w:ascii="Arial" w:cs="Arial" w:eastAsia="Arial" w:hAnsi="Arial"/>
          <w:sz w:val="22"/>
          <w:szCs w:val="22"/>
          <w:color w:val="auto"/>
        </w:rPr>
        <w:t>This Plan shall become effective upon the date immediately preceding the Registration Date subject to prior stockholder approval in accordance with applicable state law, the Company’s bylaws and articles of incorporation, and applicable stock exchange rules. No grants of Stock Options and other may be made hereunder after the tenth anniversary of the Effective Date and no grants of Incentive Stock Options may be made hereunder after the tenth anniversary of the date the Plan is approved by the Board.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 </w:t>
      </w:r>
      <w:r>
        <w:rPr>
          <w:rFonts w:ascii="Arial" w:cs="Arial" w:eastAsia="Arial" w:hAnsi="Arial"/>
          <w:sz w:val="22"/>
          <w:szCs w:val="22"/>
          <w:u w:val="single" w:color="auto"/>
          <w:color w:val="auto"/>
        </w:rPr>
        <w:t>GOVERNING LAW</w:t>
      </w:r>
    </w:p>
    <w:p>
      <w:pPr>
        <w:spacing w:after="0" w:line="206" w:lineRule="exact"/>
        <w:rPr>
          <w:sz w:val="20"/>
          <w:szCs w:val="20"/>
          <w:color w:val="auto"/>
        </w:rPr>
      </w:pPr>
    </w:p>
    <w:p>
      <w:pPr>
        <w:ind w:right="100" w:firstLine="749"/>
        <w:spacing w:after="0" w:line="236" w:lineRule="auto"/>
        <w:rPr>
          <w:sz w:val="20"/>
          <w:szCs w:val="20"/>
          <w:color w:val="auto"/>
        </w:rPr>
      </w:pPr>
      <w:r>
        <w:rPr>
          <w:rFonts w:ascii="Arial" w:cs="Arial" w:eastAsia="Arial" w:hAnsi="Arial"/>
          <w:sz w:val="22"/>
          <w:szCs w:val="22"/>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 that would result in the application of any law other than the law of the Commonwealth of Massachusetts.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DATE APPROVED BY BOARD OF DIRECTORS: July 6,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 APPROVED BY STOCKHOLDERS: July 8, 2020</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1" w:right="43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25"/>
          <w:szCs w:val="25"/>
          <w:b w:val="1"/>
          <w:bCs w:val="1"/>
          <w:color w:val="auto"/>
        </w:rPr>
        <w:t>INCENTIVE STOCK OPTION AGREEMENT</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UNDER THE RELAY THERAPEUTICS, INC.</w:t>
      </w:r>
    </w:p>
    <w:p>
      <w:pPr>
        <w:jc w:val="center"/>
        <w:ind w:right="-19"/>
        <w:spacing w:after="0"/>
        <w:rPr>
          <w:sz w:val="20"/>
          <w:szCs w:val="20"/>
          <w:color w:val="auto"/>
        </w:rPr>
      </w:pPr>
      <w:r>
        <w:rPr>
          <w:rFonts w:ascii="Arial" w:cs="Arial" w:eastAsia="Arial" w:hAnsi="Arial"/>
          <w:sz w:val="25"/>
          <w:szCs w:val="25"/>
          <w:b w:val="1"/>
          <w:bCs w:val="1"/>
          <w:color w:val="auto"/>
        </w:rPr>
        <w:t>2020 STOCK OPTION AND INCENTIVE PLAN</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4060" w:type="dxa"/>
            <w:vAlign w:val="bottom"/>
          </w:tcPr>
          <w:p>
            <w:pPr>
              <w:spacing w:after="0"/>
              <w:rPr>
                <w:sz w:val="20"/>
                <w:szCs w:val="20"/>
                <w:color w:val="auto"/>
              </w:rPr>
            </w:pPr>
            <w:r>
              <w:rPr>
                <w:rFonts w:ascii="Arial" w:cs="Arial" w:eastAsia="Arial" w:hAnsi="Arial"/>
                <w:sz w:val="22"/>
                <w:szCs w:val="22"/>
                <w:color w:val="auto"/>
              </w:rPr>
              <w:t>Name of Optionee:</w:t>
            </w:r>
          </w:p>
        </w:tc>
        <w:tc>
          <w:tcPr>
            <w:tcW w:w="284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4060" w:type="dxa"/>
            <w:vAlign w:val="bottom"/>
          </w:tcPr>
          <w:p>
            <w:pPr>
              <w:spacing w:after="0"/>
              <w:rPr>
                <w:sz w:val="20"/>
                <w:szCs w:val="20"/>
                <w:color w:val="auto"/>
              </w:rPr>
            </w:pPr>
            <w:r>
              <w:rPr>
                <w:rFonts w:ascii="Arial" w:cs="Arial" w:eastAsia="Arial" w:hAnsi="Arial"/>
                <w:sz w:val="22"/>
                <w:szCs w:val="22"/>
                <w:color w:val="auto"/>
              </w:rPr>
              <w:t>No. of Option Shares:</w:t>
            </w:r>
          </w:p>
        </w:tc>
        <w:tc>
          <w:tcPr>
            <w:tcW w:w="2840" w:type="dxa"/>
            <w:vAlign w:val="bottom"/>
            <w:tcBorders>
              <w:bottom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60" w:type="dxa"/>
            <w:vAlign w:val="bottom"/>
          </w:tcPr>
          <w:p>
            <w:pPr>
              <w:spacing w:after="0"/>
              <w:rPr>
                <w:sz w:val="20"/>
                <w:szCs w:val="20"/>
                <w:color w:val="auto"/>
              </w:rPr>
            </w:pPr>
            <w:r>
              <w:rPr>
                <w:rFonts w:ascii="Arial" w:cs="Arial" w:eastAsia="Arial" w:hAnsi="Arial"/>
                <w:sz w:val="22"/>
                <w:szCs w:val="22"/>
                <w:color w:val="auto"/>
              </w:rPr>
              <w:t>Option Exercise Price per Share:</w:t>
            </w: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94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FMV if a 10% owner)]</w:t>
            </w:r>
          </w:p>
        </w:tc>
        <w:tc>
          <w:tcPr>
            <w:tcW w:w="0" w:type="dxa"/>
            <w:vAlign w:val="bottom"/>
          </w:tcPr>
          <w:p>
            <w:pPr>
              <w:spacing w:after="0"/>
              <w:rPr>
                <w:sz w:val="1"/>
                <w:szCs w:val="1"/>
                <w:color w:val="auto"/>
              </w:rPr>
            </w:pPr>
          </w:p>
        </w:tc>
      </w:tr>
      <w:tr>
        <w:trPr>
          <w:trHeight w:val="274"/>
        </w:trPr>
        <w:tc>
          <w:tcPr>
            <w:tcW w:w="4060" w:type="dxa"/>
            <w:vAlign w:val="bottom"/>
          </w:tcPr>
          <w:p>
            <w:pPr>
              <w:spacing w:after="0"/>
              <w:rPr>
                <w:sz w:val="23"/>
                <w:szCs w:val="23"/>
                <w:color w:val="auto"/>
              </w:rPr>
            </w:pPr>
          </w:p>
        </w:tc>
        <w:tc>
          <w:tcPr>
            <w:tcW w:w="2840" w:type="dxa"/>
            <w:vAlign w:val="bottom"/>
          </w:tcPr>
          <w:p>
            <w:pPr>
              <w:ind w:left="20"/>
              <w:spacing w:after="0"/>
              <w:rPr>
                <w:sz w:val="20"/>
                <w:szCs w:val="20"/>
                <w:color w:val="auto"/>
              </w:rPr>
            </w:pPr>
            <w:r>
              <w:rPr>
                <w:rFonts w:ascii="Arial" w:cs="Arial" w:eastAsia="Arial" w:hAnsi="Arial"/>
                <w:sz w:val="22"/>
                <w:szCs w:val="22"/>
                <w:b w:val="1"/>
                <w:bCs w:val="1"/>
                <w:color w:val="auto"/>
                <w:w w:val="92"/>
              </w:rPr>
              <w:t>[FMV on Grant Date (110% of</w:t>
            </w:r>
          </w:p>
        </w:tc>
        <w:tc>
          <w:tcPr>
            <w:tcW w:w="2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95"/>
        </w:trPr>
        <w:tc>
          <w:tcPr>
            <w:tcW w:w="4060" w:type="dxa"/>
            <w:vAlign w:val="bottom"/>
          </w:tcPr>
          <w:p>
            <w:pPr>
              <w:spacing w:after="0"/>
              <w:rPr>
                <w:sz w:val="20"/>
                <w:szCs w:val="20"/>
                <w:color w:val="auto"/>
              </w:rPr>
            </w:pPr>
            <w:r>
              <w:rPr>
                <w:rFonts w:ascii="Arial" w:cs="Arial" w:eastAsia="Arial" w:hAnsi="Arial"/>
                <w:sz w:val="22"/>
                <w:szCs w:val="22"/>
                <w:color w:val="auto"/>
              </w:rPr>
              <w:t>Grant Date:</w:t>
            </w:r>
          </w:p>
        </w:tc>
        <w:tc>
          <w:tcPr>
            <w:tcW w:w="2840" w:type="dxa"/>
            <w:vAlign w:val="bottom"/>
            <w:tcBorders>
              <w:bottom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60" w:type="dxa"/>
            <w:vAlign w:val="bottom"/>
          </w:tcPr>
          <w:p>
            <w:pPr>
              <w:spacing w:after="0"/>
              <w:rPr>
                <w:sz w:val="20"/>
                <w:szCs w:val="20"/>
                <w:color w:val="auto"/>
              </w:rPr>
            </w:pPr>
            <w:r>
              <w:rPr>
                <w:rFonts w:ascii="Arial" w:cs="Arial" w:eastAsia="Arial" w:hAnsi="Arial"/>
                <w:sz w:val="22"/>
                <w:szCs w:val="22"/>
                <w:color w:val="auto"/>
              </w:rPr>
              <w:t>Expiration Date:</w:t>
            </w:r>
          </w:p>
        </w:tc>
        <w:tc>
          <w:tcPr>
            <w:tcW w:w="2840" w:type="dxa"/>
            <w:vAlign w:val="bottom"/>
            <w:tcBorders>
              <w:bottom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60" w:type="dxa"/>
            <w:vAlign w:val="bottom"/>
          </w:tcPr>
          <w:p>
            <w:pPr>
              <w:spacing w:after="0"/>
              <w:rPr>
                <w:sz w:val="23"/>
                <w:szCs w:val="23"/>
                <w:color w:val="auto"/>
              </w:rPr>
            </w:pPr>
          </w:p>
        </w:tc>
        <w:tc>
          <w:tcPr>
            <w:tcW w:w="5780" w:type="dxa"/>
            <w:vAlign w:val="bottom"/>
            <w:gridSpan w:val="2"/>
          </w:tcPr>
          <w:p>
            <w:pPr>
              <w:ind w:left="20"/>
              <w:spacing w:after="0"/>
              <w:rPr>
                <w:sz w:val="20"/>
                <w:szCs w:val="20"/>
                <w:color w:val="auto"/>
              </w:rPr>
            </w:pPr>
            <w:r>
              <w:rPr>
                <w:rFonts w:ascii="Arial" w:cs="Arial" w:eastAsia="Arial" w:hAnsi="Arial"/>
                <w:sz w:val="22"/>
                <w:szCs w:val="22"/>
                <w:b w:val="1"/>
                <w:bCs w:val="1"/>
                <w:color w:val="auto"/>
              </w:rPr>
              <w:t>[up to 10 years (5 if a 10% owner)]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Pursuant to the Relay Therapeutics, Inc. 2020 Stock Option and Incentive Plan as amended through the date hereof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“Plan”), Relay Therapeutics, Inc. (the “Company”) hereby grants to the Optionee named above an option (the “Stock Option”)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purchase on or prior to the Expiration Date specified above all or part of the number of shares of Common Stock, par value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$0.001 per share (the “Stock”), of the Company specified above at the Option Exercise Price per Share specified above subject to</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the terms and conditions set forth herein and in the Plan.</w:t>
      </w:r>
    </w:p>
    <w:p>
      <w:pPr>
        <w:spacing w:after="0" w:line="188" w:lineRule="exact"/>
        <w:rPr>
          <w:sz w:val="20"/>
          <w:szCs w:val="20"/>
          <w:color w:val="auto"/>
        </w:rPr>
      </w:pPr>
    </w:p>
    <w:p>
      <w:pPr>
        <w:ind w:firstLine="757"/>
        <w:spacing w:after="0" w:line="236" w:lineRule="auto"/>
        <w:tabs>
          <w:tab w:leader="none" w:pos="1498"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Exercisability Schedule</w:t>
      </w:r>
      <w:r>
        <w:rPr>
          <w:rFonts w:ascii="Arial" w:cs="Arial" w:eastAsia="Arial" w:hAnsi="Arial"/>
          <w:sz w:val="22"/>
          <w:szCs w:val="22"/>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continues to have a Service Relationship with the Company or a Subsidiary on such dates:</w:t>
      </w:r>
    </w:p>
    <w:p>
      <w:pPr>
        <w:spacing w:after="0" w:line="177"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1520" w:type="dxa"/>
            <w:vAlign w:val="bottom"/>
          </w:tcPr>
          <w:p>
            <w:pPr>
              <w:spacing w:after="0"/>
              <w:rPr>
                <w:sz w:val="21"/>
                <w:szCs w:val="21"/>
                <w:color w:val="auto"/>
              </w:rPr>
            </w:pPr>
          </w:p>
        </w:tc>
        <w:tc>
          <w:tcPr>
            <w:tcW w:w="3720" w:type="dxa"/>
            <w:vAlign w:val="bottom"/>
            <w:gridSpan w:val="2"/>
          </w:tcPr>
          <w:p>
            <w:pPr>
              <w:jc w:val="center"/>
              <w:ind w:right="1320"/>
              <w:spacing w:after="0"/>
              <w:rPr>
                <w:sz w:val="20"/>
                <w:szCs w:val="20"/>
                <w:color w:val="auto"/>
              </w:rPr>
            </w:pPr>
            <w:r>
              <w:rPr>
                <w:rFonts w:ascii="Arial" w:cs="Arial" w:eastAsia="Arial" w:hAnsi="Arial"/>
                <w:sz w:val="22"/>
                <w:szCs w:val="22"/>
                <w:color w:val="auto"/>
                <w:w w:val="91"/>
              </w:rPr>
              <w:t>Incremental Number of</w:t>
            </w:r>
          </w:p>
        </w:tc>
        <w:tc>
          <w:tcPr>
            <w:tcW w:w="2960" w:type="dxa"/>
            <w:vAlign w:val="bottom"/>
            <w:gridSpan w:val="2"/>
            <w:vMerge w:val="restart"/>
          </w:tcPr>
          <w:p>
            <w:pPr>
              <w:jc w:val="center"/>
              <w:ind w:left="1192"/>
              <w:spacing w:after="0"/>
              <w:rPr>
                <w:sz w:val="20"/>
                <w:szCs w:val="20"/>
                <w:color w:val="auto"/>
              </w:rPr>
            </w:pPr>
            <w:r>
              <w:rPr>
                <w:rFonts w:ascii="Arial" w:cs="Arial" w:eastAsia="Arial" w:hAnsi="Arial"/>
                <w:sz w:val="22"/>
                <w:szCs w:val="22"/>
                <w:color w:val="auto"/>
                <w:w w:val="91"/>
              </w:rPr>
              <w:t>Exercisability Date</w:t>
            </w:r>
          </w:p>
        </w:tc>
        <w:tc>
          <w:tcPr>
            <w:tcW w:w="0" w:type="dxa"/>
            <w:vAlign w:val="bottom"/>
          </w:tcPr>
          <w:p>
            <w:pPr>
              <w:spacing w:after="0"/>
              <w:rPr>
                <w:sz w:val="1"/>
                <w:szCs w:val="1"/>
                <w:color w:val="auto"/>
              </w:rPr>
            </w:pPr>
          </w:p>
        </w:tc>
      </w:tr>
      <w:tr>
        <w:trPr>
          <w:trHeight w:val="224"/>
        </w:trPr>
        <w:tc>
          <w:tcPr>
            <w:tcW w:w="1520" w:type="dxa"/>
            <w:vAlign w:val="bottom"/>
          </w:tcPr>
          <w:p>
            <w:pPr>
              <w:spacing w:after="0"/>
              <w:rPr>
                <w:sz w:val="19"/>
                <w:szCs w:val="19"/>
                <w:color w:val="auto"/>
              </w:rPr>
            </w:pPr>
          </w:p>
        </w:tc>
        <w:tc>
          <w:tcPr>
            <w:tcW w:w="3720" w:type="dxa"/>
            <w:vAlign w:val="bottom"/>
            <w:gridSpan w:val="2"/>
          </w:tcPr>
          <w:p>
            <w:pPr>
              <w:jc w:val="center"/>
              <w:ind w:right="1320"/>
              <w:spacing w:after="0" w:line="224" w:lineRule="exact"/>
              <w:rPr>
                <w:sz w:val="20"/>
                <w:szCs w:val="20"/>
                <w:color w:val="auto"/>
              </w:rPr>
            </w:pPr>
            <w:r>
              <w:rPr>
                <w:rFonts w:ascii="Arial" w:cs="Arial" w:eastAsia="Arial" w:hAnsi="Arial"/>
                <w:sz w:val="22"/>
                <w:szCs w:val="22"/>
                <w:color w:val="auto"/>
                <w:w w:val="89"/>
              </w:rPr>
              <w:t>Option Shares Exercisable*</w:t>
            </w:r>
          </w:p>
        </w:tc>
        <w:tc>
          <w:tcPr>
            <w:tcW w:w="2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520" w:type="dxa"/>
            <w:vAlign w:val="bottom"/>
          </w:tcPr>
          <w:p>
            <w:pPr>
              <w:spacing w:after="0"/>
              <w:rPr>
                <w:sz w:val="21"/>
                <w:szCs w:val="21"/>
                <w:color w:val="auto"/>
              </w:rPr>
            </w:pPr>
          </w:p>
        </w:tc>
        <w:tc>
          <w:tcPr>
            <w:tcW w:w="2300" w:type="dxa"/>
            <w:vAlign w:val="bottom"/>
            <w:tcBorders>
              <w:top w:val="single" w:sz="8" w:color="auto"/>
            </w:tcBorders>
          </w:tcPr>
          <w:p>
            <w:pPr>
              <w:jc w:val="center"/>
              <w:ind w:left="12"/>
              <w:spacing w:after="0" w:line="242" w:lineRule="exact"/>
              <w:rPr>
                <w:sz w:val="20"/>
                <w:szCs w:val="20"/>
                <w:color w:val="auto"/>
              </w:rPr>
            </w:pPr>
            <w:r>
              <w:rPr>
                <w:rFonts w:ascii="Arial" w:cs="Arial" w:eastAsia="Arial" w:hAnsi="Arial"/>
                <w:sz w:val="22"/>
                <w:szCs w:val="22"/>
                <w:color w:val="auto"/>
                <w:w w:val="88"/>
              </w:rPr>
              <w:t>_____________ (___%)</w:t>
            </w:r>
          </w:p>
        </w:tc>
        <w:tc>
          <w:tcPr>
            <w:tcW w:w="1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60" w:type="dxa"/>
            <w:vAlign w:val="bottom"/>
            <w:tcBorders>
              <w:top w:val="single" w:sz="8" w:color="auto"/>
            </w:tcBorders>
          </w:tcPr>
          <w:p>
            <w:pPr>
              <w:jc w:val="center"/>
              <w:spacing w:after="0" w:line="242" w:lineRule="exact"/>
              <w:rPr>
                <w:sz w:val="20"/>
                <w:szCs w:val="20"/>
                <w:color w:val="auto"/>
              </w:rPr>
            </w:pPr>
            <w:r>
              <w:rPr>
                <w:rFonts w:ascii="Arial" w:cs="Arial" w:eastAsia="Arial" w:hAnsi="Arial"/>
                <w:sz w:val="22"/>
                <w:szCs w:val="22"/>
                <w:color w:val="auto"/>
                <w:w w:val="88"/>
              </w:rPr>
              <w:t>____________</w:t>
            </w:r>
          </w:p>
        </w:tc>
        <w:tc>
          <w:tcPr>
            <w:tcW w:w="0" w:type="dxa"/>
            <w:vAlign w:val="bottom"/>
          </w:tcPr>
          <w:p>
            <w:pPr>
              <w:spacing w:after="0"/>
              <w:rPr>
                <w:sz w:val="1"/>
                <w:szCs w:val="1"/>
                <w:color w:val="auto"/>
              </w:rPr>
            </w:pPr>
          </w:p>
        </w:tc>
      </w:tr>
      <w:tr>
        <w:trPr>
          <w:trHeight w:val="243"/>
        </w:trPr>
        <w:tc>
          <w:tcPr>
            <w:tcW w:w="3820" w:type="dxa"/>
            <w:vAlign w:val="bottom"/>
            <w:gridSpan w:val="2"/>
          </w:tcPr>
          <w:p>
            <w:pPr>
              <w:jc w:val="center"/>
              <w:ind w:left="1532"/>
              <w:spacing w:after="0" w:line="243" w:lineRule="exact"/>
              <w:rPr>
                <w:sz w:val="20"/>
                <w:szCs w:val="20"/>
                <w:color w:val="auto"/>
              </w:rPr>
            </w:pPr>
            <w:r>
              <w:rPr>
                <w:rFonts w:ascii="Arial" w:cs="Arial" w:eastAsia="Arial" w:hAnsi="Arial"/>
                <w:sz w:val="22"/>
                <w:szCs w:val="22"/>
                <w:color w:val="auto"/>
                <w:w w:val="88"/>
              </w:rPr>
              <w:t>_____________ (___%)</w:t>
            </w:r>
          </w:p>
        </w:tc>
        <w:tc>
          <w:tcPr>
            <w:tcW w:w="1420" w:type="dxa"/>
            <w:vAlign w:val="bottom"/>
          </w:tcPr>
          <w:p>
            <w:pPr>
              <w:spacing w:after="0"/>
              <w:rPr>
                <w:sz w:val="21"/>
                <w:szCs w:val="21"/>
                <w:color w:val="auto"/>
              </w:rPr>
            </w:pPr>
          </w:p>
        </w:tc>
        <w:tc>
          <w:tcPr>
            <w:tcW w:w="2960" w:type="dxa"/>
            <w:vAlign w:val="bottom"/>
            <w:gridSpan w:val="2"/>
          </w:tcPr>
          <w:p>
            <w:pPr>
              <w:jc w:val="center"/>
              <w:ind w:left="1192"/>
              <w:spacing w:after="0" w:line="243" w:lineRule="exact"/>
              <w:rPr>
                <w:sz w:val="20"/>
                <w:szCs w:val="20"/>
                <w:color w:val="auto"/>
              </w:rPr>
            </w:pPr>
            <w:r>
              <w:rPr>
                <w:rFonts w:ascii="Arial" w:cs="Arial" w:eastAsia="Arial" w:hAnsi="Arial"/>
                <w:sz w:val="22"/>
                <w:szCs w:val="22"/>
                <w:color w:val="auto"/>
                <w:w w:val="88"/>
              </w:rPr>
              <w:t>____________</w:t>
            </w:r>
          </w:p>
        </w:tc>
        <w:tc>
          <w:tcPr>
            <w:tcW w:w="0" w:type="dxa"/>
            <w:vAlign w:val="bottom"/>
          </w:tcPr>
          <w:p>
            <w:pPr>
              <w:spacing w:after="0"/>
              <w:rPr>
                <w:sz w:val="1"/>
                <w:szCs w:val="1"/>
                <w:color w:val="auto"/>
              </w:rPr>
            </w:pPr>
          </w:p>
        </w:tc>
      </w:tr>
      <w:tr>
        <w:trPr>
          <w:trHeight w:val="243"/>
        </w:trPr>
        <w:tc>
          <w:tcPr>
            <w:tcW w:w="3820" w:type="dxa"/>
            <w:vAlign w:val="bottom"/>
            <w:gridSpan w:val="2"/>
          </w:tcPr>
          <w:p>
            <w:pPr>
              <w:jc w:val="center"/>
              <w:ind w:left="1532"/>
              <w:spacing w:after="0" w:line="243" w:lineRule="exact"/>
              <w:rPr>
                <w:sz w:val="20"/>
                <w:szCs w:val="20"/>
                <w:color w:val="auto"/>
              </w:rPr>
            </w:pPr>
            <w:r>
              <w:rPr>
                <w:rFonts w:ascii="Arial" w:cs="Arial" w:eastAsia="Arial" w:hAnsi="Arial"/>
                <w:sz w:val="22"/>
                <w:szCs w:val="22"/>
                <w:color w:val="auto"/>
                <w:w w:val="88"/>
              </w:rPr>
              <w:t>_____________ (___%)</w:t>
            </w:r>
          </w:p>
        </w:tc>
        <w:tc>
          <w:tcPr>
            <w:tcW w:w="1420" w:type="dxa"/>
            <w:vAlign w:val="bottom"/>
          </w:tcPr>
          <w:p>
            <w:pPr>
              <w:spacing w:after="0"/>
              <w:rPr>
                <w:sz w:val="21"/>
                <w:szCs w:val="21"/>
                <w:color w:val="auto"/>
              </w:rPr>
            </w:pPr>
          </w:p>
        </w:tc>
        <w:tc>
          <w:tcPr>
            <w:tcW w:w="2960" w:type="dxa"/>
            <w:vAlign w:val="bottom"/>
            <w:gridSpan w:val="2"/>
          </w:tcPr>
          <w:p>
            <w:pPr>
              <w:jc w:val="center"/>
              <w:ind w:left="1192"/>
              <w:spacing w:after="0" w:line="243" w:lineRule="exact"/>
              <w:rPr>
                <w:sz w:val="20"/>
                <w:szCs w:val="20"/>
                <w:color w:val="auto"/>
              </w:rPr>
            </w:pPr>
            <w:r>
              <w:rPr>
                <w:rFonts w:ascii="Arial" w:cs="Arial" w:eastAsia="Arial" w:hAnsi="Arial"/>
                <w:sz w:val="22"/>
                <w:szCs w:val="22"/>
                <w:color w:val="auto"/>
                <w:w w:val="88"/>
              </w:rPr>
              <w:t>____________</w:t>
            </w:r>
          </w:p>
        </w:tc>
        <w:tc>
          <w:tcPr>
            <w:tcW w:w="0" w:type="dxa"/>
            <w:vAlign w:val="bottom"/>
          </w:tcPr>
          <w:p>
            <w:pPr>
              <w:spacing w:after="0"/>
              <w:rPr>
                <w:sz w:val="1"/>
                <w:szCs w:val="1"/>
                <w:color w:val="auto"/>
              </w:rPr>
            </w:pPr>
          </w:p>
        </w:tc>
      </w:tr>
      <w:tr>
        <w:trPr>
          <w:trHeight w:val="243"/>
        </w:trPr>
        <w:tc>
          <w:tcPr>
            <w:tcW w:w="3820" w:type="dxa"/>
            <w:vAlign w:val="bottom"/>
            <w:gridSpan w:val="2"/>
          </w:tcPr>
          <w:p>
            <w:pPr>
              <w:jc w:val="center"/>
              <w:ind w:left="1532"/>
              <w:spacing w:after="0" w:line="243" w:lineRule="exact"/>
              <w:rPr>
                <w:sz w:val="20"/>
                <w:szCs w:val="20"/>
                <w:color w:val="auto"/>
              </w:rPr>
            </w:pPr>
            <w:r>
              <w:rPr>
                <w:rFonts w:ascii="Arial" w:cs="Arial" w:eastAsia="Arial" w:hAnsi="Arial"/>
                <w:sz w:val="22"/>
                <w:szCs w:val="22"/>
                <w:color w:val="auto"/>
                <w:w w:val="88"/>
              </w:rPr>
              <w:t>_____________ (___%)</w:t>
            </w:r>
          </w:p>
        </w:tc>
        <w:tc>
          <w:tcPr>
            <w:tcW w:w="1420" w:type="dxa"/>
            <w:vAlign w:val="bottom"/>
          </w:tcPr>
          <w:p>
            <w:pPr>
              <w:spacing w:after="0"/>
              <w:rPr>
                <w:sz w:val="21"/>
                <w:szCs w:val="21"/>
                <w:color w:val="auto"/>
              </w:rPr>
            </w:pPr>
          </w:p>
        </w:tc>
        <w:tc>
          <w:tcPr>
            <w:tcW w:w="2960" w:type="dxa"/>
            <w:vAlign w:val="bottom"/>
            <w:gridSpan w:val="2"/>
          </w:tcPr>
          <w:p>
            <w:pPr>
              <w:jc w:val="center"/>
              <w:ind w:left="1192"/>
              <w:spacing w:after="0" w:line="243" w:lineRule="exact"/>
              <w:rPr>
                <w:sz w:val="20"/>
                <w:szCs w:val="20"/>
                <w:color w:val="auto"/>
              </w:rPr>
            </w:pPr>
            <w:r>
              <w:rPr>
                <w:rFonts w:ascii="Arial" w:cs="Arial" w:eastAsia="Arial" w:hAnsi="Arial"/>
                <w:sz w:val="22"/>
                <w:szCs w:val="22"/>
                <w:color w:val="auto"/>
                <w:w w:val="88"/>
              </w:rPr>
              <w:t>____________</w:t>
            </w:r>
          </w:p>
        </w:tc>
        <w:tc>
          <w:tcPr>
            <w:tcW w:w="0" w:type="dxa"/>
            <w:vAlign w:val="bottom"/>
          </w:tcPr>
          <w:p>
            <w:pPr>
              <w:spacing w:after="0"/>
              <w:rPr>
                <w:sz w:val="1"/>
                <w:szCs w:val="1"/>
                <w:color w:val="auto"/>
              </w:rPr>
            </w:pPr>
          </w:p>
        </w:tc>
      </w:tr>
      <w:tr>
        <w:trPr>
          <w:trHeight w:val="243"/>
        </w:trPr>
        <w:tc>
          <w:tcPr>
            <w:tcW w:w="3820" w:type="dxa"/>
            <w:vAlign w:val="bottom"/>
            <w:gridSpan w:val="2"/>
          </w:tcPr>
          <w:p>
            <w:pPr>
              <w:jc w:val="center"/>
              <w:ind w:left="1532"/>
              <w:spacing w:after="0" w:line="243" w:lineRule="exact"/>
              <w:rPr>
                <w:sz w:val="20"/>
                <w:szCs w:val="20"/>
                <w:color w:val="auto"/>
              </w:rPr>
            </w:pPr>
            <w:r>
              <w:rPr>
                <w:rFonts w:ascii="Arial" w:cs="Arial" w:eastAsia="Arial" w:hAnsi="Arial"/>
                <w:sz w:val="22"/>
                <w:szCs w:val="22"/>
                <w:color w:val="auto"/>
                <w:w w:val="88"/>
              </w:rPr>
              <w:t>_____________ (___%)</w:t>
            </w:r>
          </w:p>
        </w:tc>
        <w:tc>
          <w:tcPr>
            <w:tcW w:w="1420" w:type="dxa"/>
            <w:vAlign w:val="bottom"/>
          </w:tcPr>
          <w:p>
            <w:pPr>
              <w:spacing w:after="0"/>
              <w:rPr>
                <w:sz w:val="21"/>
                <w:szCs w:val="21"/>
                <w:color w:val="auto"/>
              </w:rPr>
            </w:pPr>
          </w:p>
        </w:tc>
        <w:tc>
          <w:tcPr>
            <w:tcW w:w="2960" w:type="dxa"/>
            <w:vAlign w:val="bottom"/>
            <w:gridSpan w:val="2"/>
          </w:tcPr>
          <w:p>
            <w:pPr>
              <w:jc w:val="center"/>
              <w:ind w:left="1192"/>
              <w:spacing w:after="0" w:line="243" w:lineRule="exact"/>
              <w:rPr>
                <w:sz w:val="20"/>
                <w:szCs w:val="20"/>
                <w:color w:val="auto"/>
              </w:rPr>
            </w:pPr>
            <w:r>
              <w:rPr>
                <w:rFonts w:ascii="Arial" w:cs="Arial" w:eastAsia="Arial" w:hAnsi="Arial"/>
                <w:sz w:val="22"/>
                <w:szCs w:val="22"/>
                <w:color w:val="auto"/>
                <w:w w:val="88"/>
              </w:rPr>
              <w:t>____________</w:t>
            </w:r>
          </w:p>
        </w:tc>
        <w:tc>
          <w:tcPr>
            <w:tcW w:w="0" w:type="dxa"/>
            <w:vAlign w:val="bottom"/>
          </w:tcPr>
          <w:p>
            <w:pPr>
              <w:spacing w:after="0"/>
              <w:rPr>
                <w:sz w:val="1"/>
                <w:szCs w:val="1"/>
                <w:color w:val="auto"/>
              </w:rPr>
            </w:pPr>
          </w:p>
        </w:tc>
      </w:tr>
      <w:tr>
        <w:trPr>
          <w:trHeight w:val="274"/>
        </w:trPr>
        <w:tc>
          <w:tcPr>
            <w:tcW w:w="5240" w:type="dxa"/>
            <w:vAlign w:val="bottom"/>
            <w:gridSpan w:val="3"/>
          </w:tcPr>
          <w:p>
            <w:pPr>
              <w:spacing w:after="0"/>
              <w:rPr>
                <w:sz w:val="20"/>
                <w:szCs w:val="20"/>
                <w:color w:val="auto"/>
              </w:rPr>
            </w:pPr>
            <w:r>
              <w:rPr>
                <w:rFonts w:ascii="Arial" w:cs="Arial" w:eastAsia="Arial" w:hAnsi="Arial"/>
                <w:sz w:val="22"/>
                <w:szCs w:val="22"/>
                <w:color w:val="auto"/>
              </w:rPr>
              <w:t>* Max. of $100,000 per yr.</w:t>
            </w:r>
          </w:p>
        </w:tc>
        <w:tc>
          <w:tcPr>
            <w:tcW w:w="13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40" w:firstLine="749"/>
        <w:spacing w:after="0" w:line="250" w:lineRule="auto"/>
        <w:rPr>
          <w:sz w:val="20"/>
          <w:szCs w:val="20"/>
          <w:color w:val="auto"/>
        </w:rPr>
      </w:pPr>
      <w:r>
        <w:rPr>
          <w:rFonts w:ascii="Arial" w:cs="Arial" w:eastAsia="Arial" w:hAnsi="Arial"/>
          <w:sz w:val="22"/>
          <w:szCs w:val="22"/>
          <w:color w:val="auto"/>
        </w:rPr>
        <w:t>Once exercisable, this Stock Option shall continue to be exercisable at any time or times prior to the close of business on the Expiration Date, subject to the provisions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7" w:name="page188"/>
    <w:bookmarkEnd w:id="187"/>
    <w:p>
      <w:pPr>
        <w:ind w:left="1500" w:hanging="743"/>
        <w:spacing w:after="0"/>
        <w:tabs>
          <w:tab w:leader="none" w:pos="150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505"/>
        <w:spacing w:after="0" w:line="238" w:lineRule="auto"/>
        <w:tabs>
          <w:tab w:leader="none" w:pos="2995" w:val="left"/>
        </w:tabs>
        <w:numPr>
          <w:ilvl w:val="1"/>
          <w:numId w:val="112"/>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5" w:lineRule="exact"/>
        <w:rPr>
          <w:sz w:val="20"/>
          <w:szCs w:val="20"/>
          <w:color w:val="auto"/>
        </w:rPr>
      </w:pPr>
    </w:p>
    <w:p>
      <w:pPr>
        <w:ind w:right="20" w:firstLine="749"/>
        <w:spacing w:after="0" w:line="273"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The transfer to the Optionee on the records of the Company or of the transfer agent of the Option Shares will be</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contingent upon (i) the Company’s receipt from the Optionee of the full purchase price for the Option Shares, as set forth above,</w:t>
      </w:r>
    </w:p>
    <w:p>
      <w:pPr>
        <w:spacing w:after="0" w:line="25" w:lineRule="exact"/>
        <w:rPr>
          <w:sz w:val="20"/>
          <w:szCs w:val="20"/>
          <w:color w:val="auto"/>
        </w:rPr>
      </w:pPr>
    </w:p>
    <w:p>
      <w:pPr>
        <w:ind w:left="320" w:hanging="312"/>
        <w:spacing w:after="0"/>
        <w:tabs>
          <w:tab w:leader="none" w:pos="32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24" w:lineRule="exact"/>
        <w:rPr>
          <w:rFonts w:ascii="Arial" w:cs="Arial" w:eastAsia="Arial" w:hAnsi="Arial"/>
          <w:sz w:val="19"/>
          <w:szCs w:val="19"/>
          <w:color w:val="auto"/>
        </w:rPr>
      </w:pPr>
    </w:p>
    <w:p>
      <w:pPr>
        <w:ind w:firstLine="8"/>
        <w:spacing w:after="0" w:line="277" w:lineRule="auto"/>
        <w:tabs>
          <w:tab w:leader="none" w:pos="37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52" w:lineRule="exact"/>
        <w:rPr>
          <w:rFonts w:ascii="Arial" w:cs="Arial" w:eastAsia="Arial" w:hAnsi="Arial"/>
          <w:sz w:val="19"/>
          <w:szCs w:val="19"/>
          <w:color w:val="auto"/>
        </w:rPr>
      </w:pPr>
    </w:p>
    <w:p>
      <w:pPr>
        <w:ind w:right="20" w:firstLine="1505"/>
        <w:spacing w:after="0" w:line="274" w:lineRule="auto"/>
        <w:tabs>
          <w:tab w:leader="none" w:pos="2995"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88" w:name="page189"/>
    <w:bookmarkEnd w:id="188"/>
    <w:p>
      <w:pPr>
        <w:ind w:left="-757" w:right="200" w:firstLine="1505"/>
        <w:spacing w:after="0"/>
        <w:tabs>
          <w:tab w:leader="none" w:pos="2238" w:val="left"/>
        </w:tabs>
        <w:numPr>
          <w:ilvl w:val="1"/>
          <w:numId w:val="114"/>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6" w:lineRule="exact"/>
        <w:rPr>
          <w:rFonts w:ascii="Arial" w:cs="Arial" w:eastAsia="Arial" w:hAnsi="Arial"/>
          <w:sz w:val="22"/>
          <w:szCs w:val="22"/>
          <w:color w:val="auto"/>
        </w:rPr>
      </w:pPr>
    </w:p>
    <w:p>
      <w:pPr>
        <w:ind w:left="-757" w:right="420" w:firstLine="1505"/>
        <w:spacing w:after="0" w:line="250" w:lineRule="auto"/>
        <w:tabs>
          <w:tab w:leader="none" w:pos="2238" w:val="left"/>
        </w:tabs>
        <w:numPr>
          <w:ilvl w:val="1"/>
          <w:numId w:val="114"/>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4" w:lineRule="exact"/>
        <w:rPr>
          <w:rFonts w:ascii="Arial" w:cs="Arial" w:eastAsia="Arial" w:hAnsi="Arial"/>
          <w:sz w:val="22"/>
          <w:szCs w:val="22"/>
          <w:color w:val="auto"/>
        </w:rPr>
      </w:pPr>
    </w:p>
    <w:p>
      <w:pPr>
        <w:jc w:val="both"/>
        <w:ind w:left="-757" w:right="100" w:firstLine="757"/>
        <w:spacing w:after="0"/>
        <w:tabs>
          <w:tab w:leader="none" w:pos="741"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Termination of Service Relationship</w:t>
      </w:r>
      <w:r>
        <w:rPr>
          <w:rFonts w:ascii="Arial" w:cs="Arial" w:eastAsia="Arial" w:hAnsi="Arial"/>
          <w:sz w:val="22"/>
          <w:szCs w:val="22"/>
          <w:color w:val="auto"/>
        </w:rPr>
        <w:t>. If the Optionee’s Service Relationship with the Company or a Subsidiary (as defined in the Plan) is terminated, the period within which to exercise the Stock Option may be subject to earlier termination as set forth below.</w:t>
      </w:r>
    </w:p>
    <w:p>
      <w:pPr>
        <w:spacing w:after="0" w:line="186" w:lineRule="exact"/>
        <w:rPr>
          <w:rFonts w:ascii="Arial" w:cs="Arial" w:eastAsia="Arial" w:hAnsi="Arial"/>
          <w:sz w:val="22"/>
          <w:szCs w:val="22"/>
          <w:color w:val="auto"/>
        </w:rPr>
      </w:pPr>
    </w:p>
    <w:p>
      <w:pPr>
        <w:ind w:left="-757" w:right="120" w:firstLine="1505"/>
        <w:spacing w:after="0" w:line="249" w:lineRule="auto"/>
        <w:tabs>
          <w:tab w:leader="none" w:pos="2238" w:val="left"/>
        </w:tabs>
        <w:numPr>
          <w:ilvl w:val="1"/>
          <w:numId w:val="115"/>
        </w:numPr>
        <w:rPr>
          <w:rFonts w:ascii="Arial" w:cs="Arial" w:eastAsia="Arial" w:hAnsi="Arial"/>
          <w:sz w:val="21"/>
          <w:szCs w:val="21"/>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8" w:lineRule="exact"/>
        <w:rPr>
          <w:rFonts w:ascii="Arial" w:cs="Arial" w:eastAsia="Arial" w:hAnsi="Arial"/>
          <w:sz w:val="21"/>
          <w:szCs w:val="21"/>
          <w:color w:val="auto"/>
        </w:rPr>
      </w:pPr>
    </w:p>
    <w:p>
      <w:pPr>
        <w:ind w:left="-757" w:right="120" w:firstLine="1505"/>
        <w:spacing w:after="0" w:line="282" w:lineRule="auto"/>
        <w:tabs>
          <w:tab w:leader="none" w:pos="2238"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Termination Due to Disability</w:t>
      </w:r>
      <w:r>
        <w:rPr>
          <w:rFonts w:ascii="Arial" w:cs="Arial" w:eastAsia="Arial" w:hAnsi="Arial"/>
          <w:sz w:val="19"/>
          <w:szCs w:val="19"/>
          <w:color w:val="auto"/>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47" w:lineRule="exact"/>
        <w:rPr>
          <w:rFonts w:ascii="Arial" w:cs="Arial" w:eastAsia="Arial" w:hAnsi="Arial"/>
          <w:sz w:val="19"/>
          <w:szCs w:val="19"/>
          <w:color w:val="auto"/>
        </w:rPr>
      </w:pPr>
    </w:p>
    <w:p>
      <w:pPr>
        <w:ind w:left="-757" w:right="20" w:firstLine="1505"/>
        <w:spacing w:after="0" w:line="246" w:lineRule="auto"/>
        <w:tabs>
          <w:tab w:leader="none" w:pos="2238" w:val="left"/>
        </w:tabs>
        <w:numPr>
          <w:ilvl w:val="1"/>
          <w:numId w:val="115"/>
        </w:numPr>
        <w:rPr>
          <w:rFonts w:ascii="Arial" w:cs="Arial" w:eastAsia="Arial" w:hAnsi="Arial"/>
          <w:sz w:val="21"/>
          <w:szCs w:val="21"/>
          <w:color w:val="auto"/>
        </w:rPr>
      </w:pPr>
      <w:r>
        <w:rPr>
          <w:rFonts w:ascii="Arial" w:cs="Arial" w:eastAsia="Arial" w:hAnsi="Arial"/>
          <w:sz w:val="21"/>
          <w:szCs w:val="21"/>
          <w:u w:val="single" w:color="auto"/>
          <w:color w:val="auto"/>
        </w:rPr>
        <w:t>Termination for Cause</w:t>
      </w:r>
      <w:r>
        <w:rPr>
          <w:rFonts w:ascii="Arial" w:cs="Arial" w:eastAsia="Arial" w:hAnsi="Arial"/>
          <w:sz w:val="21"/>
          <w:szCs w:val="21"/>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79" w:lineRule="exact"/>
        <w:rPr>
          <w:rFonts w:ascii="Arial" w:cs="Arial" w:eastAsia="Arial" w:hAnsi="Arial"/>
          <w:sz w:val="21"/>
          <w:szCs w:val="21"/>
          <w:color w:val="auto"/>
        </w:rPr>
      </w:pPr>
    </w:p>
    <w:p>
      <w:pPr>
        <w:ind w:left="-757" w:firstLine="1505"/>
        <w:spacing w:after="0" w:line="235" w:lineRule="auto"/>
        <w:tabs>
          <w:tab w:leader="none" w:pos="2238"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Other Termination</w:t>
      </w:r>
      <w:r>
        <w:rPr>
          <w:rFonts w:ascii="Arial" w:cs="Arial" w:eastAsia="Arial" w:hAnsi="Arial"/>
          <w:sz w:val="22"/>
          <w:szCs w:val="22"/>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360045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577" w:right="359" w:bottom="1440" w:gutter="0" w:footer="0" w:header="0"/>
        </w:sectPr>
      </w:pPr>
    </w:p>
    <w:bookmarkStart w:id="189" w:name="page190"/>
    <w:bookmarkEnd w:id="189"/>
    <w:p>
      <w:pPr>
        <w:ind w:right="800" w:firstLine="749"/>
        <w:spacing w:after="0" w:line="328" w:lineRule="auto"/>
        <w:rPr>
          <w:sz w:val="20"/>
          <w:szCs w:val="20"/>
          <w:color w:val="auto"/>
        </w:rPr>
      </w:pPr>
      <w:r>
        <w:rPr>
          <w:rFonts w:ascii="Arial" w:cs="Arial" w:eastAsia="Arial" w:hAnsi="Arial"/>
          <w:sz w:val="19"/>
          <w:szCs w:val="19"/>
          <w:color w:val="auto"/>
        </w:rPr>
        <w:t>The Administrator’s determination of the reason for termination of the Optionee’s Service Relationship with the Company or a Subsidiary shall be conclusive and binding on the Optionee and his or her representatives or legatees.</w:t>
      </w:r>
    </w:p>
    <w:p>
      <w:pPr>
        <w:spacing w:after="0" w:line="105" w:lineRule="exact"/>
        <w:rPr>
          <w:sz w:val="20"/>
          <w:szCs w:val="20"/>
          <w:color w:val="auto"/>
        </w:rPr>
      </w:pPr>
    </w:p>
    <w:p>
      <w:pPr>
        <w:jc w:val="both"/>
        <w:ind w:right="280" w:firstLine="757"/>
        <w:spacing w:after="0" w:line="238" w:lineRule="auto"/>
        <w:tabs>
          <w:tab w:leader="none" w:pos="1498"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right="300" w:firstLine="757"/>
        <w:spacing w:after="0" w:line="238" w:lineRule="auto"/>
        <w:tabs>
          <w:tab w:leader="none" w:pos="1498"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4" w:lineRule="exact"/>
        <w:rPr>
          <w:rFonts w:ascii="Arial" w:cs="Arial" w:eastAsia="Arial" w:hAnsi="Arial"/>
          <w:sz w:val="22"/>
          <w:szCs w:val="22"/>
          <w:color w:val="auto"/>
        </w:rPr>
      </w:pPr>
    </w:p>
    <w:p>
      <w:pPr>
        <w:ind w:right="20" w:firstLine="757"/>
        <w:spacing w:after="0" w:line="244" w:lineRule="auto"/>
        <w:tabs>
          <w:tab w:leader="none" w:pos="1498"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Status of the Stock Option</w:t>
      </w:r>
      <w:r>
        <w:rPr>
          <w:rFonts w:ascii="Arial" w:cs="Arial" w:eastAsia="Arial" w:hAnsi="Arial"/>
          <w:sz w:val="21"/>
          <w:szCs w:val="21"/>
          <w:color w:val="auto"/>
        </w:rPr>
        <w:t xml:space="preserve">. This Stock Option is intended to qualify as an “incentive stock option” under Section 422 of the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and that </w:t>
      </w:r>
      <w:r>
        <w:rPr>
          <w:rFonts w:ascii="Arial" w:cs="Arial" w:eastAsia="Arial" w:hAnsi="Arial"/>
          <w:sz w:val="21"/>
          <w:szCs w:val="21"/>
          <w:b w:val="1"/>
          <w:bCs w:val="1"/>
          <w:i w:val="1"/>
          <w:iCs w:val="1"/>
          <w:color w:val="auto"/>
        </w:rPr>
        <w:t>this Stock Option must be exercised within three months after</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termination of employment as an employee (or 12 months in the case of death or disability) to qualify as an “incentive stock option.</w:t>
      </w:r>
      <w:r>
        <w:rPr>
          <w:rFonts w:ascii="Arial" w:cs="Arial" w:eastAsia="Arial" w:hAnsi="Arial"/>
          <w:sz w:val="21"/>
          <w:szCs w:val="21"/>
          <w:color w:val="auto"/>
        </w:rPr>
        <w:t>” To the extent any portion of this Stock Option does not so qualify as an “incentive stock option,” such portion shall be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188" w:lineRule="exact"/>
        <w:rPr>
          <w:rFonts w:ascii="Arial" w:cs="Arial" w:eastAsia="Arial" w:hAnsi="Arial"/>
          <w:sz w:val="21"/>
          <w:szCs w:val="21"/>
          <w:color w:val="auto"/>
        </w:rPr>
      </w:pPr>
    </w:p>
    <w:p>
      <w:pPr>
        <w:ind w:left="1500" w:hanging="743"/>
        <w:spacing w:after="0"/>
        <w:tabs>
          <w:tab w:leader="none" w:pos="1500"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505"/>
        <w:spacing w:after="0" w:line="249" w:lineRule="exact"/>
        <w:tabs>
          <w:tab w:leader="none" w:pos="2995"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Optionee acknowledges that, regardless of any action taken by the Company or, if different, the Subsidiary employing the Optionee (the “Employer”),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the Optionee’s participation in the Plan and legally applicable to the Optionee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this Stock Option, including, but not limited to, the grant, vesting or exercise of this Stock Option, the subsequent sale of shares of Stock acquired pursuant to such exercise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0" w:name="page191"/>
    <w:bookmarkEnd w:id="190"/>
    <w:p>
      <w:pPr>
        <w:spacing w:after="0" w:line="250" w:lineRule="auto"/>
        <w:rPr>
          <w:sz w:val="20"/>
          <w:szCs w:val="20"/>
          <w:color w:val="auto"/>
        </w:rPr>
      </w:pPr>
      <w:r>
        <w:rPr>
          <w:rFonts w:ascii="Arial" w:cs="Arial" w:eastAsia="Arial" w:hAnsi="Arial"/>
          <w:sz w:val="22"/>
          <w:szCs w:val="22"/>
          <w:color w:val="auto"/>
        </w:rPr>
        <w:t>acknowledges that the Company and/or the Employer (or former employer, as applicable) may be required to withhold or account for Tax-Related Items in more than one jurisdiction.</w:t>
      </w:r>
    </w:p>
    <w:p>
      <w:pPr>
        <w:spacing w:after="0" w:line="175" w:lineRule="exact"/>
        <w:rPr>
          <w:sz w:val="20"/>
          <w:szCs w:val="20"/>
          <w:color w:val="auto"/>
        </w:rPr>
      </w:pPr>
    </w:p>
    <w:p>
      <w:pPr>
        <w:ind w:right="40" w:firstLine="1505"/>
        <w:spacing w:after="0" w:line="272" w:lineRule="auto"/>
        <w:tabs>
          <w:tab w:leader="none" w:pos="2995" w:val="left"/>
        </w:tabs>
        <w:numPr>
          <w:ilvl w:val="1"/>
          <w:numId w:val="117"/>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as applicable, the Optionee agrees to make adequate arrangements satisfactory to the Company and/or the Employer to satisfy all Tax-Related Items. In this regard, the Optionee authorizes the Company and/or the Employer, or their respective agents, at their discretion, to satisfy any applicable withholding obligations with regard to all Tax-Related Items by one or a combination of the following: (i) withholding from the Optionee’s wages or other cash compensation paid to the Optionee by the Company and/or the Employer; (ii) allowing or requiring the Optionee to make a cash payment to cover the Tax-Related Items; (iii) withholding from proceeds of the sale of shares of Stock acquired upon exercise of this Stock Option either through a voluntary sale or through a mandatory sale arranged by the Company (on the Optionee’s behalf pursuant to this authorization without further consent); (iv) withholding from the shares of Stock to be issued to the Optionee upon exercise of this Stock Option; or (v) any other method of withholding determined by the Company and permitted by applicable law; provided, however, that that if the Optionee is a Section 16 officer of the Company under the Exchange Act, in which case, the obligation for Tax-Related Items may be satisfied only by one or a combination of methods (i), (ii) and (iii) above.</w:t>
      </w:r>
    </w:p>
    <w:p>
      <w:pPr>
        <w:spacing w:after="0" w:line="160" w:lineRule="exact"/>
        <w:rPr>
          <w:rFonts w:ascii="Arial" w:cs="Arial" w:eastAsia="Arial" w:hAnsi="Arial"/>
          <w:sz w:val="19"/>
          <w:szCs w:val="19"/>
          <w:color w:val="auto"/>
        </w:rPr>
      </w:pPr>
    </w:p>
    <w:p>
      <w:pPr>
        <w:ind w:right="20" w:firstLine="1505"/>
        <w:spacing w:after="0" w:line="277" w:lineRule="auto"/>
        <w:tabs>
          <w:tab w:leader="none" w:pos="2995" w:val="left"/>
        </w:tabs>
        <w:numPr>
          <w:ilvl w:val="1"/>
          <w:numId w:val="117"/>
        </w:numPr>
        <w:rPr>
          <w:rFonts w:ascii="Arial" w:cs="Arial" w:eastAsia="Arial" w:hAnsi="Arial"/>
          <w:sz w:val="19"/>
          <w:szCs w:val="19"/>
          <w:color w:val="auto"/>
        </w:rPr>
      </w:pPr>
      <w:r>
        <w:rPr>
          <w:rFonts w:ascii="Arial" w:cs="Arial" w:eastAsia="Arial" w:hAnsi="Arial"/>
          <w:sz w:val="19"/>
          <w:szCs w:val="19"/>
          <w:color w:val="auto"/>
        </w:rPr>
        <w:t>Depending on the withholding method, the Company and/or the Employer may withhold or account for Tax-Related Items by considering applicable statutory withholding amounts or other applicable withholding rates, including maximum rates applicable in the Optionee’s jurisdiction, in which case the Optionee may receive a refund of any over-withheld amount in cash and will have no entitlement to the equivalent amount in shares of Stock. If the obligation for Tax-Related Items is satisfied by withholding in shares of Stock, for tax purposes, the Optionee is deemed to have been issued the full number of shares of Stock subject to the exercised Stock Option, notwithstanding that a number of the shares of Stock is held back solely for the purpose of paying the Tax-Related Items.</w:t>
      </w:r>
    </w:p>
    <w:p>
      <w:pPr>
        <w:spacing w:after="0" w:line="151" w:lineRule="exact"/>
        <w:rPr>
          <w:rFonts w:ascii="Arial" w:cs="Arial" w:eastAsia="Arial" w:hAnsi="Arial"/>
          <w:sz w:val="19"/>
          <w:szCs w:val="19"/>
          <w:color w:val="auto"/>
        </w:rPr>
      </w:pPr>
    </w:p>
    <w:p>
      <w:pPr>
        <w:ind w:firstLine="1505"/>
        <w:spacing w:after="0" w:line="236" w:lineRule="auto"/>
        <w:tabs>
          <w:tab w:leader="none" w:pos="2995" w:val="left"/>
        </w:tabs>
        <w:numPr>
          <w:ilvl w:val="1"/>
          <w:numId w:val="117"/>
        </w:numPr>
        <w:rPr>
          <w:rFonts w:ascii="Arial" w:cs="Arial" w:eastAsia="Arial" w:hAnsi="Arial"/>
          <w:sz w:val="22"/>
          <w:szCs w:val="22"/>
          <w:color w:val="auto"/>
        </w:rPr>
      </w:pPr>
      <w:r>
        <w:rPr>
          <w:rFonts w:ascii="Arial" w:cs="Arial" w:eastAsia="Arial" w:hAnsi="Arial"/>
          <w:sz w:val="22"/>
          <w:szCs w:val="22"/>
          <w:color w:val="auto"/>
        </w:rPr>
        <w:t>The Optionee agrees to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of Stock, or the proceeds of the sale of shares of Stock, if the Optionee fails to comply with his or her obligations in connection with the Tax-Related Items.</w:t>
      </w:r>
    </w:p>
    <w:p>
      <w:pPr>
        <w:spacing w:after="0" w:line="187" w:lineRule="exact"/>
        <w:rPr>
          <w:rFonts w:ascii="Arial" w:cs="Arial" w:eastAsia="Arial" w:hAnsi="Arial"/>
          <w:sz w:val="22"/>
          <w:szCs w:val="22"/>
          <w:color w:val="auto"/>
        </w:rPr>
      </w:pPr>
    </w:p>
    <w:p>
      <w:pPr>
        <w:ind w:right="60" w:firstLine="757"/>
        <w:spacing w:after="0" w:line="252" w:lineRule="auto"/>
        <w:tabs>
          <w:tab w:leader="none" w:pos="1498"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No Obligation to Continue Service Relationship</w:t>
      </w:r>
      <w:r>
        <w:rPr>
          <w:rFonts w:ascii="Arial" w:cs="Arial" w:eastAsia="Arial" w:hAnsi="Arial"/>
          <w:sz w:val="21"/>
          <w:szCs w:val="21"/>
          <w:color w:val="auto"/>
        </w:rPr>
        <w:t>.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spacing w:after="0" w:line="173" w:lineRule="exact"/>
        <w:rPr>
          <w:rFonts w:ascii="Arial" w:cs="Arial" w:eastAsia="Arial" w:hAnsi="Arial"/>
          <w:sz w:val="21"/>
          <w:szCs w:val="21"/>
          <w:color w:val="auto"/>
        </w:rPr>
      </w:pPr>
    </w:p>
    <w:p>
      <w:pPr>
        <w:ind w:right="460" w:firstLine="757"/>
        <w:spacing w:after="0" w:line="328" w:lineRule="auto"/>
        <w:tabs>
          <w:tab w:leader="none" w:pos="1498"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91" w:name="page192"/>
    <w:bookmarkEnd w:id="191"/>
    <w:p>
      <w:pPr>
        <w:ind w:left="-757" w:right="120" w:firstLine="757"/>
        <w:spacing w:after="0" w:line="273" w:lineRule="auto"/>
        <w:tabs>
          <w:tab w:leader="none" w:pos="741"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60" w:lineRule="exact"/>
        <w:rPr>
          <w:rFonts w:ascii="Arial" w:cs="Arial" w:eastAsia="Arial" w:hAnsi="Arial"/>
          <w:sz w:val="19"/>
          <w:szCs w:val="19"/>
          <w:color w:val="auto"/>
        </w:rPr>
      </w:pPr>
    </w:p>
    <w:p>
      <w:pPr>
        <w:jc w:val="both"/>
        <w:ind w:left="-757" w:right="260" w:firstLine="757"/>
        <w:spacing w:after="0"/>
        <w:tabs>
          <w:tab w:leader="none" w:pos="741"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86" w:lineRule="exact"/>
        <w:rPr>
          <w:rFonts w:ascii="Arial" w:cs="Arial" w:eastAsia="Arial" w:hAnsi="Arial"/>
          <w:sz w:val="22"/>
          <w:szCs w:val="22"/>
          <w:color w:val="auto"/>
        </w:rPr>
      </w:pPr>
    </w:p>
    <w:p>
      <w:pPr>
        <w:ind w:left="-757" w:right="260" w:firstLine="757"/>
        <w:spacing w:after="0"/>
        <w:tabs>
          <w:tab w:leader="none" w:pos="741"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The Optionee acknowledges that a waiver by the Company of breach of any provision of this Agreement shall not operate or be construed as a waiver of any other provision of this Agreement, or of any subsequent breach by the Optionee or any other Optionee.</w:t>
      </w:r>
    </w:p>
    <w:p>
      <w:pPr>
        <w:spacing w:after="0" w:line="186" w:lineRule="exact"/>
        <w:rPr>
          <w:rFonts w:ascii="Arial" w:cs="Arial" w:eastAsia="Arial" w:hAnsi="Arial"/>
          <w:sz w:val="22"/>
          <w:szCs w:val="22"/>
          <w:color w:val="auto"/>
        </w:rPr>
      </w:pPr>
    </w:p>
    <w:p>
      <w:pPr>
        <w:ind w:left="-757" w:right="380" w:firstLine="757"/>
        <w:spacing w:after="0" w:line="287" w:lineRule="auto"/>
        <w:tabs>
          <w:tab w:leader="none" w:pos="741"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42" w:lineRule="exact"/>
        <w:rPr>
          <w:rFonts w:ascii="Arial" w:cs="Arial" w:eastAsia="Arial" w:hAnsi="Arial"/>
          <w:sz w:val="19"/>
          <w:szCs w:val="19"/>
          <w:color w:val="auto"/>
        </w:rPr>
      </w:pPr>
    </w:p>
    <w:p>
      <w:pPr>
        <w:ind w:left="-757" w:right="120" w:firstLine="757"/>
        <w:spacing w:after="0"/>
        <w:tabs>
          <w:tab w:leader="none" w:pos="741"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86" w:lineRule="exact"/>
        <w:rPr>
          <w:rFonts w:ascii="Arial" w:cs="Arial" w:eastAsia="Arial" w:hAnsi="Arial"/>
          <w:sz w:val="22"/>
          <w:szCs w:val="22"/>
          <w:color w:val="auto"/>
        </w:rPr>
      </w:pPr>
    </w:p>
    <w:p>
      <w:pPr>
        <w:ind w:left="-757" w:firstLine="757"/>
        <w:spacing w:after="0" w:line="252" w:lineRule="auto"/>
        <w:tabs>
          <w:tab w:leader="none" w:pos="741"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 of Documents</w:t>
      </w:r>
      <w:r>
        <w:rPr>
          <w:rFonts w:ascii="Arial" w:cs="Arial" w:eastAsia="Arial" w:hAnsi="Arial"/>
          <w:sz w:val="21"/>
          <w:szCs w:val="21"/>
          <w:color w:val="auto"/>
        </w:rPr>
        <w:t>. The Company may, in its sole discretion, decide to 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351155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77" w:right="339" w:bottom="1440" w:gutter="0" w:footer="0" w:header="0"/>
        </w:sectPr>
      </w:pPr>
    </w:p>
    <w:bookmarkStart w:id="192" w:name="page193"/>
    <w:bookmarkEnd w:id="192"/>
    <w:p>
      <w:pPr>
        <w:ind w:left="5620"/>
        <w:spacing w:after="0"/>
        <w:rPr>
          <w:sz w:val="20"/>
          <w:szCs w:val="20"/>
          <w:color w:val="auto"/>
        </w:rPr>
      </w:pPr>
      <w:r>
        <w:rPr>
          <w:rFonts w:ascii="Arial" w:cs="Arial" w:eastAsia="Arial" w:hAnsi="Arial"/>
          <w:sz w:val="22"/>
          <w:szCs w:val="22"/>
          <w:b w:val="1"/>
          <w:bCs w:val="1"/>
          <w:color w:val="auto"/>
        </w:rPr>
        <w:t>Relay Therapeutics, Inc.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-158115</wp:posOffset>
            </wp:positionV>
            <wp:extent cx="320611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Optionee’s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-158115</wp:posOffset>
            </wp:positionV>
            <wp:extent cx="648906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2">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7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290195</wp:posOffset>
            </wp:positionV>
            <wp:extent cx="35661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3">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581660</wp:posOffset>
            </wp:positionV>
            <wp:extent cx="356616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4">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873125</wp:posOffset>
            </wp:positionV>
            <wp:extent cx="35661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5">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1374775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44" w:right="719" w:bottom="1440" w:gutter="0" w:footer="0" w:header="0"/>
        </w:sectPr>
      </w:pPr>
    </w:p>
    <w:bookmarkStart w:id="193" w:name="page194"/>
    <w:bookmarkEnd w:id="193"/>
    <w:p>
      <w:pPr>
        <w:jc w:val="center"/>
        <w:spacing w:after="0"/>
        <w:rPr>
          <w:sz w:val="20"/>
          <w:szCs w:val="20"/>
          <w:color w:val="auto"/>
        </w:rPr>
      </w:pPr>
      <w:r>
        <w:rPr>
          <w:rFonts w:ascii="Arial" w:cs="Arial" w:eastAsia="Arial" w:hAnsi="Arial"/>
          <w:sz w:val="25"/>
          <w:szCs w:val="25"/>
          <w:b w:val="1"/>
          <w:bCs w:val="1"/>
          <w:color w:val="auto"/>
        </w:rPr>
        <w:t>NON-QUALIFIED STOCK OPTION AGREEMENT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COMPANY EMPLOYEES</w:t>
      </w:r>
    </w:p>
    <w:p>
      <w:pPr>
        <w:jc w:val="center"/>
        <w:spacing w:after="0" w:line="236" w:lineRule="auto"/>
        <w:rPr>
          <w:sz w:val="20"/>
          <w:szCs w:val="20"/>
          <w:color w:val="auto"/>
        </w:rPr>
      </w:pPr>
      <w:r>
        <w:rPr>
          <w:rFonts w:ascii="Arial" w:cs="Arial" w:eastAsia="Arial" w:hAnsi="Arial"/>
          <w:sz w:val="25"/>
          <w:szCs w:val="25"/>
          <w:b w:val="1"/>
          <w:bCs w:val="1"/>
          <w:color w:val="auto"/>
        </w:rPr>
        <w:t>UNDER THE RELAY THERAPEUTICS,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2020 STOCK OPTION AND INCENTIVE PLAN</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6985</wp:posOffset>
            </wp:positionV>
            <wp:extent cx="35401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6985</wp:posOffset>
            </wp:positionV>
            <wp:extent cx="183451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8">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4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22"/>
          <w:szCs w:val="22"/>
          <w:color w:val="auto"/>
        </w:rPr>
        <w:t>Option Exercise Price per Share:</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6985</wp:posOffset>
            </wp:positionV>
            <wp:extent cx="18345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[FMV on Grant Date]</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6985</wp:posOffset>
            </wp:positionV>
            <wp:extent cx="183451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0">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6985</wp:posOffset>
            </wp:positionV>
            <wp:extent cx="183451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4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Pursuant to the Relay Therapeutics, Inc. 2020 Stock Option and Incentive Plan as amended through the date hereof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“Plan”), Relay Therapeutics, Inc. (the “Company”) hereby grants to the Optionee named above an option (the “Stock Option”)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purchase on or prior to the Expiration Date specified above all or part of the number of shares of Common Stock, par value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$0.001 per share (the “Stock”) of the Company specified above at the Option Exercise Price per Share specified above subject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terms and conditions set forth herein and in the Plan. This Stock Option is not intended to be an “incentive stock option”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under Section 422 of the Internal Revenue Code of 1986, as amended.</w:t>
      </w:r>
    </w:p>
    <w:p>
      <w:pPr>
        <w:spacing w:after="0" w:line="188" w:lineRule="exact"/>
        <w:rPr>
          <w:sz w:val="20"/>
          <w:szCs w:val="20"/>
          <w:color w:val="auto"/>
        </w:rPr>
      </w:pPr>
    </w:p>
    <w:p>
      <w:pPr>
        <w:ind w:firstLine="757"/>
        <w:spacing w:after="0" w:line="236" w:lineRule="auto"/>
        <w:tabs>
          <w:tab w:leader="none" w:pos="1498"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Exercisability Schedule</w:t>
      </w:r>
      <w:r>
        <w:rPr>
          <w:rFonts w:ascii="Arial" w:cs="Arial" w:eastAsia="Arial" w:hAnsi="Arial"/>
          <w:sz w:val="22"/>
          <w:szCs w:val="22"/>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Optionee continues to have a Service Relationship with the Company or a Subsidiary on such dates: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3620" w:type="dxa"/>
            <w:vAlign w:val="bottom"/>
            <w:gridSpan w:val="2"/>
          </w:tcPr>
          <w:p>
            <w:pPr>
              <w:jc w:val="center"/>
              <w:ind w:right="1340"/>
              <w:spacing w:after="0"/>
              <w:rPr>
                <w:sz w:val="20"/>
                <w:szCs w:val="20"/>
                <w:color w:val="auto"/>
              </w:rPr>
            </w:pPr>
            <w:r>
              <w:rPr>
                <w:rFonts w:ascii="Arial" w:cs="Arial" w:eastAsia="Arial" w:hAnsi="Arial"/>
                <w:sz w:val="22"/>
                <w:szCs w:val="22"/>
                <w:color w:val="auto"/>
                <w:w w:val="91"/>
              </w:rPr>
              <w:t>Incremental Number of</w:t>
            </w:r>
          </w:p>
        </w:tc>
        <w:tc>
          <w:tcPr>
            <w:tcW w:w="5280" w:type="dxa"/>
            <w:vAlign w:val="bottom"/>
            <w:gridSpan w:val="3"/>
            <w:vMerge w:val="restart"/>
          </w:tcPr>
          <w:p>
            <w:pPr>
              <w:jc w:val="center"/>
              <w:ind w:right="940"/>
              <w:spacing w:after="0"/>
              <w:rPr>
                <w:sz w:val="20"/>
                <w:szCs w:val="20"/>
                <w:color w:val="auto"/>
              </w:rPr>
            </w:pPr>
            <w:r>
              <w:rPr>
                <w:rFonts w:ascii="Arial" w:cs="Arial" w:eastAsia="Arial" w:hAnsi="Arial"/>
                <w:sz w:val="22"/>
                <w:szCs w:val="22"/>
                <w:color w:val="auto"/>
                <w:w w:val="91"/>
              </w:rPr>
              <w:t>Exercisability Date</w:t>
            </w:r>
          </w:p>
        </w:tc>
        <w:tc>
          <w:tcPr>
            <w:tcW w:w="0" w:type="dxa"/>
            <w:vAlign w:val="bottom"/>
          </w:tcPr>
          <w:p>
            <w:pPr>
              <w:spacing w:after="0"/>
              <w:rPr>
                <w:sz w:val="1"/>
                <w:szCs w:val="1"/>
                <w:color w:val="auto"/>
              </w:rPr>
            </w:pPr>
          </w:p>
        </w:tc>
      </w:tr>
      <w:tr>
        <w:trPr>
          <w:trHeight w:val="224"/>
        </w:trPr>
        <w:tc>
          <w:tcPr>
            <w:tcW w:w="5960" w:type="dxa"/>
            <w:vAlign w:val="bottom"/>
            <w:gridSpan w:val="3"/>
          </w:tcPr>
          <w:p>
            <w:pPr>
              <w:jc w:val="center"/>
              <w:ind w:left="892"/>
              <w:spacing w:after="0" w:line="224" w:lineRule="exact"/>
              <w:rPr>
                <w:sz w:val="20"/>
                <w:szCs w:val="20"/>
                <w:color w:val="auto"/>
              </w:rPr>
            </w:pPr>
            <w:r>
              <w:rPr>
                <w:rFonts w:ascii="Arial" w:cs="Arial" w:eastAsia="Arial" w:hAnsi="Arial"/>
                <w:sz w:val="22"/>
                <w:szCs w:val="22"/>
                <w:color w:val="auto"/>
                <w:w w:val="87"/>
              </w:rPr>
              <w:t>Option Shares Exercisable</w:t>
            </w:r>
          </w:p>
        </w:tc>
        <w:tc>
          <w:tcPr>
            <w:tcW w:w="52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340" w:type="dxa"/>
            <w:vAlign w:val="bottom"/>
          </w:tcPr>
          <w:p>
            <w:pPr>
              <w:spacing w:after="0"/>
              <w:rPr>
                <w:sz w:val="24"/>
                <w:szCs w:val="24"/>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9"/>
              </w:rPr>
              <w:t>_____________ (___%)</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____________</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jc w:val="center"/>
              <w:ind w:left="2232"/>
              <w:spacing w:after="0" w:line="243" w:lineRule="exact"/>
              <w:rPr>
                <w:sz w:val="20"/>
                <w:szCs w:val="20"/>
                <w:color w:val="auto"/>
              </w:rPr>
            </w:pPr>
            <w:r>
              <w:rPr>
                <w:rFonts w:ascii="Arial" w:cs="Arial" w:eastAsia="Arial" w:hAnsi="Arial"/>
                <w:sz w:val="22"/>
                <w:szCs w:val="22"/>
                <w:color w:val="auto"/>
                <w:w w:val="89"/>
              </w:rPr>
              <w:t>_____________ (___%)</w:t>
            </w:r>
          </w:p>
        </w:tc>
        <w:tc>
          <w:tcPr>
            <w:tcW w:w="1340" w:type="dxa"/>
            <w:vAlign w:val="bottom"/>
          </w:tcPr>
          <w:p>
            <w:pPr>
              <w:spacing w:after="0"/>
              <w:rPr>
                <w:sz w:val="21"/>
                <w:szCs w:val="21"/>
                <w:color w:val="auto"/>
              </w:rPr>
            </w:pPr>
          </w:p>
        </w:tc>
        <w:tc>
          <w:tcPr>
            <w:tcW w:w="3000" w:type="dxa"/>
            <w:vAlign w:val="bottom"/>
            <w:gridSpan w:val="2"/>
          </w:tcPr>
          <w:p>
            <w:pPr>
              <w:jc w:val="center"/>
              <w:ind w:left="1232"/>
              <w:spacing w:after="0" w:line="243" w:lineRule="exact"/>
              <w:rPr>
                <w:sz w:val="20"/>
                <w:szCs w:val="20"/>
                <w:color w:val="auto"/>
              </w:rPr>
            </w:pPr>
            <w:r>
              <w:rPr>
                <w:rFonts w:ascii="Arial" w:cs="Arial" w:eastAsia="Arial" w:hAnsi="Arial"/>
                <w:sz w:val="22"/>
                <w:szCs w:val="22"/>
                <w:color w:val="auto"/>
                <w:w w:val="88"/>
              </w:rPr>
              <w:t>____________</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jc w:val="center"/>
              <w:ind w:left="2232"/>
              <w:spacing w:after="0" w:line="243" w:lineRule="exact"/>
              <w:rPr>
                <w:sz w:val="20"/>
                <w:szCs w:val="20"/>
                <w:color w:val="auto"/>
              </w:rPr>
            </w:pPr>
            <w:r>
              <w:rPr>
                <w:rFonts w:ascii="Arial" w:cs="Arial" w:eastAsia="Arial" w:hAnsi="Arial"/>
                <w:sz w:val="22"/>
                <w:szCs w:val="22"/>
                <w:color w:val="auto"/>
                <w:w w:val="89"/>
              </w:rPr>
              <w:t>_____________ (___%)</w:t>
            </w:r>
          </w:p>
        </w:tc>
        <w:tc>
          <w:tcPr>
            <w:tcW w:w="1340" w:type="dxa"/>
            <w:vAlign w:val="bottom"/>
          </w:tcPr>
          <w:p>
            <w:pPr>
              <w:spacing w:after="0"/>
              <w:rPr>
                <w:sz w:val="21"/>
                <w:szCs w:val="21"/>
                <w:color w:val="auto"/>
              </w:rPr>
            </w:pPr>
          </w:p>
        </w:tc>
        <w:tc>
          <w:tcPr>
            <w:tcW w:w="3000" w:type="dxa"/>
            <w:vAlign w:val="bottom"/>
            <w:gridSpan w:val="2"/>
          </w:tcPr>
          <w:p>
            <w:pPr>
              <w:jc w:val="center"/>
              <w:ind w:left="1232"/>
              <w:spacing w:after="0" w:line="243" w:lineRule="exact"/>
              <w:rPr>
                <w:sz w:val="20"/>
                <w:szCs w:val="20"/>
                <w:color w:val="auto"/>
              </w:rPr>
            </w:pPr>
            <w:r>
              <w:rPr>
                <w:rFonts w:ascii="Arial" w:cs="Arial" w:eastAsia="Arial" w:hAnsi="Arial"/>
                <w:sz w:val="22"/>
                <w:szCs w:val="22"/>
                <w:color w:val="auto"/>
                <w:w w:val="88"/>
              </w:rPr>
              <w:t>____________</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jc w:val="center"/>
              <w:ind w:left="2232"/>
              <w:spacing w:after="0" w:line="243" w:lineRule="exact"/>
              <w:rPr>
                <w:sz w:val="20"/>
                <w:szCs w:val="20"/>
                <w:color w:val="auto"/>
              </w:rPr>
            </w:pPr>
            <w:r>
              <w:rPr>
                <w:rFonts w:ascii="Arial" w:cs="Arial" w:eastAsia="Arial" w:hAnsi="Arial"/>
                <w:sz w:val="22"/>
                <w:szCs w:val="22"/>
                <w:color w:val="auto"/>
                <w:w w:val="89"/>
              </w:rPr>
              <w:t>_____________ (___%)</w:t>
            </w:r>
          </w:p>
        </w:tc>
        <w:tc>
          <w:tcPr>
            <w:tcW w:w="1340" w:type="dxa"/>
            <w:vAlign w:val="bottom"/>
          </w:tcPr>
          <w:p>
            <w:pPr>
              <w:spacing w:after="0"/>
              <w:rPr>
                <w:sz w:val="21"/>
                <w:szCs w:val="21"/>
                <w:color w:val="auto"/>
              </w:rPr>
            </w:pPr>
          </w:p>
        </w:tc>
        <w:tc>
          <w:tcPr>
            <w:tcW w:w="3000" w:type="dxa"/>
            <w:vAlign w:val="bottom"/>
            <w:gridSpan w:val="2"/>
          </w:tcPr>
          <w:p>
            <w:pPr>
              <w:jc w:val="center"/>
              <w:ind w:left="1232"/>
              <w:spacing w:after="0" w:line="243" w:lineRule="exact"/>
              <w:rPr>
                <w:sz w:val="20"/>
                <w:szCs w:val="20"/>
                <w:color w:val="auto"/>
              </w:rPr>
            </w:pPr>
            <w:r>
              <w:rPr>
                <w:rFonts w:ascii="Arial" w:cs="Arial" w:eastAsia="Arial" w:hAnsi="Arial"/>
                <w:sz w:val="22"/>
                <w:szCs w:val="22"/>
                <w:color w:val="auto"/>
                <w:w w:val="88"/>
              </w:rPr>
              <w:t>____________</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620" w:type="dxa"/>
            <w:vAlign w:val="bottom"/>
            <w:gridSpan w:val="2"/>
          </w:tcPr>
          <w:p>
            <w:pPr>
              <w:jc w:val="center"/>
              <w:ind w:left="2232"/>
              <w:spacing w:after="0"/>
              <w:rPr>
                <w:sz w:val="20"/>
                <w:szCs w:val="20"/>
                <w:color w:val="auto"/>
              </w:rPr>
            </w:pPr>
            <w:r>
              <w:rPr>
                <w:rFonts w:ascii="Arial" w:cs="Arial" w:eastAsia="Arial" w:hAnsi="Arial"/>
                <w:sz w:val="22"/>
                <w:szCs w:val="22"/>
                <w:color w:val="auto"/>
                <w:w w:val="89"/>
              </w:rPr>
              <w:t>_____________ (___%)</w:t>
            </w:r>
          </w:p>
        </w:tc>
        <w:tc>
          <w:tcPr>
            <w:tcW w:w="1340" w:type="dxa"/>
            <w:vAlign w:val="bottom"/>
          </w:tcPr>
          <w:p>
            <w:pPr>
              <w:spacing w:after="0"/>
              <w:rPr>
                <w:sz w:val="23"/>
                <w:szCs w:val="23"/>
                <w:color w:val="auto"/>
              </w:rPr>
            </w:pPr>
          </w:p>
        </w:tc>
        <w:tc>
          <w:tcPr>
            <w:tcW w:w="3000" w:type="dxa"/>
            <w:vAlign w:val="bottom"/>
            <w:gridSpan w:val="2"/>
          </w:tcPr>
          <w:p>
            <w:pPr>
              <w:jc w:val="center"/>
              <w:ind w:left="1232"/>
              <w:spacing w:after="0"/>
              <w:rPr>
                <w:sz w:val="20"/>
                <w:szCs w:val="20"/>
                <w:color w:val="auto"/>
              </w:rPr>
            </w:pPr>
            <w:r>
              <w:rPr>
                <w:rFonts w:ascii="Arial" w:cs="Arial" w:eastAsia="Arial" w:hAnsi="Arial"/>
                <w:sz w:val="22"/>
                <w:szCs w:val="22"/>
                <w:color w:val="auto"/>
                <w:w w:val="88"/>
              </w:rPr>
              <w:t>____________</w:t>
            </w: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09"/>
        </w:trPr>
        <w:tc>
          <w:tcPr>
            <w:tcW w:w="23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94" w:name="page195"/>
    <w:bookmarkEnd w:id="194"/>
    <w:p>
      <w:pPr>
        <w:ind w:firstLine="749"/>
        <w:spacing w:after="0" w:line="250" w:lineRule="auto"/>
        <w:rPr>
          <w:sz w:val="20"/>
          <w:szCs w:val="20"/>
          <w:color w:val="auto"/>
        </w:rPr>
      </w:pPr>
      <w:r>
        <w:rPr>
          <w:rFonts w:ascii="Arial" w:cs="Arial" w:eastAsia="Arial" w:hAnsi="Arial"/>
          <w:sz w:val="22"/>
          <w:szCs w:val="22"/>
          <w:color w:val="auto"/>
        </w:rPr>
        <w:t>Once exercisable, this Stock Option shall continue to be exercisable at any time or times prior to the close of business on the Expiration Date, subject to the provisions hereof and of the Plan.</w:t>
      </w:r>
    </w:p>
    <w:p>
      <w:pPr>
        <w:spacing w:after="0" w:line="175" w:lineRule="exact"/>
        <w:rPr>
          <w:sz w:val="20"/>
          <w:szCs w:val="20"/>
          <w:color w:val="auto"/>
        </w:rPr>
      </w:pPr>
    </w:p>
    <w:p>
      <w:pPr>
        <w:ind w:left="1500" w:hanging="743"/>
        <w:spacing w:after="0"/>
        <w:tabs>
          <w:tab w:leader="none" w:pos="1500"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505"/>
        <w:spacing w:after="0" w:line="238" w:lineRule="auto"/>
        <w:tabs>
          <w:tab w:leader="none" w:pos="2995"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5" w:lineRule="exact"/>
        <w:rPr>
          <w:sz w:val="20"/>
          <w:szCs w:val="20"/>
          <w:color w:val="auto"/>
        </w:rPr>
      </w:pPr>
    </w:p>
    <w:p>
      <w:pPr>
        <w:ind w:right="20" w:firstLine="749"/>
        <w:spacing w:after="0" w:line="272"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The transfer to the Optionee on the records of the Company or of the transfer agent of the Option Shares will be</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contingent upon (i) the Company’s receipt from the Optionee of the full purchase price for the Option Shares, as set forth above,</w:t>
      </w:r>
    </w:p>
    <w:p>
      <w:pPr>
        <w:spacing w:after="0" w:line="25" w:lineRule="exact"/>
        <w:rPr>
          <w:sz w:val="20"/>
          <w:szCs w:val="20"/>
          <w:color w:val="auto"/>
        </w:rPr>
      </w:pPr>
    </w:p>
    <w:p>
      <w:pPr>
        <w:ind w:left="320" w:hanging="312"/>
        <w:spacing w:after="0"/>
        <w:tabs>
          <w:tab w:leader="none" w:pos="32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24" w:lineRule="exact"/>
        <w:rPr>
          <w:rFonts w:ascii="Arial" w:cs="Arial" w:eastAsia="Arial" w:hAnsi="Arial"/>
          <w:sz w:val="19"/>
          <w:szCs w:val="19"/>
          <w:color w:val="auto"/>
        </w:rPr>
      </w:pPr>
    </w:p>
    <w:p>
      <w:pPr>
        <w:ind w:firstLine="8"/>
        <w:spacing w:after="0" w:line="277" w:lineRule="auto"/>
        <w:tabs>
          <w:tab w:leader="none" w:pos="37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52" w:lineRule="exact"/>
        <w:rPr>
          <w:rFonts w:ascii="Arial" w:cs="Arial" w:eastAsia="Arial" w:hAnsi="Arial"/>
          <w:sz w:val="19"/>
          <w:szCs w:val="19"/>
          <w:color w:val="auto"/>
        </w:rPr>
      </w:pPr>
    </w:p>
    <w:p>
      <w:pPr>
        <w:ind w:right="20" w:firstLine="1505"/>
        <w:spacing w:after="0" w:line="249" w:lineRule="auto"/>
        <w:tabs>
          <w:tab w:leader="none" w:pos="2995" w:val="left"/>
        </w:tabs>
        <w:numPr>
          <w:ilvl w:val="1"/>
          <w:numId w:val="122"/>
        </w:numPr>
        <w:rPr>
          <w:rFonts w:ascii="Arial" w:cs="Arial" w:eastAsia="Arial" w:hAnsi="Arial"/>
          <w:sz w:val="21"/>
          <w:szCs w:val="21"/>
          <w:color w:val="auto"/>
        </w:rPr>
      </w:pPr>
      <w:r>
        <w:rPr>
          <w:rFonts w:ascii="Arial" w:cs="Arial" w:eastAsia="Arial" w:hAnsi="Arial"/>
          <w:sz w:val="21"/>
          <w:szCs w:val="21"/>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95" w:name="page196"/>
    <w:bookmarkEnd w:id="195"/>
    <w:p>
      <w:pPr>
        <w:spacing w:after="0" w:line="252" w:lineRule="auto"/>
        <w:rPr>
          <w:sz w:val="20"/>
          <w:szCs w:val="20"/>
          <w:color w:val="auto"/>
        </w:rPr>
      </w:pPr>
      <w:r>
        <w:rPr>
          <w:rFonts w:ascii="Arial" w:cs="Arial" w:eastAsia="Arial" w:hAnsi="Arial"/>
          <w:sz w:val="21"/>
          <w:szCs w:val="21"/>
          <w:color w:val="auto"/>
        </w:rPr>
        <w:t>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74" w:lineRule="exact"/>
        <w:rPr>
          <w:sz w:val="20"/>
          <w:szCs w:val="20"/>
          <w:color w:val="auto"/>
        </w:rPr>
      </w:pPr>
    </w:p>
    <w:p>
      <w:pPr>
        <w:ind w:right="200" w:firstLine="1505"/>
        <w:spacing w:after="0"/>
        <w:tabs>
          <w:tab w:leader="none" w:pos="2995"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6" w:lineRule="exact"/>
        <w:rPr>
          <w:rFonts w:ascii="Arial" w:cs="Arial" w:eastAsia="Arial" w:hAnsi="Arial"/>
          <w:sz w:val="22"/>
          <w:szCs w:val="22"/>
          <w:color w:val="auto"/>
        </w:rPr>
      </w:pPr>
    </w:p>
    <w:p>
      <w:pPr>
        <w:ind w:right="420" w:firstLine="1505"/>
        <w:spacing w:after="0" w:line="250" w:lineRule="auto"/>
        <w:tabs>
          <w:tab w:leader="none" w:pos="2995" w:val="left"/>
        </w:tabs>
        <w:numPr>
          <w:ilvl w:val="1"/>
          <w:numId w:val="123"/>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4" w:lineRule="exact"/>
        <w:rPr>
          <w:rFonts w:ascii="Arial" w:cs="Arial" w:eastAsia="Arial" w:hAnsi="Arial"/>
          <w:sz w:val="22"/>
          <w:szCs w:val="22"/>
          <w:color w:val="auto"/>
        </w:rPr>
      </w:pPr>
    </w:p>
    <w:p>
      <w:pPr>
        <w:jc w:val="both"/>
        <w:ind w:right="100" w:firstLine="757"/>
        <w:spacing w:after="0"/>
        <w:tabs>
          <w:tab w:leader="none" w:pos="1498"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Termination of Service Relationship</w:t>
      </w:r>
      <w:r>
        <w:rPr>
          <w:rFonts w:ascii="Arial" w:cs="Arial" w:eastAsia="Arial" w:hAnsi="Arial"/>
          <w:sz w:val="22"/>
          <w:szCs w:val="22"/>
          <w:color w:val="auto"/>
        </w:rPr>
        <w:t>. If the Optionee’s Service Relationship with the Company or a Subsidiary (as defined in the Plan) is terminated, the period within which to exercise the Stock Option may be subject to earlier termination as set forth below.</w:t>
      </w:r>
    </w:p>
    <w:p>
      <w:pPr>
        <w:spacing w:after="0" w:line="186" w:lineRule="exact"/>
        <w:rPr>
          <w:rFonts w:ascii="Arial" w:cs="Arial" w:eastAsia="Arial" w:hAnsi="Arial"/>
          <w:sz w:val="22"/>
          <w:szCs w:val="22"/>
          <w:color w:val="auto"/>
        </w:rPr>
      </w:pPr>
    </w:p>
    <w:p>
      <w:pPr>
        <w:ind w:right="120" w:firstLine="1505"/>
        <w:spacing w:after="0" w:line="249" w:lineRule="auto"/>
        <w:tabs>
          <w:tab w:leader="none" w:pos="2995" w:val="left"/>
        </w:tabs>
        <w:numPr>
          <w:ilvl w:val="1"/>
          <w:numId w:val="124"/>
        </w:numPr>
        <w:rPr>
          <w:rFonts w:ascii="Arial" w:cs="Arial" w:eastAsia="Arial" w:hAnsi="Arial"/>
          <w:sz w:val="21"/>
          <w:szCs w:val="21"/>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8" w:lineRule="exact"/>
        <w:rPr>
          <w:rFonts w:ascii="Arial" w:cs="Arial" w:eastAsia="Arial" w:hAnsi="Arial"/>
          <w:sz w:val="21"/>
          <w:szCs w:val="21"/>
          <w:color w:val="auto"/>
        </w:rPr>
      </w:pPr>
    </w:p>
    <w:p>
      <w:pPr>
        <w:ind w:right="120" w:firstLine="1505"/>
        <w:spacing w:after="0" w:line="282" w:lineRule="auto"/>
        <w:tabs>
          <w:tab w:leader="none" w:pos="2995" w:val="left"/>
        </w:tabs>
        <w:numPr>
          <w:ilvl w:val="1"/>
          <w:numId w:val="124"/>
        </w:numPr>
        <w:rPr>
          <w:rFonts w:ascii="Arial" w:cs="Arial" w:eastAsia="Arial" w:hAnsi="Arial"/>
          <w:sz w:val="19"/>
          <w:szCs w:val="19"/>
          <w:color w:val="auto"/>
        </w:rPr>
      </w:pPr>
      <w:r>
        <w:rPr>
          <w:rFonts w:ascii="Arial" w:cs="Arial" w:eastAsia="Arial" w:hAnsi="Arial"/>
          <w:sz w:val="19"/>
          <w:szCs w:val="19"/>
          <w:u w:val="single" w:color="auto"/>
          <w:color w:val="auto"/>
        </w:rPr>
        <w:t>Termination Due to Disability</w:t>
      </w:r>
      <w:r>
        <w:rPr>
          <w:rFonts w:ascii="Arial" w:cs="Arial" w:eastAsia="Arial" w:hAnsi="Arial"/>
          <w:sz w:val="19"/>
          <w:szCs w:val="19"/>
          <w:color w:val="auto"/>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47" w:lineRule="exact"/>
        <w:rPr>
          <w:rFonts w:ascii="Arial" w:cs="Arial" w:eastAsia="Arial" w:hAnsi="Arial"/>
          <w:sz w:val="19"/>
          <w:szCs w:val="19"/>
          <w:color w:val="auto"/>
        </w:rPr>
      </w:pPr>
    </w:p>
    <w:p>
      <w:pPr>
        <w:ind w:firstLine="1505"/>
        <w:spacing w:after="0" w:line="246" w:lineRule="auto"/>
        <w:tabs>
          <w:tab w:leader="none" w:pos="2995" w:val="left"/>
        </w:tabs>
        <w:numPr>
          <w:ilvl w:val="1"/>
          <w:numId w:val="124"/>
        </w:numPr>
        <w:rPr>
          <w:rFonts w:ascii="Arial" w:cs="Arial" w:eastAsia="Arial" w:hAnsi="Arial"/>
          <w:sz w:val="21"/>
          <w:szCs w:val="21"/>
          <w:color w:val="auto"/>
        </w:rPr>
      </w:pPr>
      <w:r>
        <w:rPr>
          <w:rFonts w:ascii="Arial" w:cs="Arial" w:eastAsia="Arial" w:hAnsi="Arial"/>
          <w:sz w:val="21"/>
          <w:szCs w:val="21"/>
          <w:u w:val="single" w:color="auto"/>
          <w:color w:val="auto"/>
        </w:rPr>
        <w:t>Termination for Cause</w:t>
      </w:r>
      <w:r>
        <w:rPr>
          <w:rFonts w:ascii="Arial" w:cs="Arial" w:eastAsia="Arial" w:hAnsi="Arial"/>
          <w:sz w:val="21"/>
          <w:szCs w:val="21"/>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79" w:lineRule="exact"/>
        <w:rPr>
          <w:rFonts w:ascii="Arial" w:cs="Arial" w:eastAsia="Arial" w:hAnsi="Arial"/>
          <w:sz w:val="21"/>
          <w:szCs w:val="21"/>
          <w:color w:val="auto"/>
        </w:rPr>
      </w:pPr>
    </w:p>
    <w:p>
      <w:pPr>
        <w:ind w:right="40" w:firstLine="1505"/>
        <w:spacing w:after="0"/>
        <w:tabs>
          <w:tab w:leader="none" w:pos="2995" w:val="left"/>
        </w:tabs>
        <w:numPr>
          <w:ilvl w:val="1"/>
          <w:numId w:val="124"/>
        </w:numPr>
        <w:rPr>
          <w:rFonts w:ascii="Arial" w:cs="Arial" w:eastAsia="Arial" w:hAnsi="Arial"/>
          <w:sz w:val="22"/>
          <w:szCs w:val="22"/>
          <w:color w:val="auto"/>
        </w:rPr>
      </w:pPr>
      <w:r>
        <w:rPr>
          <w:rFonts w:ascii="Arial" w:cs="Arial" w:eastAsia="Arial" w:hAnsi="Arial"/>
          <w:sz w:val="22"/>
          <w:szCs w:val="22"/>
          <w:u w:val="single" w:color="auto"/>
          <w:color w:val="auto"/>
        </w:rPr>
        <w:t>Other Termination</w:t>
      </w:r>
      <w:r>
        <w:rPr>
          <w:rFonts w:ascii="Arial" w:cs="Arial" w:eastAsia="Arial" w:hAnsi="Arial"/>
          <w:sz w:val="22"/>
          <w:szCs w:val="22"/>
          <w:color w:val="auto"/>
        </w:rPr>
        <w:t>. If the Optionee’s Service Relationship with the Company or a Subsidiary terminates for any reason other than the Optionee’s death, the Optionee’s disability or Cause, and unless otherwise determined by the Administrator,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96" w:name="page197"/>
    <w:bookmarkEnd w:id="196"/>
    <w:p>
      <w:pPr>
        <w:jc w:val="both"/>
        <w:ind w:right="60"/>
        <w:spacing w:after="0" w:line="297" w:lineRule="auto"/>
        <w:rPr>
          <w:sz w:val="20"/>
          <w:szCs w:val="20"/>
          <w:color w:val="auto"/>
        </w:rPr>
      </w:pPr>
      <w:r>
        <w:rPr>
          <w:rFonts w:ascii="Arial" w:cs="Arial" w:eastAsia="Arial" w:hAnsi="Arial"/>
          <w:sz w:val="19"/>
          <w:szCs w:val="19"/>
          <w:color w:val="auto"/>
        </w:rPr>
        <w:t>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34" w:lineRule="exact"/>
        <w:rPr>
          <w:sz w:val="20"/>
          <w:szCs w:val="20"/>
          <w:color w:val="auto"/>
        </w:rPr>
      </w:pPr>
    </w:p>
    <w:p>
      <w:pPr>
        <w:ind w:right="800" w:firstLine="749"/>
        <w:spacing w:after="0" w:line="328" w:lineRule="auto"/>
        <w:rPr>
          <w:sz w:val="20"/>
          <w:szCs w:val="20"/>
          <w:color w:val="auto"/>
        </w:rPr>
      </w:pPr>
      <w:r>
        <w:rPr>
          <w:rFonts w:ascii="Arial" w:cs="Arial" w:eastAsia="Arial" w:hAnsi="Arial"/>
          <w:sz w:val="19"/>
          <w:szCs w:val="19"/>
          <w:color w:val="auto"/>
        </w:rPr>
        <w:t>The Administrator’s determination of the reason for termination of the Optionee’s Service Relationship with the Company or a Subsidiary shall be conclusive and binding on the Optionee and his or her representatives or legatees.</w:t>
      </w:r>
    </w:p>
    <w:p>
      <w:pPr>
        <w:spacing w:after="0" w:line="105" w:lineRule="exact"/>
        <w:rPr>
          <w:sz w:val="20"/>
          <w:szCs w:val="20"/>
          <w:color w:val="auto"/>
        </w:rPr>
      </w:pPr>
    </w:p>
    <w:p>
      <w:pPr>
        <w:ind w:right="220" w:firstLine="757"/>
        <w:spacing w:after="0" w:line="238" w:lineRule="auto"/>
        <w:tabs>
          <w:tab w:leader="none" w:pos="1498"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right="300" w:firstLine="757"/>
        <w:spacing w:after="0" w:line="238" w:lineRule="auto"/>
        <w:tabs>
          <w:tab w:leader="none" w:pos="1498"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4" w:lineRule="exact"/>
        <w:rPr>
          <w:rFonts w:ascii="Arial" w:cs="Arial" w:eastAsia="Arial" w:hAnsi="Arial"/>
          <w:sz w:val="22"/>
          <w:szCs w:val="22"/>
          <w:color w:val="auto"/>
        </w:rPr>
      </w:pPr>
    </w:p>
    <w:p>
      <w:pPr>
        <w:ind w:left="1500" w:hanging="743"/>
        <w:spacing w:after="0"/>
        <w:tabs>
          <w:tab w:leader="none" w:pos="150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505"/>
        <w:spacing w:after="0" w:line="245" w:lineRule="exact"/>
        <w:tabs>
          <w:tab w:leader="none" w:pos="2995"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The Optionee acknowledges that, regardless of any action taken by the Company or, if different, the Subsidiary employing the Optionee (the “Employer”),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the Optionee’s participation in the Plan and legally applicable to the Optionee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this Stock Option, including, but not limited to, the grant, vesting or exercise of this Stock Option, the subsequent sale of shares of Stock acquired pursuant to such exercise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spacing w:after="0" w:line="193" w:lineRule="exact"/>
        <w:rPr>
          <w:rFonts w:ascii="Arial" w:cs="Arial" w:eastAsia="Arial" w:hAnsi="Arial"/>
          <w:sz w:val="19"/>
          <w:szCs w:val="19"/>
          <w:color w:val="auto"/>
        </w:rPr>
      </w:pPr>
    </w:p>
    <w:p>
      <w:pPr>
        <w:ind w:right="60" w:firstLine="1505"/>
        <w:spacing w:after="0" w:line="279" w:lineRule="auto"/>
        <w:tabs>
          <w:tab w:leader="none" w:pos="2995" w:val="left"/>
        </w:tabs>
        <w:numPr>
          <w:ilvl w:val="1"/>
          <w:numId w:val="125"/>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as applicable, the Optionee agrees to make adequate arrangements satisfactory to the Company and/or the Employer to satisfy all Tax-Related Items. In this regard, the Optionee authorizes the Company and/or the Employer, or their respective agents, at their discretion, to satisfy any applicable withholding obligations with regard to all Tax-Related Items by one or a combination of the following: (i) withholding from the Optionee’s wages or other cash compensation paid to the Optionee by the Company and/or the Employer; (ii) allowing or requiring the Optionee to make a cash payment to cover the Tax-Related Items; (iii) withholding from proceeds of the sale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7" w:name="page198"/>
    <w:bookmarkEnd w:id="197"/>
    <w:p>
      <w:pPr>
        <w:ind w:right="60"/>
        <w:spacing w:after="0" w:line="248" w:lineRule="auto"/>
        <w:rPr>
          <w:sz w:val="20"/>
          <w:szCs w:val="20"/>
          <w:color w:val="auto"/>
        </w:rPr>
      </w:pPr>
      <w:r>
        <w:rPr>
          <w:rFonts w:ascii="Arial" w:cs="Arial" w:eastAsia="Arial" w:hAnsi="Arial"/>
          <w:sz w:val="21"/>
          <w:szCs w:val="21"/>
          <w:color w:val="auto"/>
        </w:rPr>
        <w:t>shares of Stock acquired upon exercise of this Stock Option either through a voluntary sale or through a mandatory sale arranged by the Company (on the Optionee’s behalf pursuant to this authorization without further consent); (iv) withholding from the shares of Stock to be issued to the Optionee upon exercise of this Stock Option; or (v) any other method of withholding determined by the Company and permitted by applicable law; provided, however, that that if the Optionee is a Section 16 officer of the Company under the Exchange Act, in which case, the obligation for Tax-Related Items may be satisfied only by one or a combination of methods (i), (ii) and (iii) above.</w:t>
      </w:r>
    </w:p>
    <w:p>
      <w:pPr>
        <w:spacing w:after="0" w:line="177" w:lineRule="exact"/>
        <w:rPr>
          <w:sz w:val="20"/>
          <w:szCs w:val="20"/>
          <w:color w:val="auto"/>
        </w:rPr>
      </w:pPr>
    </w:p>
    <w:p>
      <w:pPr>
        <w:ind w:right="20" w:firstLine="1505"/>
        <w:spacing w:after="0" w:line="277" w:lineRule="auto"/>
        <w:tabs>
          <w:tab w:leader="none" w:pos="2995" w:val="left"/>
        </w:tabs>
        <w:numPr>
          <w:ilvl w:val="1"/>
          <w:numId w:val="126"/>
        </w:numPr>
        <w:rPr>
          <w:rFonts w:ascii="Arial" w:cs="Arial" w:eastAsia="Arial" w:hAnsi="Arial"/>
          <w:sz w:val="19"/>
          <w:szCs w:val="19"/>
          <w:color w:val="auto"/>
        </w:rPr>
      </w:pPr>
      <w:r>
        <w:rPr>
          <w:rFonts w:ascii="Arial" w:cs="Arial" w:eastAsia="Arial" w:hAnsi="Arial"/>
          <w:sz w:val="19"/>
          <w:szCs w:val="19"/>
          <w:color w:val="auto"/>
        </w:rPr>
        <w:t>Depending on the withholding method, the Company and/or the Employer may withhold or account for Tax-Related Items by considering applicable statutory withholding amounts or other applicable withholding rates, including maximum rates applicable in the Optionee’s jurisdiction, in which case the Optionee may receive a refund of any over-withheld amount in cash and will have no entitlement to the equivalent amount in shares of Stock. If the obligation for Tax-Related Items is satisfied by withholding in shares of Stock, for tax purposes, the Optionee is deemed to have been issued the full number of shares of Stock subject to the exercised Stock Option, notwithstanding that a number of the shares of Stock is held back solely for the purpose of paying the Tax-Related Items.</w:t>
      </w:r>
    </w:p>
    <w:p>
      <w:pPr>
        <w:spacing w:after="0" w:line="151" w:lineRule="exact"/>
        <w:rPr>
          <w:rFonts w:ascii="Arial" w:cs="Arial" w:eastAsia="Arial" w:hAnsi="Arial"/>
          <w:sz w:val="19"/>
          <w:szCs w:val="19"/>
          <w:color w:val="auto"/>
        </w:rPr>
      </w:pPr>
    </w:p>
    <w:p>
      <w:pPr>
        <w:ind w:firstLine="1505"/>
        <w:spacing w:after="0" w:line="236" w:lineRule="auto"/>
        <w:tabs>
          <w:tab w:leader="none" w:pos="2995"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Optionee agrees to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of Stock, or the proceeds of the sale of shares of Stock, if the Optionee fails to comply with his or her obligations in connection with the Tax-Related Items.</w:t>
      </w:r>
    </w:p>
    <w:p>
      <w:pPr>
        <w:spacing w:after="0" w:line="187" w:lineRule="exact"/>
        <w:rPr>
          <w:rFonts w:ascii="Arial" w:cs="Arial" w:eastAsia="Arial" w:hAnsi="Arial"/>
          <w:sz w:val="22"/>
          <w:szCs w:val="22"/>
          <w:color w:val="auto"/>
        </w:rPr>
      </w:pPr>
    </w:p>
    <w:p>
      <w:pPr>
        <w:ind w:right="60" w:firstLine="757"/>
        <w:spacing w:after="0" w:line="252" w:lineRule="auto"/>
        <w:tabs>
          <w:tab w:leader="none" w:pos="1498"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No Obligation to Continue Service Relationship</w:t>
      </w:r>
      <w:r>
        <w:rPr>
          <w:rFonts w:ascii="Arial" w:cs="Arial" w:eastAsia="Arial" w:hAnsi="Arial"/>
          <w:sz w:val="21"/>
          <w:szCs w:val="21"/>
          <w:color w:val="auto"/>
        </w:rPr>
        <w:t>.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spacing w:after="0" w:line="173" w:lineRule="exact"/>
        <w:rPr>
          <w:rFonts w:ascii="Arial" w:cs="Arial" w:eastAsia="Arial" w:hAnsi="Arial"/>
          <w:sz w:val="21"/>
          <w:szCs w:val="21"/>
          <w:color w:val="auto"/>
        </w:rPr>
      </w:pPr>
    </w:p>
    <w:p>
      <w:pPr>
        <w:ind w:right="460" w:firstLine="757"/>
        <w:spacing w:after="0" w:line="328" w:lineRule="auto"/>
        <w:tabs>
          <w:tab w:leader="none" w:pos="1498"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104" w:lineRule="exact"/>
        <w:rPr>
          <w:rFonts w:ascii="Arial" w:cs="Arial" w:eastAsia="Arial" w:hAnsi="Arial"/>
          <w:sz w:val="19"/>
          <w:szCs w:val="19"/>
          <w:color w:val="auto"/>
        </w:rPr>
      </w:pPr>
    </w:p>
    <w:p>
      <w:pPr>
        <w:ind w:right="100" w:firstLine="757"/>
        <w:spacing w:after="0" w:line="245" w:lineRule="auto"/>
        <w:tabs>
          <w:tab w:leader="none" w:pos="1498"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Data Privacy Consent</w:t>
      </w:r>
      <w:r>
        <w:rPr>
          <w:rFonts w:ascii="Arial" w:cs="Arial" w:eastAsia="Arial" w:hAnsi="Arial"/>
          <w:sz w:val="21"/>
          <w:szCs w:val="21"/>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98" w:name="page199"/>
    <w:bookmarkEnd w:id="198"/>
    <w:p>
      <w:pPr>
        <w:ind w:right="40"/>
        <w:spacing w:after="0" w:line="250" w:lineRule="auto"/>
        <w:rPr>
          <w:sz w:val="20"/>
          <w:szCs w:val="20"/>
          <w:color w:val="auto"/>
        </w:rPr>
      </w:pPr>
      <w:r>
        <w:rPr>
          <w:rFonts w:ascii="Arial" w:cs="Arial" w:eastAsia="Arial" w:hAnsi="Arial"/>
          <w:sz w:val="22"/>
          <w:szCs w:val="22"/>
          <w:color w:val="auto"/>
        </w:rPr>
        <w:t>Companies consider appropriate. The Optionee shall have access to, and the right to change, the Relevant Information. Relevant Information will only be used in accordance with applicable law.</w:t>
      </w:r>
    </w:p>
    <w:p>
      <w:pPr>
        <w:spacing w:after="0" w:line="175" w:lineRule="exact"/>
        <w:rPr>
          <w:sz w:val="20"/>
          <w:szCs w:val="20"/>
          <w:color w:val="auto"/>
        </w:rPr>
      </w:pPr>
    </w:p>
    <w:p>
      <w:pPr>
        <w:jc w:val="both"/>
        <w:ind w:right="260" w:firstLine="757"/>
        <w:spacing w:after="0"/>
        <w:tabs>
          <w:tab w:leader="none" w:pos="1498"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86" w:lineRule="exact"/>
        <w:rPr>
          <w:rFonts w:ascii="Arial" w:cs="Arial" w:eastAsia="Arial" w:hAnsi="Arial"/>
          <w:sz w:val="22"/>
          <w:szCs w:val="22"/>
          <w:color w:val="auto"/>
        </w:rPr>
      </w:pPr>
    </w:p>
    <w:p>
      <w:pPr>
        <w:ind w:right="260" w:firstLine="757"/>
        <w:spacing w:after="0"/>
        <w:tabs>
          <w:tab w:leader="none" w:pos="1498"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The Optionee acknowledges that a waiver by the Company of breach of any provision of this Agreement shall not operate or be construed as a waiver of any other provision of this Agreement, or of any subsequent breach by the Optionee or any other Optionee.</w:t>
      </w:r>
    </w:p>
    <w:p>
      <w:pPr>
        <w:spacing w:after="0" w:line="186" w:lineRule="exact"/>
        <w:rPr>
          <w:rFonts w:ascii="Arial" w:cs="Arial" w:eastAsia="Arial" w:hAnsi="Arial"/>
          <w:sz w:val="22"/>
          <w:szCs w:val="22"/>
          <w:color w:val="auto"/>
        </w:rPr>
      </w:pPr>
    </w:p>
    <w:p>
      <w:pPr>
        <w:ind w:right="380" w:firstLine="757"/>
        <w:spacing w:after="0" w:line="287" w:lineRule="auto"/>
        <w:tabs>
          <w:tab w:leader="none" w:pos="1498"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42" w:lineRule="exact"/>
        <w:rPr>
          <w:rFonts w:ascii="Arial" w:cs="Arial" w:eastAsia="Arial" w:hAnsi="Arial"/>
          <w:sz w:val="19"/>
          <w:szCs w:val="19"/>
          <w:color w:val="auto"/>
        </w:rPr>
      </w:pPr>
    </w:p>
    <w:p>
      <w:pPr>
        <w:ind w:right="120" w:firstLine="757"/>
        <w:spacing w:after="0"/>
        <w:tabs>
          <w:tab w:leader="none" w:pos="1498"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86" w:lineRule="exact"/>
        <w:rPr>
          <w:rFonts w:ascii="Arial" w:cs="Arial" w:eastAsia="Arial" w:hAnsi="Arial"/>
          <w:sz w:val="22"/>
          <w:szCs w:val="22"/>
          <w:color w:val="auto"/>
        </w:rPr>
      </w:pPr>
    </w:p>
    <w:p>
      <w:pPr>
        <w:ind w:firstLine="757"/>
        <w:spacing w:after="0" w:line="252" w:lineRule="auto"/>
        <w:tabs>
          <w:tab w:leader="none" w:pos="1498"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 of Documents</w:t>
      </w:r>
      <w:r>
        <w:rPr>
          <w:rFonts w:ascii="Arial" w:cs="Arial" w:eastAsia="Arial" w:hAnsi="Arial"/>
          <w:sz w:val="21"/>
          <w:szCs w:val="21"/>
          <w:color w:val="auto"/>
        </w:rPr>
        <w:t>. The Company may, in its sole discretion, decide to 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634365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9" w:name="page200"/>
    <w:bookmarkEnd w:id="199"/>
    <w:p>
      <w:pPr>
        <w:ind w:left="5620"/>
        <w:spacing w:after="0"/>
        <w:rPr>
          <w:sz w:val="20"/>
          <w:szCs w:val="20"/>
          <w:color w:val="auto"/>
        </w:rPr>
      </w:pPr>
      <w:r>
        <w:rPr>
          <w:rFonts w:ascii="Arial" w:cs="Arial" w:eastAsia="Arial" w:hAnsi="Arial"/>
          <w:sz w:val="22"/>
          <w:szCs w:val="22"/>
          <w:b w:val="1"/>
          <w:bCs w:val="1"/>
          <w:color w:val="auto"/>
        </w:rPr>
        <w:t>Relay Therapeutics, Inc.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6985</wp:posOffset>
            </wp:positionV>
            <wp:extent cx="318897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9">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6985</wp:posOffset>
            </wp:positionV>
            <wp:extent cx="64719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0">
                      <a:extLst>
                        <a:ext uri="{28A0092B-C50C-407E-A947-70E740481C1C}"/>
                      </a:extLst>
                    </a:blip>
                    <a:srcRect/>
                    <a:stretch>
                      <a:fillRect/>
                    </a:stretch>
                  </pic:blipFill>
                  <pic:spPr bwMode="auto">
                    <a:xfrm>
                      <a:off x="0" y="0"/>
                      <a:ext cx="6471920" cy="8890"/>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Optionee's Signature</w:t>
      </w:r>
    </w:p>
    <w:p>
      <w:pPr>
        <w:spacing w:after="0" w:line="175"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153035</wp:posOffset>
            </wp:positionV>
            <wp:extent cx="354901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1">
                      <a:extLst>
                        <a:ext uri="{28A0092B-C50C-407E-A947-70E740481C1C}"/>
                      </a:extLst>
                    </a:blip>
                    <a:srcRect/>
                    <a:stretch>
                      <a:fillRect/>
                    </a:stretch>
                  </pic:blipFill>
                  <pic:spPr bwMode="auto">
                    <a:xfrm>
                      <a:off x="0" y="0"/>
                      <a:ext cx="354901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452755</wp:posOffset>
            </wp:positionV>
            <wp:extent cx="354901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2">
                      <a:extLst>
                        <a:ext uri="{28A0092B-C50C-407E-A947-70E740481C1C}"/>
                      </a:extLst>
                    </a:blip>
                    <a:srcRect/>
                    <a:stretch>
                      <a:fillRect/>
                    </a:stretch>
                  </pic:blipFill>
                  <pic:spPr bwMode="auto">
                    <a:xfrm>
                      <a:off x="0" y="0"/>
                      <a:ext cx="354901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753110</wp:posOffset>
            </wp:positionV>
            <wp:extent cx="35490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3">
                      <a:extLst>
                        <a:ext uri="{28A0092B-C50C-407E-A947-70E740481C1C}"/>
                      </a:extLst>
                    </a:blip>
                    <a:srcRect/>
                    <a:stretch>
                      <a:fillRect/>
                    </a:stretch>
                  </pic:blipFill>
                  <pic:spPr bwMode="auto">
                    <a:xfrm>
                      <a:off x="0" y="0"/>
                      <a:ext cx="35490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1263015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42" w:right="71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25"/>
          <w:szCs w:val="25"/>
          <w:b w:val="1"/>
          <w:bCs w:val="1"/>
          <w:color w:val="auto"/>
        </w:rPr>
        <w:t>NON-QUALIFIED STOCK OPTION AGREEMENT</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FOR COMPANY CONSULTANTS</w:t>
      </w:r>
    </w:p>
    <w:p>
      <w:pPr>
        <w:jc w:val="center"/>
        <w:ind w:right="-19"/>
        <w:spacing w:after="0" w:line="236" w:lineRule="auto"/>
        <w:rPr>
          <w:sz w:val="20"/>
          <w:szCs w:val="20"/>
          <w:color w:val="auto"/>
        </w:rPr>
      </w:pPr>
      <w:r>
        <w:rPr>
          <w:rFonts w:ascii="Arial" w:cs="Arial" w:eastAsia="Arial" w:hAnsi="Arial"/>
          <w:sz w:val="25"/>
          <w:szCs w:val="25"/>
          <w:b w:val="1"/>
          <w:bCs w:val="1"/>
          <w:color w:val="auto"/>
        </w:rPr>
        <w:t>UNDER THE RELAY THERAPEUTICS,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2020 STOCK OPTION AND INCENTIVE PLAN</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6985</wp:posOffset>
            </wp:positionV>
            <wp:extent cx="35401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6985</wp:posOffset>
            </wp:positionV>
            <wp:extent cx="269176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4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22"/>
          <w:szCs w:val="22"/>
          <w:color w:val="auto"/>
        </w:rPr>
        <w:t>Option Exercise Price per Share:</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6985</wp:posOffset>
            </wp:positionV>
            <wp:extent cx="269176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7">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6985</wp:posOffset>
            </wp:positionV>
            <wp:extent cx="269176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8">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6985</wp:posOffset>
            </wp:positionV>
            <wp:extent cx="269176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9">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Pursuant to the Relay Therapeutics, Inc. 2020 Stock Option and Incentive Plan as amended through the date hereof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“Plan”), Relay Therapeutics, Inc. (the “Company”) hereby grants to the Optionee named above an option (the “Stock Option”)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purchase on or prior to the Expiration Date specified above all or part of the number of shares of Common Stock, par value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$0.001 per share (the “Stock”) of the Company specified above at the Option Exercise Price per Share specified above subject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terms and conditions set forth herein and in the Plan. This Stock Option is not intended to be an “incentive stock option”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under Section 422 of the Internal Revenue Code of 1986, as amended.</w:t>
      </w:r>
    </w:p>
    <w:p>
      <w:pPr>
        <w:spacing w:after="0" w:line="188" w:lineRule="exact"/>
        <w:rPr>
          <w:sz w:val="20"/>
          <w:szCs w:val="20"/>
          <w:color w:val="auto"/>
        </w:rPr>
      </w:pPr>
    </w:p>
    <w:p>
      <w:pPr>
        <w:ind w:firstLine="757"/>
        <w:spacing w:after="0" w:line="236" w:lineRule="auto"/>
        <w:tabs>
          <w:tab w:leader="none" w:pos="1498"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Exercisability Schedule</w:t>
      </w:r>
      <w:r>
        <w:rPr>
          <w:rFonts w:ascii="Arial" w:cs="Arial" w:eastAsia="Arial" w:hAnsi="Arial"/>
          <w:sz w:val="22"/>
          <w:szCs w:val="22"/>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Optionee continues to have a Service Relationship with the Company or a Subsidiary on such dates.</w:t>
      </w:r>
    </w:p>
    <w:p>
      <w:pPr>
        <w:spacing w:after="0" w:line="272" w:lineRule="exact"/>
        <w:rPr>
          <w:sz w:val="20"/>
          <w:szCs w:val="20"/>
          <w:color w:val="auto"/>
        </w:rPr>
      </w:pPr>
    </w:p>
    <w:tbl>
      <w:tblPr>
        <w:tblLayout w:type="fixed"/>
        <w:tblInd w:w="1120" w:type="dxa"/>
        <w:tblCellMar>
          <w:top w:w="0" w:type="dxa"/>
          <w:left w:w="0" w:type="dxa"/>
          <w:bottom w:w="0" w:type="dxa"/>
          <w:right w:w="0" w:type="dxa"/>
        </w:tblCellMar>
      </w:tblPr>
      <w:tr>
        <w:trPr>
          <w:trHeight w:val="253"/>
        </w:trPr>
        <w:tc>
          <w:tcPr>
            <w:tcW w:w="4720" w:type="dxa"/>
            <w:vAlign w:val="bottom"/>
            <w:gridSpan w:val="2"/>
          </w:tcPr>
          <w:p>
            <w:pPr>
              <w:spacing w:after="0"/>
              <w:rPr>
                <w:sz w:val="20"/>
                <w:szCs w:val="20"/>
                <w:color w:val="auto"/>
              </w:rPr>
            </w:pPr>
            <w:r>
              <w:rPr>
                <w:rFonts w:ascii="Arial" w:cs="Arial" w:eastAsia="Arial" w:hAnsi="Arial"/>
                <w:sz w:val="22"/>
                <w:szCs w:val="22"/>
                <w:color w:val="auto"/>
              </w:rPr>
              <w:t>Incremental Number of</w:t>
            </w:r>
          </w:p>
        </w:tc>
        <w:tc>
          <w:tcPr>
            <w:tcW w:w="4300" w:type="dxa"/>
            <w:vAlign w:val="bottom"/>
            <w:gridSpan w:val="2"/>
            <w:vMerge w:val="restart"/>
          </w:tcPr>
          <w:p>
            <w:pPr>
              <w:spacing w:after="0"/>
              <w:rPr>
                <w:sz w:val="20"/>
                <w:szCs w:val="20"/>
                <w:color w:val="auto"/>
              </w:rPr>
            </w:pPr>
            <w:r>
              <w:rPr>
                <w:rFonts w:ascii="Arial" w:cs="Arial" w:eastAsia="Arial" w:hAnsi="Arial"/>
                <w:sz w:val="22"/>
                <w:szCs w:val="22"/>
                <w:color w:val="auto"/>
              </w:rPr>
              <w:t>Exercisability Date</w:t>
            </w:r>
          </w:p>
        </w:tc>
        <w:tc>
          <w:tcPr>
            <w:tcW w:w="0" w:type="dxa"/>
            <w:vAlign w:val="bottom"/>
          </w:tcPr>
          <w:p>
            <w:pPr>
              <w:spacing w:after="0"/>
              <w:rPr>
                <w:sz w:val="1"/>
                <w:szCs w:val="1"/>
                <w:color w:val="auto"/>
              </w:rPr>
            </w:pPr>
          </w:p>
        </w:tc>
      </w:tr>
      <w:tr>
        <w:trPr>
          <w:trHeight w:val="224"/>
        </w:trPr>
        <w:tc>
          <w:tcPr>
            <w:tcW w:w="4720" w:type="dxa"/>
            <w:vAlign w:val="bottom"/>
            <w:gridSpan w:val="2"/>
          </w:tcPr>
          <w:p>
            <w:pPr>
              <w:spacing w:after="0" w:line="224" w:lineRule="exact"/>
              <w:rPr>
                <w:sz w:val="20"/>
                <w:szCs w:val="20"/>
                <w:color w:val="auto"/>
              </w:rPr>
            </w:pPr>
            <w:r>
              <w:rPr>
                <w:rFonts w:ascii="Arial" w:cs="Arial" w:eastAsia="Arial" w:hAnsi="Arial"/>
                <w:sz w:val="22"/>
                <w:szCs w:val="22"/>
                <w:color w:val="auto"/>
              </w:rPr>
              <w:t>Option Shares Exercisable</w:t>
            </w:r>
          </w:p>
        </w:tc>
        <w:tc>
          <w:tcPr>
            <w:tcW w:w="4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720" w:type="dxa"/>
            <w:vAlign w:val="bottom"/>
            <w:gridSpan w:val="2"/>
          </w:tcPr>
          <w:p>
            <w:pPr>
              <w:spacing w:after="0"/>
              <w:rPr>
                <w:sz w:val="20"/>
                <w:szCs w:val="20"/>
                <w:color w:val="auto"/>
              </w:rPr>
            </w:pPr>
            <w:r>
              <w:rPr>
                <w:rFonts w:ascii="Arial" w:cs="Arial" w:eastAsia="Arial" w:hAnsi="Arial"/>
                <w:sz w:val="22"/>
                <w:szCs w:val="22"/>
                <w:color w:val="auto"/>
              </w:rPr>
              <w:t>_____________________ (__%)</w:t>
            </w:r>
          </w:p>
        </w:tc>
        <w:tc>
          <w:tcPr>
            <w:tcW w:w="16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20" w:type="dxa"/>
            <w:vAlign w:val="bottom"/>
            <w:gridSpan w:val="2"/>
          </w:tcPr>
          <w:p>
            <w:pPr>
              <w:spacing w:after="0" w:line="250" w:lineRule="exact"/>
              <w:rPr>
                <w:sz w:val="20"/>
                <w:szCs w:val="20"/>
                <w:color w:val="auto"/>
              </w:rPr>
            </w:pPr>
            <w:r>
              <w:rPr>
                <w:rFonts w:ascii="Arial" w:cs="Arial" w:eastAsia="Arial" w:hAnsi="Arial"/>
                <w:sz w:val="22"/>
                <w:szCs w:val="22"/>
                <w:color w:val="auto"/>
              </w:rPr>
              <w:t>_____________________ (__%)</w:t>
            </w:r>
          </w:p>
        </w:tc>
        <w:tc>
          <w:tcPr>
            <w:tcW w:w="166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20" w:type="dxa"/>
            <w:vAlign w:val="bottom"/>
            <w:gridSpan w:val="2"/>
          </w:tcPr>
          <w:p>
            <w:pPr>
              <w:spacing w:after="0" w:line="250" w:lineRule="exact"/>
              <w:rPr>
                <w:sz w:val="20"/>
                <w:szCs w:val="20"/>
                <w:color w:val="auto"/>
              </w:rPr>
            </w:pPr>
            <w:r>
              <w:rPr>
                <w:rFonts w:ascii="Arial" w:cs="Arial" w:eastAsia="Arial" w:hAnsi="Arial"/>
                <w:sz w:val="22"/>
                <w:szCs w:val="22"/>
                <w:color w:val="auto"/>
              </w:rPr>
              <w:t>_____________________ (__%)</w:t>
            </w:r>
          </w:p>
        </w:tc>
        <w:tc>
          <w:tcPr>
            <w:tcW w:w="166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40" w:firstLine="749"/>
        <w:spacing w:after="0" w:line="250" w:lineRule="auto"/>
        <w:rPr>
          <w:sz w:val="20"/>
          <w:szCs w:val="20"/>
          <w:color w:val="auto"/>
        </w:rPr>
      </w:pPr>
      <w:r>
        <w:rPr>
          <w:rFonts w:ascii="Arial" w:cs="Arial" w:eastAsia="Arial" w:hAnsi="Arial"/>
          <w:sz w:val="22"/>
          <w:szCs w:val="22"/>
          <w:color w:val="auto"/>
        </w:rPr>
        <w:t>Once exercisable, this Stock Option shall continue to be exercisable at any time or times prior to the close of business on the Expiration Date, subject to the provisions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01" w:name="page202"/>
    <w:bookmarkEnd w:id="201"/>
    <w:p>
      <w:pPr>
        <w:ind w:left="1500" w:hanging="743"/>
        <w:spacing w:after="0"/>
        <w:tabs>
          <w:tab w:leader="none" w:pos="150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505"/>
        <w:spacing w:after="0" w:line="238" w:lineRule="auto"/>
        <w:tabs>
          <w:tab w:leader="none" w:pos="2995" w:val="left"/>
        </w:tabs>
        <w:numPr>
          <w:ilvl w:val="1"/>
          <w:numId w:val="130"/>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5" w:lineRule="exact"/>
        <w:rPr>
          <w:sz w:val="20"/>
          <w:szCs w:val="20"/>
          <w:color w:val="auto"/>
        </w:rPr>
      </w:pPr>
    </w:p>
    <w:p>
      <w:pPr>
        <w:ind w:right="20" w:firstLine="749"/>
        <w:spacing w:after="0" w:line="272"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The transfer to the Optionee on the records of the Company or of the transfer agent of the Option Shares will be</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contingent upon (i) the Company’s receipt from the Optionee of the full purchase price for the Option Shares, as set forth above,</w:t>
      </w:r>
    </w:p>
    <w:p>
      <w:pPr>
        <w:spacing w:after="0" w:line="25" w:lineRule="exact"/>
        <w:rPr>
          <w:sz w:val="20"/>
          <w:szCs w:val="20"/>
          <w:color w:val="auto"/>
        </w:rPr>
      </w:pPr>
    </w:p>
    <w:p>
      <w:pPr>
        <w:ind w:left="320" w:hanging="312"/>
        <w:spacing w:after="0"/>
        <w:tabs>
          <w:tab w:leader="none" w:pos="32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24" w:lineRule="exact"/>
        <w:rPr>
          <w:rFonts w:ascii="Arial" w:cs="Arial" w:eastAsia="Arial" w:hAnsi="Arial"/>
          <w:sz w:val="19"/>
          <w:szCs w:val="19"/>
          <w:color w:val="auto"/>
        </w:rPr>
      </w:pPr>
    </w:p>
    <w:p>
      <w:pPr>
        <w:ind w:firstLine="8"/>
        <w:spacing w:after="0" w:line="277" w:lineRule="auto"/>
        <w:tabs>
          <w:tab w:leader="none" w:pos="378"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52" w:lineRule="exact"/>
        <w:rPr>
          <w:rFonts w:ascii="Arial" w:cs="Arial" w:eastAsia="Arial" w:hAnsi="Arial"/>
          <w:sz w:val="19"/>
          <w:szCs w:val="19"/>
          <w:color w:val="auto"/>
        </w:rPr>
      </w:pPr>
    </w:p>
    <w:p>
      <w:pPr>
        <w:ind w:right="20" w:firstLine="1505"/>
        <w:spacing w:after="0" w:line="277" w:lineRule="auto"/>
        <w:tabs>
          <w:tab w:leader="none" w:pos="2995" w:val="left"/>
        </w:tabs>
        <w:numPr>
          <w:ilvl w:val="1"/>
          <w:numId w:val="131"/>
        </w:numPr>
        <w:rPr>
          <w:rFonts w:ascii="Arial" w:cs="Arial" w:eastAsia="Arial" w:hAnsi="Arial"/>
          <w:sz w:val="19"/>
          <w:szCs w:val="19"/>
          <w:color w:val="auto"/>
        </w:rPr>
      </w:pPr>
      <w:r>
        <w:rPr>
          <w:rFonts w:ascii="Arial" w:cs="Arial" w:eastAsia="Arial" w:hAnsi="Arial"/>
          <w:sz w:val="19"/>
          <w:szCs w:val="19"/>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202" w:name="page203"/>
    <w:bookmarkEnd w:id="202"/>
    <w:p>
      <w:pPr>
        <w:ind w:right="80"/>
        <w:spacing w:after="0" w:line="250" w:lineRule="auto"/>
        <w:rPr>
          <w:sz w:val="20"/>
          <w:szCs w:val="20"/>
          <w:color w:val="auto"/>
        </w:rPr>
      </w:pPr>
      <w:r>
        <w:rPr>
          <w:rFonts w:ascii="Arial" w:cs="Arial" w:eastAsia="Arial" w:hAnsi="Arial"/>
          <w:sz w:val="22"/>
          <w:szCs w:val="22"/>
          <w:color w:val="auto"/>
        </w:rPr>
        <w:t>entered as the stockholder of record on the books of the Company. Thereupon, the Optionee shall have full voting, dividend and other ownership rights with respect to such shares of Stock.</w:t>
      </w:r>
    </w:p>
    <w:p>
      <w:pPr>
        <w:spacing w:after="0" w:line="175" w:lineRule="exact"/>
        <w:rPr>
          <w:sz w:val="20"/>
          <w:szCs w:val="20"/>
          <w:color w:val="auto"/>
        </w:rPr>
      </w:pPr>
    </w:p>
    <w:p>
      <w:pPr>
        <w:ind w:right="180" w:firstLine="1505"/>
        <w:spacing w:after="0"/>
        <w:tabs>
          <w:tab w:leader="none" w:pos="2995" w:val="left"/>
        </w:tabs>
        <w:numPr>
          <w:ilvl w:val="1"/>
          <w:numId w:val="132"/>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6" w:lineRule="exact"/>
        <w:rPr>
          <w:rFonts w:ascii="Arial" w:cs="Arial" w:eastAsia="Arial" w:hAnsi="Arial"/>
          <w:sz w:val="22"/>
          <w:szCs w:val="22"/>
          <w:color w:val="auto"/>
        </w:rPr>
      </w:pPr>
    </w:p>
    <w:p>
      <w:pPr>
        <w:ind w:right="400" w:firstLine="1505"/>
        <w:spacing w:after="0" w:line="250" w:lineRule="auto"/>
        <w:tabs>
          <w:tab w:leader="none" w:pos="2995" w:val="left"/>
        </w:tabs>
        <w:numPr>
          <w:ilvl w:val="1"/>
          <w:numId w:val="132"/>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4" w:lineRule="exact"/>
        <w:rPr>
          <w:rFonts w:ascii="Arial" w:cs="Arial" w:eastAsia="Arial" w:hAnsi="Arial"/>
          <w:sz w:val="22"/>
          <w:szCs w:val="22"/>
          <w:color w:val="auto"/>
        </w:rPr>
      </w:pPr>
    </w:p>
    <w:p>
      <w:pPr>
        <w:ind w:firstLine="757"/>
        <w:spacing w:after="0"/>
        <w:tabs>
          <w:tab w:leader="none" w:pos="1498"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Termination of Service Relationship</w:t>
      </w:r>
      <w:r>
        <w:rPr>
          <w:rFonts w:ascii="Arial" w:cs="Arial" w:eastAsia="Arial" w:hAnsi="Arial"/>
          <w:sz w:val="22"/>
          <w:szCs w:val="22"/>
          <w:color w:val="auto"/>
        </w:rPr>
        <w:t>. Except as may otherwise be provided by the Administrator, if the Optionee’s Service Relationship with the Company or a Subsidiary (as defined in the Plan) is terminated, the period within which to exercise the Stock Option may be subject to earlier termination as set forth below.</w:t>
      </w:r>
    </w:p>
    <w:p>
      <w:pPr>
        <w:spacing w:after="0" w:line="186" w:lineRule="exact"/>
        <w:rPr>
          <w:rFonts w:ascii="Arial" w:cs="Arial" w:eastAsia="Arial" w:hAnsi="Arial"/>
          <w:sz w:val="22"/>
          <w:szCs w:val="22"/>
          <w:color w:val="auto"/>
        </w:rPr>
      </w:pPr>
    </w:p>
    <w:p>
      <w:pPr>
        <w:ind w:right="100" w:firstLine="1505"/>
        <w:spacing w:after="0" w:line="249" w:lineRule="auto"/>
        <w:tabs>
          <w:tab w:leader="none" w:pos="2995" w:val="left"/>
        </w:tabs>
        <w:numPr>
          <w:ilvl w:val="1"/>
          <w:numId w:val="133"/>
        </w:numPr>
        <w:rPr>
          <w:rFonts w:ascii="Arial" w:cs="Arial" w:eastAsia="Arial" w:hAnsi="Arial"/>
          <w:sz w:val="21"/>
          <w:szCs w:val="21"/>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8" w:lineRule="exact"/>
        <w:rPr>
          <w:rFonts w:ascii="Arial" w:cs="Arial" w:eastAsia="Arial" w:hAnsi="Arial"/>
          <w:sz w:val="21"/>
          <w:szCs w:val="21"/>
          <w:color w:val="auto"/>
        </w:rPr>
      </w:pPr>
    </w:p>
    <w:p>
      <w:pPr>
        <w:ind w:right="100" w:firstLine="1505"/>
        <w:spacing w:after="0" w:line="282" w:lineRule="auto"/>
        <w:tabs>
          <w:tab w:leader="none" w:pos="2995" w:val="left"/>
        </w:tabs>
        <w:numPr>
          <w:ilvl w:val="1"/>
          <w:numId w:val="133"/>
        </w:numPr>
        <w:rPr>
          <w:rFonts w:ascii="Arial" w:cs="Arial" w:eastAsia="Arial" w:hAnsi="Arial"/>
          <w:sz w:val="19"/>
          <w:szCs w:val="19"/>
          <w:color w:val="auto"/>
        </w:rPr>
      </w:pPr>
      <w:r>
        <w:rPr>
          <w:rFonts w:ascii="Arial" w:cs="Arial" w:eastAsia="Arial" w:hAnsi="Arial"/>
          <w:sz w:val="19"/>
          <w:szCs w:val="19"/>
          <w:u w:val="single" w:color="auto"/>
          <w:color w:val="auto"/>
        </w:rPr>
        <w:t>Termination Due to Disability</w:t>
      </w:r>
      <w:r>
        <w:rPr>
          <w:rFonts w:ascii="Arial" w:cs="Arial" w:eastAsia="Arial" w:hAnsi="Arial"/>
          <w:sz w:val="19"/>
          <w:szCs w:val="19"/>
          <w:color w:val="auto"/>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47" w:lineRule="exact"/>
        <w:rPr>
          <w:rFonts w:ascii="Arial" w:cs="Arial" w:eastAsia="Arial" w:hAnsi="Arial"/>
          <w:sz w:val="19"/>
          <w:szCs w:val="19"/>
          <w:color w:val="auto"/>
        </w:rPr>
      </w:pPr>
    </w:p>
    <w:p>
      <w:pPr>
        <w:ind w:firstLine="1505"/>
        <w:spacing w:after="0" w:line="246" w:lineRule="auto"/>
        <w:tabs>
          <w:tab w:leader="none" w:pos="2995" w:val="left"/>
        </w:tabs>
        <w:numPr>
          <w:ilvl w:val="1"/>
          <w:numId w:val="133"/>
        </w:numPr>
        <w:rPr>
          <w:rFonts w:ascii="Arial" w:cs="Arial" w:eastAsia="Arial" w:hAnsi="Arial"/>
          <w:sz w:val="21"/>
          <w:szCs w:val="21"/>
          <w:color w:val="auto"/>
        </w:rPr>
      </w:pPr>
      <w:r>
        <w:rPr>
          <w:rFonts w:ascii="Arial" w:cs="Arial" w:eastAsia="Arial" w:hAnsi="Arial"/>
          <w:sz w:val="21"/>
          <w:szCs w:val="21"/>
          <w:u w:val="single" w:color="auto"/>
          <w:color w:val="auto"/>
        </w:rPr>
        <w:t>Termination for Cause</w:t>
      </w:r>
      <w:r>
        <w:rPr>
          <w:rFonts w:ascii="Arial" w:cs="Arial" w:eastAsia="Arial" w:hAnsi="Arial"/>
          <w:sz w:val="21"/>
          <w:szCs w:val="21"/>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 consulting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79" w:lineRule="exact"/>
        <w:rPr>
          <w:rFonts w:ascii="Arial" w:cs="Arial" w:eastAsia="Arial" w:hAnsi="Arial"/>
          <w:sz w:val="21"/>
          <w:szCs w:val="21"/>
          <w:color w:val="auto"/>
        </w:rPr>
      </w:pPr>
    </w:p>
    <w:p>
      <w:pPr>
        <w:ind w:right="20" w:firstLine="1505"/>
        <w:spacing w:after="0" w:line="252" w:lineRule="auto"/>
        <w:tabs>
          <w:tab w:leader="none" w:pos="2995" w:val="left"/>
        </w:tabs>
        <w:numPr>
          <w:ilvl w:val="1"/>
          <w:numId w:val="133"/>
        </w:numPr>
        <w:rPr>
          <w:rFonts w:ascii="Arial" w:cs="Arial" w:eastAsia="Arial" w:hAnsi="Arial"/>
          <w:sz w:val="21"/>
          <w:szCs w:val="21"/>
          <w:color w:val="auto"/>
        </w:rPr>
      </w:pPr>
      <w:r>
        <w:rPr>
          <w:rFonts w:ascii="Arial" w:cs="Arial" w:eastAsia="Arial" w:hAnsi="Arial"/>
          <w:sz w:val="21"/>
          <w:szCs w:val="21"/>
          <w:u w:val="single" w:color="auto"/>
          <w:color w:val="auto"/>
        </w:rPr>
        <w:t>Other Termination</w:t>
      </w:r>
      <w:r>
        <w:rPr>
          <w:rFonts w:ascii="Arial" w:cs="Arial" w:eastAsia="Arial" w:hAnsi="Arial"/>
          <w:sz w:val="21"/>
          <w:szCs w:val="21"/>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351155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203" w:name="page204"/>
    <w:bookmarkEnd w:id="203"/>
    <w:p>
      <w:pPr>
        <w:ind w:right="440"/>
        <w:spacing w:after="0" w:line="250" w:lineRule="auto"/>
        <w:rPr>
          <w:sz w:val="20"/>
          <w:szCs w:val="20"/>
          <w:color w:val="auto"/>
        </w:rPr>
      </w:pPr>
      <w:r>
        <w:rPr>
          <w:rFonts w:ascii="Arial" w:cs="Arial" w:eastAsia="Arial" w:hAnsi="Arial"/>
          <w:sz w:val="22"/>
          <w:szCs w:val="22"/>
          <w:color w:val="auto"/>
        </w:rPr>
        <w:t>Expiration Date, if earlier. Any portion of this Stock Option that is not exercisable on the date of termination shall terminate immediately and be of no further force or effect.</w:t>
      </w:r>
    </w:p>
    <w:p>
      <w:pPr>
        <w:spacing w:after="0" w:line="175" w:lineRule="exact"/>
        <w:rPr>
          <w:sz w:val="20"/>
          <w:szCs w:val="20"/>
          <w:color w:val="auto"/>
        </w:rPr>
      </w:pPr>
    </w:p>
    <w:p>
      <w:pPr>
        <w:ind w:right="780" w:firstLine="749"/>
        <w:spacing w:after="0" w:line="328" w:lineRule="auto"/>
        <w:rPr>
          <w:sz w:val="20"/>
          <w:szCs w:val="20"/>
          <w:color w:val="auto"/>
        </w:rPr>
      </w:pPr>
      <w:r>
        <w:rPr>
          <w:rFonts w:ascii="Arial" w:cs="Arial" w:eastAsia="Arial" w:hAnsi="Arial"/>
          <w:sz w:val="19"/>
          <w:szCs w:val="19"/>
          <w:color w:val="auto"/>
        </w:rPr>
        <w:t>The Administrator’s determination of the reason for termination of the Optionee’s Service Relationship with the Company or a Subsidiary shall be conclusive and binding on the Optionee and his or her representatives or legatees.</w:t>
      </w:r>
    </w:p>
    <w:p>
      <w:pPr>
        <w:spacing w:after="0" w:line="105" w:lineRule="exact"/>
        <w:rPr>
          <w:sz w:val="20"/>
          <w:szCs w:val="20"/>
          <w:color w:val="auto"/>
        </w:rPr>
      </w:pPr>
    </w:p>
    <w:p>
      <w:pPr>
        <w:jc w:val="both"/>
        <w:ind w:right="260" w:firstLine="757"/>
        <w:spacing w:after="0" w:line="238" w:lineRule="auto"/>
        <w:tabs>
          <w:tab w:leader="none" w:pos="1498"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right="280" w:firstLine="757"/>
        <w:spacing w:after="0" w:line="238" w:lineRule="auto"/>
        <w:tabs>
          <w:tab w:leader="none" w:pos="1498"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4" w:lineRule="exact"/>
        <w:rPr>
          <w:rFonts w:ascii="Arial" w:cs="Arial" w:eastAsia="Arial" w:hAnsi="Arial"/>
          <w:sz w:val="22"/>
          <w:szCs w:val="22"/>
          <w:color w:val="auto"/>
        </w:rPr>
      </w:pPr>
    </w:p>
    <w:p>
      <w:pPr>
        <w:ind w:left="1500" w:hanging="743"/>
        <w:spacing w:after="0"/>
        <w:tabs>
          <w:tab w:leader="none" w:pos="1500"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505"/>
        <w:spacing w:after="0" w:line="248" w:lineRule="exact"/>
        <w:tabs>
          <w:tab w:leader="none" w:pos="2995" w:val="left"/>
        </w:tabs>
        <w:numPr>
          <w:ilvl w:val="1"/>
          <w:numId w:val="134"/>
        </w:numPr>
        <w:rPr>
          <w:rFonts w:ascii="Arial" w:cs="Arial" w:eastAsia="Arial" w:hAnsi="Arial"/>
          <w:sz w:val="19"/>
          <w:szCs w:val="19"/>
          <w:color w:val="auto"/>
        </w:rPr>
      </w:pPr>
      <w:r>
        <w:rPr>
          <w:rFonts w:ascii="Arial" w:cs="Arial" w:eastAsia="Arial" w:hAnsi="Arial"/>
          <w:sz w:val="19"/>
          <w:szCs w:val="19"/>
          <w:color w:val="auto"/>
        </w:rPr>
        <w:t>The Optionee acknowledges that, regardless of any action taken by the Company or, if different, the Subsidiary for which the Optionee provides services Optionee (the “Service Recipient”),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the Optionee’s participation in the Plan and legally applicable to the Optionee (“Tax-Related Items”) is and remains the Optionee’s responsibility and may exceed the amount, if any, actually withheld by the Company or the Service Recipient. The Optionee further acknowledges that the Company and/or the Service Recipient (i) make no representations or undertakings regarding the treatment of any Tax-Related Items in connection with any aspect of this Stock Option, including, but not limited to, the grant, vesting or exercise of this Stock Option, the subsequent sale of shares of Stock acquired pursuant to such exercise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the Service Recipient (or former service recipient, as applicable) may be required to withhold or account for Tax-Related Items in more than one jurisdiction.</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firstLine="1505"/>
        <w:spacing w:after="0" w:line="277" w:lineRule="auto"/>
        <w:tabs>
          <w:tab w:leader="none" w:pos="2995" w:val="left"/>
        </w:tabs>
        <w:numPr>
          <w:ilvl w:val="1"/>
          <w:numId w:val="134"/>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as applicable, the Optionee agrees to make adequate arrangements satisfactory to the Company and/or the Service Recipient to satisfy all Tax-Related Items. In this regard, the Optionee authorizes the Company and/or the Service Recipient, or their respective agents, at their discretion, to satisfy any applicable withholding obligations with regard to all Tax-Related Items by one or a combination of the following: (i) withholding from the Optionee’s wages or other cash compensation paid to the Optionee by the Company and/or the Service Recipient; (ii) allowing or requiring the Optionee to make a cash payment to cover the Tax-Related Items; (iii) withholding from proceeds of the sale of shares of Stock acquired upon exercise of this Stock Option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204" w:name="page205"/>
    <w:bookmarkEnd w:id="204"/>
    <w:p>
      <w:pPr>
        <w:ind w:right="200"/>
        <w:spacing w:after="0" w:line="282" w:lineRule="auto"/>
        <w:rPr>
          <w:sz w:val="20"/>
          <w:szCs w:val="20"/>
          <w:color w:val="auto"/>
        </w:rPr>
      </w:pPr>
      <w:r>
        <w:rPr>
          <w:rFonts w:ascii="Arial" w:cs="Arial" w:eastAsia="Arial" w:hAnsi="Arial"/>
          <w:sz w:val="19"/>
          <w:szCs w:val="19"/>
          <w:color w:val="auto"/>
        </w:rPr>
        <w:t>through a voluntary sale or through a mandatory sale arranged by the Company (on the Optionee’s behalf pursuant to this authorization without further consent); (iv) withholding from the shares of Stock to be issued to the Optionee upon exercise of this Stock Option; or (v) any other method of withholding determined by the Company and permitted by applicable law; provided, however, that that if the Optionee is a Section 16 officer of the Company under the Exchange Act, in which case, the obligation for Tax-Related Items may be satisfied only by one or a combination of methods (i), (ii) and (iii) above.</w:t>
      </w:r>
    </w:p>
    <w:p>
      <w:pPr>
        <w:spacing w:after="0" w:line="147" w:lineRule="exact"/>
        <w:rPr>
          <w:sz w:val="20"/>
          <w:szCs w:val="20"/>
          <w:color w:val="auto"/>
        </w:rPr>
      </w:pPr>
    </w:p>
    <w:p>
      <w:pPr>
        <w:ind w:firstLine="1505"/>
        <w:spacing w:after="0" w:line="277" w:lineRule="auto"/>
        <w:tabs>
          <w:tab w:leader="none" w:pos="2995" w:val="left"/>
        </w:tabs>
        <w:numPr>
          <w:ilvl w:val="1"/>
          <w:numId w:val="135"/>
        </w:numPr>
        <w:rPr>
          <w:rFonts w:ascii="Arial" w:cs="Arial" w:eastAsia="Arial" w:hAnsi="Arial"/>
          <w:sz w:val="19"/>
          <w:szCs w:val="19"/>
          <w:color w:val="auto"/>
        </w:rPr>
      </w:pPr>
      <w:r>
        <w:rPr>
          <w:rFonts w:ascii="Arial" w:cs="Arial" w:eastAsia="Arial" w:hAnsi="Arial"/>
          <w:sz w:val="19"/>
          <w:szCs w:val="19"/>
          <w:color w:val="auto"/>
        </w:rPr>
        <w:t>Depending on the withholding method, the Company and/or the Service Recipient may withhold or account for Tax-Related Items by considering applicable statutory withholding amounts or other applicable withholding rates, including maximum rates applicable in the Optionee’s jurisdiction, in which case the Optionee may receive a refund of any over-withheld amount in cash and will have no entitlement to the equivalent amount in shares of Stock. If the obligation for Tax-Related Items is satisfied by withholding in shares of Stock, for tax purposes, the Optionee is deemed to have been issued the full number of shares of Stock subject to the exercised Stock Option, notwithstanding that a number of the shares of Stock is held back solely for the purpose of paying the Tax-Related Items.</w:t>
      </w:r>
    </w:p>
    <w:p>
      <w:pPr>
        <w:spacing w:after="0" w:line="151" w:lineRule="exact"/>
        <w:rPr>
          <w:rFonts w:ascii="Arial" w:cs="Arial" w:eastAsia="Arial" w:hAnsi="Arial"/>
          <w:sz w:val="19"/>
          <w:szCs w:val="19"/>
          <w:color w:val="auto"/>
        </w:rPr>
      </w:pPr>
    </w:p>
    <w:p>
      <w:pPr>
        <w:ind w:firstLine="1505"/>
        <w:spacing w:after="0" w:line="236" w:lineRule="auto"/>
        <w:tabs>
          <w:tab w:leader="none" w:pos="2995" w:val="left"/>
        </w:tabs>
        <w:numPr>
          <w:ilvl w:val="1"/>
          <w:numId w:val="135"/>
        </w:numPr>
        <w:rPr>
          <w:rFonts w:ascii="Arial" w:cs="Arial" w:eastAsia="Arial" w:hAnsi="Arial"/>
          <w:sz w:val="22"/>
          <w:szCs w:val="22"/>
          <w:color w:val="auto"/>
        </w:rPr>
      </w:pPr>
      <w:r>
        <w:rPr>
          <w:rFonts w:ascii="Arial" w:cs="Arial" w:eastAsia="Arial" w:hAnsi="Arial"/>
          <w:sz w:val="22"/>
          <w:szCs w:val="22"/>
          <w:color w:val="auto"/>
        </w:rPr>
        <w:t>The Optionee agrees to pay to the Company or the Service Recipient any amount of Tax-Related Items that the Service Recipient or the Employer may be required to withhold or account for as a result of the Optionee’s participation in the Plan that cannot be satisfied by the means previously described. The Company may refuse to issue or deliver the shares of Stock, or the proceeds of the sale of shares of Stock, if the Optionee fails to comply with his or her obligations in connection with the Tax-Related Items.</w:t>
      </w:r>
    </w:p>
    <w:p>
      <w:pPr>
        <w:spacing w:after="0" w:line="187" w:lineRule="exact"/>
        <w:rPr>
          <w:rFonts w:ascii="Arial" w:cs="Arial" w:eastAsia="Arial" w:hAnsi="Arial"/>
          <w:sz w:val="22"/>
          <w:szCs w:val="22"/>
          <w:color w:val="auto"/>
        </w:rPr>
      </w:pPr>
    </w:p>
    <w:p>
      <w:pPr>
        <w:ind w:firstLine="757"/>
        <w:spacing w:after="0" w:line="252" w:lineRule="auto"/>
        <w:tabs>
          <w:tab w:leader="none" w:pos="1498"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No Obligation to Continue Service Relationship</w:t>
      </w:r>
      <w:r>
        <w:rPr>
          <w:rFonts w:ascii="Arial" w:cs="Arial" w:eastAsia="Arial" w:hAnsi="Arial"/>
          <w:sz w:val="21"/>
          <w:szCs w:val="21"/>
          <w:color w:val="auto"/>
        </w:rPr>
        <w:t>. Neither the Company nor any Subsidiary is obligated by or as a result of the Plan or this Agreement to continue the Optionee’s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spacing w:after="0" w:line="173" w:lineRule="exact"/>
        <w:rPr>
          <w:rFonts w:ascii="Arial" w:cs="Arial" w:eastAsia="Arial" w:hAnsi="Arial"/>
          <w:sz w:val="21"/>
          <w:szCs w:val="21"/>
          <w:color w:val="auto"/>
        </w:rPr>
      </w:pPr>
    </w:p>
    <w:p>
      <w:pPr>
        <w:ind w:right="400" w:firstLine="757"/>
        <w:spacing w:after="0" w:line="328" w:lineRule="auto"/>
        <w:tabs>
          <w:tab w:leader="none" w:pos="1498"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104" w:lineRule="exact"/>
        <w:rPr>
          <w:rFonts w:ascii="Arial" w:cs="Arial" w:eastAsia="Arial" w:hAnsi="Arial"/>
          <w:sz w:val="19"/>
          <w:szCs w:val="19"/>
          <w:color w:val="auto"/>
        </w:rPr>
      </w:pPr>
    </w:p>
    <w:p>
      <w:pPr>
        <w:ind w:right="40" w:firstLine="757"/>
        <w:spacing w:after="0" w:line="274" w:lineRule="auto"/>
        <w:tabs>
          <w:tab w:leader="none" w:pos="1498"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77" w:right="41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Relevant Information. Relevant Information will only be used in accordance with applicable law.</w:t>
      </w:r>
    </w:p>
    <w:p>
      <w:pPr>
        <w:spacing w:after="0" w:line="206" w:lineRule="exact"/>
        <w:rPr>
          <w:sz w:val="20"/>
          <w:szCs w:val="20"/>
          <w:color w:val="auto"/>
        </w:rPr>
      </w:pPr>
    </w:p>
    <w:p>
      <w:pPr>
        <w:jc w:val="both"/>
        <w:ind w:right="260" w:firstLine="757"/>
        <w:spacing w:after="0"/>
        <w:tabs>
          <w:tab w:leader="none" w:pos="1498"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86" w:lineRule="exact"/>
        <w:rPr>
          <w:rFonts w:ascii="Arial" w:cs="Arial" w:eastAsia="Arial" w:hAnsi="Arial"/>
          <w:sz w:val="22"/>
          <w:szCs w:val="22"/>
          <w:color w:val="auto"/>
        </w:rPr>
      </w:pPr>
    </w:p>
    <w:p>
      <w:pPr>
        <w:ind w:right="260" w:firstLine="757"/>
        <w:spacing w:after="0"/>
        <w:tabs>
          <w:tab w:leader="none" w:pos="1498"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The Optionee acknowledges that a waiver by the Company of breach of any provision of this Agreement shall not operate or be construed as a waiver of any other provision of this Agreement, or of any subsequent breach by the Optionee or any other Optionee.</w:t>
      </w:r>
    </w:p>
    <w:p>
      <w:pPr>
        <w:spacing w:after="0" w:line="186" w:lineRule="exact"/>
        <w:rPr>
          <w:rFonts w:ascii="Arial" w:cs="Arial" w:eastAsia="Arial" w:hAnsi="Arial"/>
          <w:sz w:val="22"/>
          <w:szCs w:val="22"/>
          <w:color w:val="auto"/>
        </w:rPr>
      </w:pPr>
    </w:p>
    <w:p>
      <w:pPr>
        <w:ind w:right="380" w:firstLine="757"/>
        <w:spacing w:after="0" w:line="287" w:lineRule="auto"/>
        <w:tabs>
          <w:tab w:leader="none" w:pos="1498"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42" w:lineRule="exact"/>
        <w:rPr>
          <w:rFonts w:ascii="Arial" w:cs="Arial" w:eastAsia="Arial" w:hAnsi="Arial"/>
          <w:sz w:val="19"/>
          <w:szCs w:val="19"/>
          <w:color w:val="auto"/>
        </w:rPr>
      </w:pPr>
    </w:p>
    <w:p>
      <w:pPr>
        <w:ind w:right="120" w:firstLine="757"/>
        <w:spacing w:after="0"/>
        <w:tabs>
          <w:tab w:leader="none" w:pos="1498"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86" w:lineRule="exact"/>
        <w:rPr>
          <w:rFonts w:ascii="Arial" w:cs="Arial" w:eastAsia="Arial" w:hAnsi="Arial"/>
          <w:sz w:val="22"/>
          <w:szCs w:val="22"/>
          <w:color w:val="auto"/>
        </w:rPr>
      </w:pPr>
    </w:p>
    <w:p>
      <w:pPr>
        <w:ind w:firstLine="757"/>
        <w:spacing w:after="0" w:line="252" w:lineRule="auto"/>
        <w:tabs>
          <w:tab w:leader="none" w:pos="1498"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 of Documents</w:t>
      </w:r>
      <w:r>
        <w:rPr>
          <w:rFonts w:ascii="Arial" w:cs="Arial" w:eastAsia="Arial" w:hAnsi="Arial"/>
          <w:sz w:val="21"/>
          <w:szCs w:val="21"/>
          <w:color w:val="auto"/>
        </w:rPr>
        <w:t>. The Company may, in its sole discretion, decide to 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06" w:name="page207"/>
    <w:bookmarkEnd w:id="206"/>
    <w:p>
      <w:pPr>
        <w:ind w:left="20"/>
        <w:spacing w:after="0"/>
        <w:rPr>
          <w:sz w:val="20"/>
          <w:szCs w:val="20"/>
          <w:color w:val="auto"/>
        </w:rPr>
      </w:pPr>
      <w:r>
        <w:rPr>
          <w:rFonts w:ascii="Arial" w:cs="Arial" w:eastAsia="Arial" w:hAnsi="Arial"/>
          <w:sz w:val="22"/>
          <w:szCs w:val="22"/>
          <w:b w:val="1"/>
          <w:bCs w:val="1"/>
          <w:color w:val="auto"/>
        </w:rPr>
        <w:t>Relay Therapeutics, Inc.</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-151765</wp:posOffset>
            </wp:positionV>
            <wp:extent cx="354901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6985</wp:posOffset>
            </wp:positionV>
            <wp:extent cx="639508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7">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1"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Optionee's Signature</w:t>
      </w:r>
    </w:p>
    <w:p>
      <w:pPr>
        <w:spacing w:after="0" w:line="188"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153035</wp:posOffset>
            </wp:positionV>
            <wp:extent cx="373761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8">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452755</wp:posOffset>
            </wp:positionV>
            <wp:extent cx="373761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9">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753110</wp:posOffset>
            </wp:positionV>
            <wp:extent cx="373761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0">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1263015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801" w:right="719" w:bottom="1440" w:gutter="0" w:footer="0" w:header="0"/>
        </w:sectPr>
      </w:pPr>
    </w:p>
    <w:bookmarkStart w:id="207" w:name="page208"/>
    <w:bookmarkEnd w:id="207"/>
    <w:p>
      <w:pPr>
        <w:jc w:val="center"/>
        <w:spacing w:after="0"/>
        <w:rPr>
          <w:sz w:val="20"/>
          <w:szCs w:val="20"/>
          <w:color w:val="auto"/>
        </w:rPr>
      </w:pPr>
      <w:r>
        <w:rPr>
          <w:rFonts w:ascii="Arial" w:cs="Arial" w:eastAsia="Arial" w:hAnsi="Arial"/>
          <w:sz w:val="25"/>
          <w:szCs w:val="25"/>
          <w:b w:val="1"/>
          <w:bCs w:val="1"/>
          <w:color w:val="auto"/>
        </w:rPr>
        <w:t>NON-QUALIFIED STOCK OPTION AGREEMENT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NON-EMPLOYEE DIRECTORS</w:t>
      </w:r>
    </w:p>
    <w:p>
      <w:pPr>
        <w:jc w:val="center"/>
        <w:spacing w:after="0" w:line="236" w:lineRule="auto"/>
        <w:rPr>
          <w:sz w:val="20"/>
          <w:szCs w:val="20"/>
          <w:color w:val="auto"/>
        </w:rPr>
      </w:pPr>
      <w:r>
        <w:rPr>
          <w:rFonts w:ascii="Arial" w:cs="Arial" w:eastAsia="Arial" w:hAnsi="Arial"/>
          <w:sz w:val="25"/>
          <w:szCs w:val="25"/>
          <w:b w:val="1"/>
          <w:bCs w:val="1"/>
          <w:color w:val="auto"/>
        </w:rPr>
        <w:t>UNDER THE RELAY THERAPEUTICS,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2020 STOCK OPTION AND INCENTIVE PLAN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6985</wp:posOffset>
            </wp:positionV>
            <wp:extent cx="35401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6985</wp:posOffset>
            </wp:positionV>
            <wp:extent cx="269176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4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22"/>
          <w:szCs w:val="22"/>
          <w:color w:val="auto"/>
        </w:rPr>
        <w:t>Option Exercise Price per Share:</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6985</wp:posOffset>
            </wp:positionV>
            <wp:extent cx="269176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4">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FMV on Grant Date]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-3810</wp:posOffset>
            </wp:positionV>
            <wp:extent cx="269176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5">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6985</wp:posOffset>
            </wp:positionV>
            <wp:extent cx="269176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6">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1"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[No more than 10 years]</w:t>
      </w:r>
    </w:p>
    <w:p>
      <w:pPr>
        <w:spacing w:after="0" w:line="229" w:lineRule="exact"/>
        <w:rPr>
          <w:sz w:val="20"/>
          <w:szCs w:val="20"/>
          <w:color w:val="auto"/>
        </w:rPr>
      </w:pPr>
    </w:p>
    <w:p>
      <w:pPr>
        <w:ind w:right="40" w:firstLine="749"/>
        <w:spacing w:after="0" w:line="246" w:lineRule="auto"/>
        <w:rPr>
          <w:sz w:val="20"/>
          <w:szCs w:val="20"/>
          <w:color w:val="auto"/>
        </w:rPr>
      </w:pPr>
      <w:r>
        <w:rPr>
          <w:rFonts w:ascii="Arial" w:cs="Arial" w:eastAsia="Arial" w:hAnsi="Arial"/>
          <w:sz w:val="21"/>
          <w:szCs w:val="21"/>
          <w:color w:val="auto"/>
        </w:rPr>
        <w:t>Pursuant to the Relay Therapeutics, Inc. 2020 Stock Option and Incentive Plan as amended through the date hereof (the “Plan”), Relay Therapeutics, Inc. (the “Company”) hereby grants to the Optionee named above, who is a Non-Employee Director of the Company but is not an employee of the Company,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84" w:lineRule="exact"/>
        <w:rPr>
          <w:sz w:val="20"/>
          <w:szCs w:val="20"/>
          <w:color w:val="auto"/>
        </w:rPr>
      </w:pPr>
    </w:p>
    <w:p>
      <w:pPr>
        <w:ind w:firstLine="757"/>
        <w:spacing w:after="0" w:line="287" w:lineRule="auto"/>
        <w:tabs>
          <w:tab w:leader="none" w:pos="1498"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Exercisability Schedule</w:t>
      </w:r>
      <w:r>
        <w:rPr>
          <w:rFonts w:ascii="Arial" w:cs="Arial" w:eastAsia="Arial" w:hAnsi="Arial"/>
          <w:sz w:val="19"/>
          <w:szCs w:val="19"/>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in service as a member of the Board on such dates: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3620" w:type="dxa"/>
            <w:vAlign w:val="bottom"/>
            <w:gridSpan w:val="2"/>
          </w:tcPr>
          <w:p>
            <w:pPr>
              <w:jc w:val="center"/>
              <w:ind w:right="1340"/>
              <w:spacing w:after="0"/>
              <w:rPr>
                <w:sz w:val="20"/>
                <w:szCs w:val="20"/>
                <w:color w:val="auto"/>
              </w:rPr>
            </w:pPr>
            <w:r>
              <w:rPr>
                <w:rFonts w:ascii="Arial" w:cs="Arial" w:eastAsia="Arial" w:hAnsi="Arial"/>
                <w:sz w:val="22"/>
                <w:szCs w:val="22"/>
                <w:color w:val="auto"/>
                <w:w w:val="91"/>
              </w:rPr>
              <w:t>Incremental Number of</w:t>
            </w:r>
          </w:p>
        </w:tc>
        <w:tc>
          <w:tcPr>
            <w:tcW w:w="5280" w:type="dxa"/>
            <w:vAlign w:val="bottom"/>
            <w:gridSpan w:val="3"/>
            <w:vMerge w:val="restart"/>
          </w:tcPr>
          <w:p>
            <w:pPr>
              <w:jc w:val="center"/>
              <w:ind w:right="940"/>
              <w:spacing w:after="0"/>
              <w:rPr>
                <w:sz w:val="20"/>
                <w:szCs w:val="20"/>
                <w:color w:val="auto"/>
              </w:rPr>
            </w:pPr>
            <w:r>
              <w:rPr>
                <w:rFonts w:ascii="Arial" w:cs="Arial" w:eastAsia="Arial" w:hAnsi="Arial"/>
                <w:sz w:val="22"/>
                <w:szCs w:val="22"/>
                <w:color w:val="auto"/>
                <w:w w:val="91"/>
              </w:rPr>
              <w:t>Exercisability Date</w:t>
            </w:r>
          </w:p>
        </w:tc>
        <w:tc>
          <w:tcPr>
            <w:tcW w:w="0" w:type="dxa"/>
            <w:vAlign w:val="bottom"/>
          </w:tcPr>
          <w:p>
            <w:pPr>
              <w:spacing w:after="0"/>
              <w:rPr>
                <w:sz w:val="1"/>
                <w:szCs w:val="1"/>
                <w:color w:val="auto"/>
              </w:rPr>
            </w:pPr>
          </w:p>
        </w:tc>
      </w:tr>
      <w:tr>
        <w:trPr>
          <w:trHeight w:val="224"/>
        </w:trPr>
        <w:tc>
          <w:tcPr>
            <w:tcW w:w="5960" w:type="dxa"/>
            <w:vAlign w:val="bottom"/>
            <w:gridSpan w:val="3"/>
          </w:tcPr>
          <w:p>
            <w:pPr>
              <w:jc w:val="center"/>
              <w:ind w:left="892"/>
              <w:spacing w:after="0" w:line="224" w:lineRule="exact"/>
              <w:rPr>
                <w:sz w:val="20"/>
                <w:szCs w:val="20"/>
                <w:color w:val="auto"/>
              </w:rPr>
            </w:pPr>
            <w:r>
              <w:rPr>
                <w:rFonts w:ascii="Arial" w:cs="Arial" w:eastAsia="Arial" w:hAnsi="Arial"/>
                <w:sz w:val="22"/>
                <w:szCs w:val="22"/>
                <w:color w:val="auto"/>
                <w:w w:val="87"/>
              </w:rPr>
              <w:t>Option Shares Exercisable</w:t>
            </w:r>
          </w:p>
        </w:tc>
        <w:tc>
          <w:tcPr>
            <w:tcW w:w="52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340" w:type="dxa"/>
            <w:vAlign w:val="bottom"/>
          </w:tcPr>
          <w:p>
            <w:pPr>
              <w:spacing w:after="0"/>
              <w:rPr>
                <w:sz w:val="24"/>
                <w:szCs w:val="24"/>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_____________ (___%)</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____________</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jc w:val="center"/>
              <w:ind w:left="2252"/>
              <w:spacing w:after="0" w:line="243" w:lineRule="exact"/>
              <w:rPr>
                <w:sz w:val="20"/>
                <w:szCs w:val="20"/>
                <w:color w:val="auto"/>
              </w:rPr>
            </w:pPr>
            <w:r>
              <w:rPr>
                <w:rFonts w:ascii="Arial" w:cs="Arial" w:eastAsia="Arial" w:hAnsi="Arial"/>
                <w:sz w:val="22"/>
                <w:szCs w:val="22"/>
                <w:color w:val="auto"/>
                <w:w w:val="88"/>
              </w:rPr>
              <w:t>_____________ (___%)</w:t>
            </w:r>
          </w:p>
        </w:tc>
        <w:tc>
          <w:tcPr>
            <w:tcW w:w="1340" w:type="dxa"/>
            <w:vAlign w:val="bottom"/>
          </w:tcPr>
          <w:p>
            <w:pPr>
              <w:spacing w:after="0"/>
              <w:rPr>
                <w:sz w:val="21"/>
                <w:szCs w:val="21"/>
                <w:color w:val="auto"/>
              </w:rPr>
            </w:pPr>
          </w:p>
        </w:tc>
        <w:tc>
          <w:tcPr>
            <w:tcW w:w="3000" w:type="dxa"/>
            <w:vAlign w:val="bottom"/>
            <w:gridSpan w:val="2"/>
          </w:tcPr>
          <w:p>
            <w:pPr>
              <w:jc w:val="center"/>
              <w:ind w:left="1232"/>
              <w:spacing w:after="0" w:line="243" w:lineRule="exact"/>
              <w:rPr>
                <w:sz w:val="20"/>
                <w:szCs w:val="20"/>
                <w:color w:val="auto"/>
              </w:rPr>
            </w:pPr>
            <w:r>
              <w:rPr>
                <w:rFonts w:ascii="Arial" w:cs="Arial" w:eastAsia="Arial" w:hAnsi="Arial"/>
                <w:sz w:val="22"/>
                <w:szCs w:val="22"/>
                <w:color w:val="auto"/>
                <w:w w:val="88"/>
              </w:rPr>
              <w:t>____________</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jc w:val="center"/>
              <w:ind w:left="2252"/>
              <w:spacing w:after="0" w:line="243" w:lineRule="exact"/>
              <w:rPr>
                <w:sz w:val="20"/>
                <w:szCs w:val="20"/>
                <w:color w:val="auto"/>
              </w:rPr>
            </w:pPr>
            <w:r>
              <w:rPr>
                <w:rFonts w:ascii="Arial" w:cs="Arial" w:eastAsia="Arial" w:hAnsi="Arial"/>
                <w:sz w:val="22"/>
                <w:szCs w:val="22"/>
                <w:color w:val="auto"/>
                <w:w w:val="88"/>
              </w:rPr>
              <w:t>_____________ (___%)</w:t>
            </w:r>
          </w:p>
        </w:tc>
        <w:tc>
          <w:tcPr>
            <w:tcW w:w="1340" w:type="dxa"/>
            <w:vAlign w:val="bottom"/>
          </w:tcPr>
          <w:p>
            <w:pPr>
              <w:spacing w:after="0"/>
              <w:rPr>
                <w:sz w:val="21"/>
                <w:szCs w:val="21"/>
                <w:color w:val="auto"/>
              </w:rPr>
            </w:pPr>
          </w:p>
        </w:tc>
        <w:tc>
          <w:tcPr>
            <w:tcW w:w="3000" w:type="dxa"/>
            <w:vAlign w:val="bottom"/>
            <w:gridSpan w:val="2"/>
          </w:tcPr>
          <w:p>
            <w:pPr>
              <w:jc w:val="center"/>
              <w:ind w:left="1232"/>
              <w:spacing w:after="0" w:line="243" w:lineRule="exact"/>
              <w:rPr>
                <w:sz w:val="20"/>
                <w:szCs w:val="20"/>
                <w:color w:val="auto"/>
              </w:rPr>
            </w:pPr>
            <w:r>
              <w:rPr>
                <w:rFonts w:ascii="Arial" w:cs="Arial" w:eastAsia="Arial" w:hAnsi="Arial"/>
                <w:sz w:val="22"/>
                <w:szCs w:val="22"/>
                <w:color w:val="auto"/>
                <w:w w:val="88"/>
              </w:rPr>
              <w:t>____________</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jc w:val="center"/>
              <w:ind w:left="2252"/>
              <w:spacing w:after="0" w:line="243" w:lineRule="exact"/>
              <w:rPr>
                <w:sz w:val="20"/>
                <w:szCs w:val="20"/>
                <w:color w:val="auto"/>
              </w:rPr>
            </w:pPr>
            <w:r>
              <w:rPr>
                <w:rFonts w:ascii="Arial" w:cs="Arial" w:eastAsia="Arial" w:hAnsi="Arial"/>
                <w:sz w:val="22"/>
                <w:szCs w:val="22"/>
                <w:color w:val="auto"/>
                <w:w w:val="88"/>
              </w:rPr>
              <w:t>_____________ (___%)</w:t>
            </w:r>
          </w:p>
        </w:tc>
        <w:tc>
          <w:tcPr>
            <w:tcW w:w="1340" w:type="dxa"/>
            <w:vAlign w:val="bottom"/>
          </w:tcPr>
          <w:p>
            <w:pPr>
              <w:spacing w:after="0"/>
              <w:rPr>
                <w:sz w:val="21"/>
                <w:szCs w:val="21"/>
                <w:color w:val="auto"/>
              </w:rPr>
            </w:pPr>
          </w:p>
        </w:tc>
        <w:tc>
          <w:tcPr>
            <w:tcW w:w="3000" w:type="dxa"/>
            <w:vAlign w:val="bottom"/>
            <w:gridSpan w:val="2"/>
          </w:tcPr>
          <w:p>
            <w:pPr>
              <w:jc w:val="center"/>
              <w:ind w:left="1232"/>
              <w:spacing w:after="0" w:line="243" w:lineRule="exact"/>
              <w:rPr>
                <w:sz w:val="20"/>
                <w:szCs w:val="20"/>
                <w:color w:val="auto"/>
              </w:rPr>
            </w:pPr>
            <w:r>
              <w:rPr>
                <w:rFonts w:ascii="Arial" w:cs="Arial" w:eastAsia="Arial" w:hAnsi="Arial"/>
                <w:sz w:val="22"/>
                <w:szCs w:val="22"/>
                <w:color w:val="auto"/>
                <w:w w:val="88"/>
              </w:rPr>
              <w:t>____________</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620" w:type="dxa"/>
            <w:vAlign w:val="bottom"/>
            <w:gridSpan w:val="2"/>
          </w:tcPr>
          <w:p>
            <w:pPr>
              <w:jc w:val="center"/>
              <w:ind w:left="2252"/>
              <w:spacing w:after="0"/>
              <w:rPr>
                <w:sz w:val="20"/>
                <w:szCs w:val="20"/>
                <w:color w:val="auto"/>
              </w:rPr>
            </w:pPr>
            <w:r>
              <w:rPr>
                <w:rFonts w:ascii="Arial" w:cs="Arial" w:eastAsia="Arial" w:hAnsi="Arial"/>
                <w:sz w:val="22"/>
                <w:szCs w:val="22"/>
                <w:color w:val="auto"/>
                <w:w w:val="88"/>
              </w:rPr>
              <w:t>_____________ (___%)</w:t>
            </w:r>
          </w:p>
        </w:tc>
        <w:tc>
          <w:tcPr>
            <w:tcW w:w="1340" w:type="dxa"/>
            <w:vAlign w:val="bottom"/>
          </w:tcPr>
          <w:p>
            <w:pPr>
              <w:spacing w:after="0"/>
              <w:rPr>
                <w:sz w:val="23"/>
                <w:szCs w:val="23"/>
                <w:color w:val="auto"/>
              </w:rPr>
            </w:pPr>
          </w:p>
        </w:tc>
        <w:tc>
          <w:tcPr>
            <w:tcW w:w="3000" w:type="dxa"/>
            <w:vAlign w:val="bottom"/>
            <w:gridSpan w:val="2"/>
          </w:tcPr>
          <w:p>
            <w:pPr>
              <w:jc w:val="center"/>
              <w:ind w:left="1232"/>
              <w:spacing w:after="0"/>
              <w:rPr>
                <w:sz w:val="20"/>
                <w:szCs w:val="20"/>
                <w:color w:val="auto"/>
              </w:rPr>
            </w:pPr>
            <w:r>
              <w:rPr>
                <w:rFonts w:ascii="Arial" w:cs="Arial" w:eastAsia="Arial" w:hAnsi="Arial"/>
                <w:sz w:val="22"/>
                <w:szCs w:val="22"/>
                <w:color w:val="auto"/>
                <w:w w:val="88"/>
              </w:rPr>
              <w:t>____________</w:t>
            </w: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0"/>
        </w:trPr>
        <w:tc>
          <w:tcPr>
            <w:tcW w:w="23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08" w:name="page209"/>
    <w:bookmarkEnd w:id="208"/>
    <w:p>
      <w:pPr>
        <w:ind w:right="160" w:firstLine="749"/>
        <w:spacing w:after="0" w:line="236" w:lineRule="auto"/>
        <w:rPr>
          <w:sz w:val="20"/>
          <w:szCs w:val="20"/>
          <w:color w:val="auto"/>
        </w:rPr>
      </w:pPr>
      <w:r>
        <w:rPr>
          <w:rFonts w:ascii="Arial" w:cs="Arial" w:eastAsia="Arial" w:hAnsi="Arial"/>
          <w:sz w:val="22"/>
          <w:szCs w:val="22"/>
          <w:color w:val="auto"/>
        </w:rPr>
        <w:t>Notwithstanding the foregoing, in the event of a Sale Event, 100% of the then-outstanding and unvested Option Shares shall immediately be deemed vested and exercisable on the date of such Sale Event; provided, that the Optionee remains in service as a member of the Board until the date of such Sale Event. Once exercisable, this Stock Option shall continue to be exercisable at any time or times prior to the close of business on the Expiration Date, subject to the provisions hereof and of the Plan.</w:t>
      </w:r>
    </w:p>
    <w:p>
      <w:pPr>
        <w:spacing w:after="0" w:line="187" w:lineRule="exact"/>
        <w:rPr>
          <w:sz w:val="20"/>
          <w:szCs w:val="20"/>
          <w:color w:val="auto"/>
        </w:rPr>
      </w:pPr>
    </w:p>
    <w:p>
      <w:pPr>
        <w:ind w:left="1500" w:hanging="743"/>
        <w:spacing w:after="0"/>
        <w:tabs>
          <w:tab w:leader="none" w:pos="150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505"/>
        <w:spacing w:after="0" w:line="238" w:lineRule="auto"/>
        <w:tabs>
          <w:tab w:leader="none" w:pos="2995"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5" w:lineRule="exact"/>
        <w:rPr>
          <w:sz w:val="20"/>
          <w:szCs w:val="20"/>
          <w:color w:val="auto"/>
        </w:rPr>
      </w:pPr>
    </w:p>
    <w:p>
      <w:pPr>
        <w:ind w:right="20" w:firstLine="749"/>
        <w:spacing w:after="0" w:line="272"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The transfer to the Optionee on the records of the Company or of the transfer agent of the Option Shares will be</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contingent upon (i) the Company’s receipt from the Optionee of the full purchase price for the Option Shares, as set forth above,</w:t>
      </w:r>
    </w:p>
    <w:p>
      <w:pPr>
        <w:spacing w:after="0" w:line="25" w:lineRule="exact"/>
        <w:rPr>
          <w:sz w:val="20"/>
          <w:szCs w:val="20"/>
          <w:color w:val="auto"/>
        </w:rPr>
      </w:pPr>
    </w:p>
    <w:p>
      <w:pPr>
        <w:ind w:left="320" w:hanging="312"/>
        <w:spacing w:after="0"/>
        <w:tabs>
          <w:tab w:leader="none" w:pos="32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24" w:lineRule="exact"/>
        <w:rPr>
          <w:rFonts w:ascii="Arial" w:cs="Arial" w:eastAsia="Arial" w:hAnsi="Arial"/>
          <w:sz w:val="19"/>
          <w:szCs w:val="19"/>
          <w:color w:val="auto"/>
        </w:rPr>
      </w:pPr>
    </w:p>
    <w:p>
      <w:pPr>
        <w:ind w:firstLine="8"/>
        <w:spacing w:after="0" w:line="277" w:lineRule="auto"/>
        <w:tabs>
          <w:tab w:leader="none" w:pos="378"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52" w:lineRule="exact"/>
        <w:rPr>
          <w:rFonts w:ascii="Arial" w:cs="Arial" w:eastAsia="Arial" w:hAnsi="Arial"/>
          <w:sz w:val="19"/>
          <w:szCs w:val="19"/>
          <w:color w:val="auto"/>
        </w:rPr>
      </w:pPr>
    </w:p>
    <w:p>
      <w:pPr>
        <w:ind w:right="260" w:firstLine="1505"/>
        <w:spacing w:after="0" w:line="250" w:lineRule="auto"/>
        <w:tabs>
          <w:tab w:leader="none" w:pos="2995"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The shares of Stock purchased upon exercise of this Stock Option shall be transferred to the Optionee on the records of the Company or of the transfer agent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209" w:name="page210"/>
    <w:bookmarkEnd w:id="209"/>
    <w:p>
      <w:pPr>
        <w:spacing w:after="0" w:line="277" w:lineRule="auto"/>
        <w:rPr>
          <w:sz w:val="20"/>
          <w:szCs w:val="20"/>
          <w:color w:val="auto"/>
        </w:rPr>
      </w:pPr>
      <w:r>
        <w:rPr>
          <w:rFonts w:ascii="Arial" w:cs="Arial" w:eastAsia="Arial" w:hAnsi="Arial"/>
          <w:sz w:val="19"/>
          <w:szCs w:val="19"/>
          <w:color w:val="auto"/>
        </w:rPr>
        <w:t>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52" w:lineRule="exact"/>
        <w:rPr>
          <w:sz w:val="20"/>
          <w:szCs w:val="20"/>
          <w:color w:val="auto"/>
        </w:rPr>
      </w:pPr>
    </w:p>
    <w:p>
      <w:pPr>
        <w:ind w:right="200" w:firstLine="1505"/>
        <w:spacing w:after="0"/>
        <w:tabs>
          <w:tab w:leader="none" w:pos="2995"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6" w:lineRule="exact"/>
        <w:rPr>
          <w:rFonts w:ascii="Arial" w:cs="Arial" w:eastAsia="Arial" w:hAnsi="Arial"/>
          <w:sz w:val="22"/>
          <w:szCs w:val="22"/>
          <w:color w:val="auto"/>
        </w:rPr>
      </w:pPr>
    </w:p>
    <w:p>
      <w:pPr>
        <w:ind w:right="420" w:firstLine="1505"/>
        <w:spacing w:after="0" w:line="250" w:lineRule="auto"/>
        <w:tabs>
          <w:tab w:leader="none" w:pos="2995" w:val="left"/>
        </w:tabs>
        <w:numPr>
          <w:ilvl w:val="1"/>
          <w:numId w:val="141"/>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4" w:lineRule="exact"/>
        <w:rPr>
          <w:rFonts w:ascii="Arial" w:cs="Arial" w:eastAsia="Arial" w:hAnsi="Arial"/>
          <w:sz w:val="22"/>
          <w:szCs w:val="22"/>
          <w:color w:val="auto"/>
        </w:rPr>
      </w:pPr>
    </w:p>
    <w:p>
      <w:pPr>
        <w:ind w:firstLine="757"/>
        <w:spacing w:after="0" w:line="274" w:lineRule="auto"/>
        <w:tabs>
          <w:tab w:leader="none" w:pos="1498" w:val="left"/>
        </w:tabs>
        <w:numPr>
          <w:ilvl w:val="0"/>
          <w:numId w:val="142"/>
        </w:numPr>
        <w:rPr>
          <w:rFonts w:ascii="Arial" w:cs="Arial" w:eastAsia="Arial" w:hAnsi="Arial"/>
          <w:sz w:val="21"/>
          <w:szCs w:val="21"/>
          <w:color w:val="auto"/>
        </w:rPr>
      </w:pPr>
      <w:r>
        <w:rPr>
          <w:rFonts w:ascii="Arial" w:cs="Arial" w:eastAsia="Arial" w:hAnsi="Arial"/>
          <w:sz w:val="21"/>
          <w:szCs w:val="21"/>
          <w:u w:val="single" w:color="auto"/>
          <w:color w:val="auto"/>
        </w:rPr>
        <w:t>Termination as Non-Employee Director</w:t>
      </w:r>
      <w:r>
        <w:rPr>
          <w:rFonts w:ascii="Arial" w:cs="Arial" w:eastAsia="Arial" w:hAnsi="Arial"/>
          <w:sz w:val="21"/>
          <w:szCs w:val="21"/>
          <w:color w:val="auto"/>
        </w:rPr>
        <w:t>. If the Optionee ceases to be a Non-Employee Director of the Company, the period within which to exercise the Stock Option may be subject to earlier termination as set forth below.</w:t>
      </w:r>
    </w:p>
    <w:p>
      <w:pPr>
        <w:spacing w:after="0" w:line="150" w:lineRule="exact"/>
        <w:rPr>
          <w:rFonts w:ascii="Arial" w:cs="Arial" w:eastAsia="Arial" w:hAnsi="Arial"/>
          <w:sz w:val="21"/>
          <w:szCs w:val="21"/>
          <w:color w:val="auto"/>
        </w:rPr>
      </w:pPr>
    </w:p>
    <w:p>
      <w:pPr>
        <w:ind w:right="20" w:firstLine="1505"/>
        <w:spacing w:after="0" w:line="249" w:lineRule="auto"/>
        <w:tabs>
          <w:tab w:leader="none" w:pos="2995" w:val="left"/>
        </w:tabs>
        <w:numPr>
          <w:ilvl w:val="1"/>
          <w:numId w:val="142"/>
        </w:numPr>
        <w:rPr>
          <w:rFonts w:ascii="Arial" w:cs="Arial" w:eastAsia="Arial" w:hAnsi="Arial"/>
          <w:sz w:val="21"/>
          <w:szCs w:val="21"/>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the Optionee’s service as a Non-Employee Director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8" w:lineRule="exact"/>
        <w:rPr>
          <w:rFonts w:ascii="Arial" w:cs="Arial" w:eastAsia="Arial" w:hAnsi="Arial"/>
          <w:sz w:val="21"/>
          <w:szCs w:val="21"/>
          <w:color w:val="auto"/>
        </w:rPr>
      </w:pPr>
    </w:p>
    <w:p>
      <w:pPr>
        <w:ind w:right="60" w:firstLine="1505"/>
        <w:spacing w:after="0" w:line="235" w:lineRule="auto"/>
        <w:tabs>
          <w:tab w:leader="none" w:pos="2995" w:val="left"/>
        </w:tabs>
        <w:numPr>
          <w:ilvl w:val="1"/>
          <w:numId w:val="142"/>
        </w:numPr>
        <w:rPr>
          <w:rFonts w:ascii="Arial" w:cs="Arial" w:eastAsia="Arial" w:hAnsi="Arial"/>
          <w:sz w:val="22"/>
          <w:szCs w:val="22"/>
          <w:color w:val="auto"/>
        </w:rPr>
      </w:pPr>
      <w:r>
        <w:rPr>
          <w:rFonts w:ascii="Arial" w:cs="Arial" w:eastAsia="Arial" w:hAnsi="Arial"/>
          <w:sz w:val="22"/>
          <w:szCs w:val="22"/>
          <w:u w:val="single" w:color="auto"/>
          <w:color w:val="auto"/>
        </w:rPr>
        <w:t>Other Termination</w:t>
      </w:r>
      <w:r>
        <w:rPr>
          <w:rFonts w:ascii="Arial" w:cs="Arial" w:eastAsia="Arial" w:hAnsi="Arial"/>
          <w:sz w:val="22"/>
          <w:szCs w:val="22"/>
          <w:color w:val="auto"/>
        </w:rPr>
        <w:t>. If the Optionee ceases to be a Non-Employee Director for any reason other than the Optionee’s death, any portion of this Stock Option outstanding on such date may be exercised, to the extent exercisable on the date the Optionee ceased to be a Non-Employee Director, for a period of six months from the date the Optionee ceased be a Non-Employee Director or until the Expiration Date, if earlier. Any portion of this Stock Option that is not exercisable on the date the Optionee ceases to be a Non-Employee Director shall terminate immediately and be of no further force or effect.</w:t>
      </w:r>
    </w:p>
    <w:p>
      <w:pPr>
        <w:spacing w:after="0" w:line="187" w:lineRule="exact"/>
        <w:rPr>
          <w:rFonts w:ascii="Arial" w:cs="Arial" w:eastAsia="Arial" w:hAnsi="Arial"/>
          <w:sz w:val="22"/>
          <w:szCs w:val="22"/>
          <w:color w:val="auto"/>
        </w:rPr>
      </w:pPr>
    </w:p>
    <w:p>
      <w:pPr>
        <w:jc w:val="both"/>
        <w:ind w:right="260" w:firstLine="757"/>
        <w:spacing w:after="0" w:line="238" w:lineRule="auto"/>
        <w:tabs>
          <w:tab w:leader="none" w:pos="1498"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right="280" w:firstLine="757"/>
        <w:spacing w:after="0" w:line="238" w:lineRule="auto"/>
        <w:tabs>
          <w:tab w:leader="none" w:pos="1498"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10" w:name="page211"/>
    <w:bookmarkEnd w:id="210"/>
    <w:p>
      <w:pPr>
        <w:ind w:left="-757" w:right="180" w:firstLine="757"/>
        <w:spacing w:after="0" w:line="250" w:lineRule="auto"/>
        <w:tabs>
          <w:tab w:leader="none" w:pos="741"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as a Non-Employee Director</w:t>
      </w:r>
      <w:r>
        <w:rPr>
          <w:rFonts w:ascii="Arial" w:cs="Arial" w:eastAsia="Arial" w:hAnsi="Arial"/>
          <w:sz w:val="22"/>
          <w:szCs w:val="22"/>
          <w:color w:val="auto"/>
        </w:rPr>
        <w:t>. Neither the Plan nor this Stock Option confers upon the Optionee any rights with respect to continuance as a Non-Employee Director.</w:t>
      </w:r>
    </w:p>
    <w:p>
      <w:pPr>
        <w:spacing w:after="0" w:line="174" w:lineRule="exact"/>
        <w:rPr>
          <w:rFonts w:ascii="Arial" w:cs="Arial" w:eastAsia="Arial" w:hAnsi="Arial"/>
          <w:sz w:val="22"/>
          <w:szCs w:val="22"/>
          <w:color w:val="auto"/>
        </w:rPr>
      </w:pPr>
    </w:p>
    <w:p>
      <w:pPr>
        <w:ind w:left="-757" w:right="420" w:firstLine="757"/>
        <w:spacing w:after="0" w:line="328" w:lineRule="auto"/>
        <w:tabs>
          <w:tab w:leader="none" w:pos="741"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104" w:lineRule="exact"/>
        <w:rPr>
          <w:rFonts w:ascii="Arial" w:cs="Arial" w:eastAsia="Arial" w:hAnsi="Arial"/>
          <w:sz w:val="19"/>
          <w:szCs w:val="19"/>
          <w:color w:val="auto"/>
        </w:rPr>
      </w:pPr>
    </w:p>
    <w:p>
      <w:pPr>
        <w:ind w:left="-757" w:firstLine="757"/>
        <w:spacing w:after="0" w:line="246" w:lineRule="auto"/>
        <w:tabs>
          <w:tab w:leader="none" w:pos="741" w:val="left"/>
        </w:tabs>
        <w:numPr>
          <w:ilvl w:val="0"/>
          <w:numId w:val="143"/>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Optionee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179" w:lineRule="exact"/>
        <w:rPr>
          <w:rFonts w:ascii="Arial" w:cs="Arial" w:eastAsia="Arial" w:hAnsi="Arial"/>
          <w:sz w:val="21"/>
          <w:szCs w:val="21"/>
          <w:color w:val="auto"/>
        </w:rPr>
      </w:pPr>
    </w:p>
    <w:p>
      <w:pPr>
        <w:ind w:left="-757" w:right="60" w:firstLine="757"/>
        <w:spacing w:after="0" w:line="273" w:lineRule="auto"/>
        <w:tabs>
          <w:tab w:leader="none" w:pos="741"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60" w:lineRule="exact"/>
        <w:rPr>
          <w:rFonts w:ascii="Arial" w:cs="Arial" w:eastAsia="Arial" w:hAnsi="Arial"/>
          <w:sz w:val="19"/>
          <w:szCs w:val="19"/>
          <w:color w:val="auto"/>
        </w:rPr>
      </w:pPr>
    </w:p>
    <w:p>
      <w:pPr>
        <w:jc w:val="both"/>
        <w:ind w:left="-757" w:right="200" w:firstLine="757"/>
        <w:spacing w:after="0"/>
        <w:tabs>
          <w:tab w:leader="none" w:pos="741"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86" w:lineRule="exact"/>
        <w:rPr>
          <w:rFonts w:ascii="Arial" w:cs="Arial" w:eastAsia="Arial" w:hAnsi="Arial"/>
          <w:sz w:val="22"/>
          <w:szCs w:val="22"/>
          <w:color w:val="auto"/>
        </w:rPr>
      </w:pPr>
    </w:p>
    <w:p>
      <w:pPr>
        <w:ind w:left="-757" w:right="200" w:firstLine="757"/>
        <w:spacing w:after="0"/>
        <w:tabs>
          <w:tab w:leader="none" w:pos="741"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The Optionee acknowledges that a waiver by the Company of breach of any provision of this Agreement shall not operate or be construed as a waiver of any other provision of this Agreement, or of any subsequent breach by the Optionee or any other Optionee.</w:t>
      </w:r>
    </w:p>
    <w:p>
      <w:pPr>
        <w:spacing w:after="0" w:line="186" w:lineRule="exact"/>
        <w:rPr>
          <w:rFonts w:ascii="Arial" w:cs="Arial" w:eastAsia="Arial" w:hAnsi="Arial"/>
          <w:sz w:val="22"/>
          <w:szCs w:val="22"/>
          <w:color w:val="auto"/>
        </w:rPr>
      </w:pPr>
    </w:p>
    <w:p>
      <w:pPr>
        <w:ind w:left="-757" w:right="320" w:firstLine="757"/>
        <w:spacing w:after="0" w:line="297" w:lineRule="auto"/>
        <w:tabs>
          <w:tab w:leader="none" w:pos="741"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462915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3"/>
          </w:cols>
          <w:pgMar w:left="1077" w:top="361" w:right="399" w:bottom="1440" w:gutter="0" w:footer="0" w:header="0"/>
        </w:sectPr>
      </w:pPr>
    </w:p>
    <w:bookmarkStart w:id="211" w:name="page212"/>
    <w:bookmarkEnd w:id="211"/>
    <w:p>
      <w:pPr>
        <w:spacing w:after="0"/>
        <w:rPr>
          <w:sz w:val="20"/>
          <w:szCs w:val="20"/>
          <w:color w:val="auto"/>
        </w:rPr>
      </w:pPr>
      <w:r>
        <w:rPr>
          <w:rFonts w:ascii="Arial" w:cs="Arial" w:eastAsia="Arial" w:hAnsi="Arial"/>
          <w:sz w:val="19"/>
          <w:szCs w:val="19"/>
          <w:color w:val="auto"/>
        </w:rPr>
        <w:t>federal courts for the Commonwealth of Massachusetts, where this grant is made and/or to be performed, and no other courts.</w:t>
      </w:r>
    </w:p>
    <w:p>
      <w:pPr>
        <w:spacing w:after="0" w:line="241" w:lineRule="exact"/>
        <w:rPr>
          <w:sz w:val="20"/>
          <w:szCs w:val="20"/>
          <w:color w:val="auto"/>
        </w:rPr>
      </w:pPr>
    </w:p>
    <w:p>
      <w:pPr>
        <w:ind w:right="120" w:firstLine="757"/>
        <w:spacing w:after="0"/>
        <w:tabs>
          <w:tab w:leader="none" w:pos="1498"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86" w:lineRule="exact"/>
        <w:rPr>
          <w:rFonts w:ascii="Arial" w:cs="Arial" w:eastAsia="Arial" w:hAnsi="Arial"/>
          <w:sz w:val="22"/>
          <w:szCs w:val="22"/>
          <w:color w:val="auto"/>
        </w:rPr>
      </w:pPr>
    </w:p>
    <w:p>
      <w:pPr>
        <w:ind w:firstLine="757"/>
        <w:spacing w:after="0" w:line="252" w:lineRule="auto"/>
        <w:tabs>
          <w:tab w:leader="none" w:pos="1498" w:val="left"/>
        </w:tabs>
        <w:numPr>
          <w:ilvl w:val="0"/>
          <w:numId w:val="144"/>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 of Documents</w:t>
      </w:r>
      <w:r>
        <w:rPr>
          <w:rFonts w:ascii="Arial" w:cs="Arial" w:eastAsia="Arial" w:hAnsi="Arial"/>
          <w:sz w:val="21"/>
          <w:szCs w:val="21"/>
          <w:color w:val="auto"/>
        </w:rPr>
        <w:t>. The Company may, in its sole discretion, decide to 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Relay Therapeutics, Inc.</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1431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ind w:left="80"/>
        <w:spacing w:after="0"/>
        <w:rPr>
          <w:sz w:val="20"/>
          <w:szCs w:val="20"/>
          <w:color w:val="auto"/>
        </w:rPr>
      </w:pPr>
      <w:r>
        <w:rPr>
          <w:rFonts w:ascii="Arial" w:cs="Arial" w:eastAsia="Arial" w:hAnsi="Arial"/>
          <w:sz w:val="22"/>
          <w:szCs w:val="22"/>
          <w:color w:val="auto"/>
        </w:rPr>
        <w:t>Dated:</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Optionee’s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-158115</wp:posOffset>
            </wp:positionV>
            <wp:extent cx="648081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3">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39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298450</wp:posOffset>
            </wp:positionV>
            <wp:extent cx="355727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4">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598805</wp:posOffset>
            </wp:positionV>
            <wp:extent cx="35572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5">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898525</wp:posOffset>
            </wp:positionV>
            <wp:extent cx="355727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6">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1400175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25"/>
          <w:szCs w:val="25"/>
          <w:b w:val="1"/>
          <w:bCs w:val="1"/>
          <w:color w:val="auto"/>
        </w:rPr>
        <w:t>RESTRICTED STOCK AWARD AGREEMENT</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UNDER THE RELAY THERAPEUTICS, INC.</w:t>
      </w:r>
    </w:p>
    <w:p>
      <w:pPr>
        <w:jc w:val="center"/>
        <w:ind w:right="-19"/>
        <w:spacing w:after="0"/>
        <w:rPr>
          <w:sz w:val="20"/>
          <w:szCs w:val="20"/>
          <w:color w:val="auto"/>
        </w:rPr>
      </w:pPr>
      <w:r>
        <w:rPr>
          <w:rFonts w:ascii="Arial" w:cs="Arial" w:eastAsia="Arial" w:hAnsi="Arial"/>
          <w:sz w:val="25"/>
          <w:szCs w:val="25"/>
          <w:b w:val="1"/>
          <w:bCs w:val="1"/>
          <w:color w:val="auto"/>
        </w:rPr>
        <w:t>2020 STOCK OPTION AND INCENTIVE PLAN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-17780</wp:posOffset>
            </wp:positionV>
            <wp:extent cx="532320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8">
                      <a:extLst>
                        <a:ext uri="{28A0092B-C50C-407E-A947-70E740481C1C}"/>
                      </a:extLst>
                    </a:blip>
                    <a:srcRect/>
                    <a:stretch>
                      <a:fillRect/>
                    </a:stretch>
                  </pic:blipFill>
                  <pic:spPr bwMode="auto">
                    <a:xfrm>
                      <a:off x="0" y="0"/>
                      <a:ext cx="5323205" cy="8255"/>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-17780</wp:posOffset>
            </wp:positionV>
            <wp:extent cx="294894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9">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-17780</wp:posOffset>
            </wp:positionV>
            <wp:extent cx="294894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60" w:firstLine="749"/>
        <w:spacing w:after="0" w:line="234" w:lineRule="auto"/>
        <w:rPr>
          <w:sz w:val="20"/>
          <w:szCs w:val="20"/>
          <w:color w:val="auto"/>
        </w:rPr>
      </w:pPr>
      <w:r>
        <w:rPr>
          <w:rFonts w:ascii="Arial" w:cs="Arial" w:eastAsia="Arial" w:hAnsi="Arial"/>
          <w:sz w:val="22"/>
          <w:szCs w:val="22"/>
          <w:color w:val="auto"/>
        </w:rPr>
        <w:t>Pursuant to the Relay Therapeutics, Inc. 2020 Stock Option and Incentive Plan (the “Plan”) as amended through the date hereof, Relay Therapeutics, Inc. (the “Company”) hereby grants a Restricted Stock Award (an “Award”) to the Grantee named above. Upon acceptance of this Award, the Grantee shall receive the number of shares of Common Stock, par value $0.001 per share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91" w:lineRule="exact"/>
        <w:rPr>
          <w:sz w:val="20"/>
          <w:szCs w:val="20"/>
          <w:color w:val="auto"/>
        </w:rPr>
      </w:pPr>
    </w:p>
    <w:p>
      <w:pPr>
        <w:ind w:firstLine="757"/>
        <w:spacing w:after="0" w:line="282" w:lineRule="auto"/>
        <w:tabs>
          <w:tab w:leader="none" w:pos="1498"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147" w:lineRule="exact"/>
        <w:rPr>
          <w:rFonts w:ascii="Arial" w:cs="Arial" w:eastAsia="Arial" w:hAnsi="Arial"/>
          <w:sz w:val="19"/>
          <w:szCs w:val="19"/>
          <w:color w:val="auto"/>
        </w:rPr>
      </w:pPr>
    </w:p>
    <w:p>
      <w:pPr>
        <w:ind w:left="1500" w:hanging="743"/>
        <w:spacing w:after="0"/>
        <w:tabs>
          <w:tab w:leader="none" w:pos="1500"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Restrictions and Conditions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right="340" w:firstLine="1505"/>
        <w:spacing w:after="0"/>
        <w:tabs>
          <w:tab w:leader="none" w:pos="2995" w:val="left"/>
        </w:tabs>
        <w:numPr>
          <w:ilvl w:val="1"/>
          <w:numId w:val="145"/>
        </w:numPr>
        <w:rPr>
          <w:rFonts w:ascii="Arial" w:cs="Arial" w:eastAsia="Arial" w:hAnsi="Arial"/>
          <w:sz w:val="22"/>
          <w:szCs w:val="22"/>
          <w:color w:val="auto"/>
        </w:rPr>
      </w:pPr>
      <w:r>
        <w:rPr>
          <w:rFonts w:ascii="Arial" w:cs="Arial" w:eastAsia="Arial" w:hAnsi="Arial"/>
          <w:sz w:val="22"/>
          <w:szCs w:val="22"/>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86" w:lineRule="exact"/>
        <w:rPr>
          <w:rFonts w:ascii="Arial" w:cs="Arial" w:eastAsia="Arial" w:hAnsi="Arial"/>
          <w:sz w:val="22"/>
          <w:szCs w:val="22"/>
          <w:color w:val="auto"/>
        </w:rPr>
      </w:pPr>
    </w:p>
    <w:p>
      <w:pPr>
        <w:ind w:right="300" w:firstLine="1505"/>
        <w:spacing w:after="0" w:line="250" w:lineRule="auto"/>
        <w:tabs>
          <w:tab w:leader="none" w:pos="2995" w:val="left"/>
        </w:tabs>
        <w:numPr>
          <w:ilvl w:val="1"/>
          <w:numId w:val="145"/>
        </w:numPr>
        <w:rPr>
          <w:rFonts w:ascii="Arial" w:cs="Arial" w:eastAsia="Arial" w:hAnsi="Arial"/>
          <w:sz w:val="22"/>
          <w:szCs w:val="22"/>
          <w:color w:val="auto"/>
        </w:rPr>
      </w:pPr>
      <w:r>
        <w:rPr>
          <w:rFonts w:ascii="Arial" w:cs="Arial" w:eastAsia="Arial" w:hAnsi="Arial"/>
          <w:sz w:val="22"/>
          <w:szCs w:val="22"/>
          <w:color w:val="auto"/>
        </w:rPr>
        <w:t>Shares of Restricted Stock granted herein may not be sold, assigned, transferred, pledged or otherwise encumbered or disposed of by the Grantee prior to vesting.</w:t>
      </w:r>
    </w:p>
    <w:p>
      <w:pPr>
        <w:spacing w:after="0" w:line="174" w:lineRule="exact"/>
        <w:rPr>
          <w:rFonts w:ascii="Arial" w:cs="Arial" w:eastAsia="Arial" w:hAnsi="Arial"/>
          <w:sz w:val="22"/>
          <w:szCs w:val="22"/>
          <w:color w:val="auto"/>
        </w:rPr>
      </w:pPr>
    </w:p>
    <w:p>
      <w:pPr>
        <w:ind w:right="180" w:firstLine="1505"/>
        <w:spacing w:after="0" w:line="257" w:lineRule="auto"/>
        <w:tabs>
          <w:tab w:leader="none" w:pos="2995" w:val="left"/>
        </w:tabs>
        <w:numPr>
          <w:ilvl w:val="1"/>
          <w:numId w:val="145"/>
        </w:numPr>
        <w:rPr>
          <w:rFonts w:ascii="Arial" w:cs="Arial" w:eastAsia="Arial" w:hAnsi="Arial"/>
          <w:sz w:val="21"/>
          <w:szCs w:val="21"/>
          <w:color w:val="auto"/>
        </w:rPr>
      </w:pPr>
      <w:r>
        <w:rPr>
          <w:rFonts w:ascii="Arial" w:cs="Arial" w:eastAsia="Arial" w:hAnsi="Arial"/>
          <w:sz w:val="21"/>
          <w:szCs w:val="21"/>
          <w:color w:val="auto"/>
        </w:rPr>
        <w:t>If the Grantee’s Service Relationship with the Company or a Subsidiary is voluntarily or involuntarily terminated for any reason (including death) prior to vesting of shares of Restricted Stock granted herein, all shares of Restricted Stock shall immediately and automatically be forfeited and returned to the Company.</w:t>
      </w:r>
    </w:p>
    <w:p>
      <w:pPr>
        <w:spacing w:after="0" w:line="169" w:lineRule="exact"/>
        <w:rPr>
          <w:rFonts w:ascii="Arial" w:cs="Arial" w:eastAsia="Arial" w:hAnsi="Arial"/>
          <w:sz w:val="21"/>
          <w:szCs w:val="21"/>
          <w:color w:val="auto"/>
        </w:rPr>
      </w:pPr>
    </w:p>
    <w:p>
      <w:pPr>
        <w:ind w:right="60" w:firstLine="757"/>
        <w:spacing w:after="0" w:line="250" w:lineRule="auto"/>
        <w:tabs>
          <w:tab w:leader="none" w:pos="1498"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w:t>
      </w:r>
      <w:r>
        <w:rPr>
          <w:rFonts w:ascii="Arial" w:cs="Arial" w:eastAsia="Arial" w:hAnsi="Arial"/>
          <w:sz w:val="22"/>
          <w:szCs w:val="22"/>
          <w:color w:val="auto"/>
        </w:rPr>
        <w:t>. The restrictions and conditions in Paragraph 2 of this Agreement shall lapse on the Vesting Date or Dates specified in the following schedule so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3" w:name="page214"/>
    <w:bookmarkEnd w:id="213"/>
    <w:p>
      <w:pPr>
        <w:ind w:right="120"/>
        <w:spacing w:after="0"/>
        <w:rPr>
          <w:sz w:val="20"/>
          <w:szCs w:val="20"/>
          <w:color w:val="auto"/>
        </w:rPr>
      </w:pPr>
      <w:r>
        <w:rPr>
          <w:rFonts w:ascii="Arial" w:cs="Arial" w:eastAsia="Arial" w:hAnsi="Arial"/>
          <w:sz w:val="22"/>
          <w:szCs w:val="22"/>
          <w:color w:val="auto"/>
        </w:rPr>
        <w:t>as the Grantee continues to have a Service Relationship with the Company or a Subsidiary on such Dates. If a series of Vesting Dates is specified, then the restrictions and conditions in Paragraph 2 shall lapse only with respect to the number of shares of Restricted Stock specified as vested on such date.</w:t>
      </w:r>
    </w:p>
    <w:p>
      <w:pPr>
        <w:spacing w:after="0" w:line="149" w:lineRule="exact"/>
        <w:rPr>
          <w:sz w:val="20"/>
          <w:szCs w:val="20"/>
          <w:color w:val="auto"/>
        </w:rPr>
      </w:pPr>
    </w:p>
    <w:tbl>
      <w:tblPr>
        <w:tblLayout w:type="fixed"/>
        <w:tblInd w:w="2440" w:type="dxa"/>
        <w:tblCellMar>
          <w:top w:w="0" w:type="dxa"/>
          <w:left w:w="0" w:type="dxa"/>
          <w:bottom w:w="0" w:type="dxa"/>
          <w:right w:w="0" w:type="dxa"/>
        </w:tblCellMar>
      </w:tblPr>
      <w:tr>
        <w:trPr>
          <w:trHeight w:val="253"/>
        </w:trPr>
        <w:tc>
          <w:tcPr>
            <w:tcW w:w="3580" w:type="dxa"/>
            <w:vAlign w:val="bottom"/>
            <w:gridSpan w:val="3"/>
          </w:tcPr>
          <w:p>
            <w:pPr>
              <w:jc w:val="center"/>
              <w:ind w:right="1500"/>
              <w:spacing w:after="0"/>
              <w:rPr>
                <w:sz w:val="20"/>
                <w:szCs w:val="20"/>
                <w:color w:val="auto"/>
              </w:rPr>
            </w:pPr>
            <w:r>
              <w:rPr>
                <w:rFonts w:ascii="Arial" w:cs="Arial" w:eastAsia="Arial" w:hAnsi="Arial"/>
                <w:sz w:val="22"/>
                <w:szCs w:val="22"/>
                <w:color w:val="auto"/>
                <w:w w:val="90"/>
              </w:rPr>
              <w:t>Incremental Number</w:t>
            </w:r>
          </w:p>
        </w:tc>
        <w:tc>
          <w:tcPr>
            <w:tcW w:w="156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22"/>
                <w:szCs w:val="22"/>
                <w:color w:val="auto"/>
                <w:w w:val="88"/>
              </w:rPr>
              <w:t>Vesting Date</w:t>
            </w:r>
          </w:p>
        </w:tc>
        <w:tc>
          <w:tcPr>
            <w:tcW w:w="8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1440" w:type="dxa"/>
            <w:vAlign w:val="bottom"/>
            <w:tcBorders>
              <w:bottom w:val="single" w:sz="8" w:color="auto"/>
            </w:tcBorders>
          </w:tcPr>
          <w:p>
            <w:pPr>
              <w:jc w:val="center"/>
              <w:spacing w:after="0" w:line="224" w:lineRule="exact"/>
              <w:rPr>
                <w:sz w:val="20"/>
                <w:szCs w:val="20"/>
                <w:color w:val="auto"/>
              </w:rPr>
            </w:pPr>
            <w:r>
              <w:rPr>
                <w:rFonts w:ascii="Arial" w:cs="Arial" w:eastAsia="Arial" w:hAnsi="Arial"/>
                <w:sz w:val="22"/>
                <w:szCs w:val="22"/>
                <w:color w:val="auto"/>
                <w:w w:val="85"/>
              </w:rPr>
              <w:t>of Shares Vested</w:t>
            </w:r>
          </w:p>
        </w:tc>
        <w:tc>
          <w:tcPr>
            <w:tcW w:w="1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3580" w:type="dxa"/>
            <w:vAlign w:val="bottom"/>
            <w:gridSpan w:val="3"/>
          </w:tcPr>
          <w:p>
            <w:pPr>
              <w:jc w:val="center"/>
              <w:ind w:right="1480"/>
              <w:spacing w:after="0"/>
              <w:rPr>
                <w:sz w:val="20"/>
                <w:szCs w:val="20"/>
                <w:color w:val="auto"/>
              </w:rPr>
            </w:pPr>
            <w:r>
              <w:rPr>
                <w:rFonts w:ascii="Arial" w:cs="Arial" w:eastAsia="Arial" w:hAnsi="Arial"/>
                <w:sz w:val="22"/>
                <w:szCs w:val="22"/>
                <w:color w:val="auto"/>
                <w:w w:val="88"/>
              </w:rPr>
              <w:t>_____________ (___%)</w:t>
            </w:r>
          </w:p>
        </w:tc>
        <w:tc>
          <w:tcPr>
            <w:tcW w:w="2760" w:type="dxa"/>
            <w:vAlign w:val="bottom"/>
            <w:gridSpan w:val="3"/>
          </w:tcPr>
          <w:p>
            <w:pPr>
              <w:jc w:val="center"/>
              <w:ind w:left="1352"/>
              <w:spacing w:after="0"/>
              <w:rPr>
                <w:sz w:val="20"/>
                <w:szCs w:val="20"/>
                <w:color w:val="auto"/>
              </w:rPr>
            </w:pPr>
            <w:r>
              <w:rPr>
                <w:rFonts w:ascii="Arial" w:cs="Arial" w:eastAsia="Arial" w:hAnsi="Arial"/>
                <w:sz w:val="22"/>
                <w:szCs w:val="22"/>
                <w:color w:val="auto"/>
                <w:w w:val="88"/>
              </w:rPr>
              <w:t>____________</w:t>
            </w:r>
          </w:p>
        </w:tc>
        <w:tc>
          <w:tcPr>
            <w:tcW w:w="0" w:type="dxa"/>
            <w:vAlign w:val="bottom"/>
          </w:tcPr>
          <w:p>
            <w:pPr>
              <w:spacing w:after="0"/>
              <w:rPr>
                <w:sz w:val="1"/>
                <w:szCs w:val="1"/>
                <w:color w:val="auto"/>
              </w:rPr>
            </w:pPr>
          </w:p>
        </w:tc>
      </w:tr>
      <w:tr>
        <w:trPr>
          <w:trHeight w:val="243"/>
        </w:trPr>
        <w:tc>
          <w:tcPr>
            <w:tcW w:w="3580" w:type="dxa"/>
            <w:vAlign w:val="bottom"/>
            <w:gridSpan w:val="3"/>
          </w:tcPr>
          <w:p>
            <w:pPr>
              <w:jc w:val="center"/>
              <w:ind w:right="1480"/>
              <w:spacing w:after="0" w:line="243" w:lineRule="exact"/>
              <w:rPr>
                <w:sz w:val="20"/>
                <w:szCs w:val="20"/>
                <w:color w:val="auto"/>
              </w:rPr>
            </w:pPr>
            <w:r>
              <w:rPr>
                <w:rFonts w:ascii="Arial" w:cs="Arial" w:eastAsia="Arial" w:hAnsi="Arial"/>
                <w:sz w:val="22"/>
                <w:szCs w:val="22"/>
                <w:color w:val="auto"/>
                <w:w w:val="88"/>
              </w:rPr>
              <w:t>_____________ (___%)</w:t>
            </w:r>
          </w:p>
        </w:tc>
        <w:tc>
          <w:tcPr>
            <w:tcW w:w="2760" w:type="dxa"/>
            <w:vAlign w:val="bottom"/>
            <w:gridSpan w:val="3"/>
          </w:tcPr>
          <w:p>
            <w:pPr>
              <w:jc w:val="center"/>
              <w:ind w:left="1352"/>
              <w:spacing w:after="0" w:line="243" w:lineRule="exact"/>
              <w:rPr>
                <w:sz w:val="20"/>
                <w:szCs w:val="20"/>
                <w:color w:val="auto"/>
              </w:rPr>
            </w:pPr>
            <w:r>
              <w:rPr>
                <w:rFonts w:ascii="Arial" w:cs="Arial" w:eastAsia="Arial" w:hAnsi="Arial"/>
                <w:sz w:val="22"/>
                <w:szCs w:val="22"/>
                <w:color w:val="auto"/>
                <w:w w:val="88"/>
              </w:rPr>
              <w:t>____________</w:t>
            </w:r>
          </w:p>
        </w:tc>
        <w:tc>
          <w:tcPr>
            <w:tcW w:w="0" w:type="dxa"/>
            <w:vAlign w:val="bottom"/>
          </w:tcPr>
          <w:p>
            <w:pPr>
              <w:spacing w:after="0"/>
              <w:rPr>
                <w:sz w:val="1"/>
                <w:szCs w:val="1"/>
                <w:color w:val="auto"/>
              </w:rPr>
            </w:pPr>
          </w:p>
        </w:tc>
      </w:tr>
      <w:tr>
        <w:trPr>
          <w:trHeight w:val="243"/>
        </w:trPr>
        <w:tc>
          <w:tcPr>
            <w:tcW w:w="3580" w:type="dxa"/>
            <w:vAlign w:val="bottom"/>
            <w:gridSpan w:val="3"/>
          </w:tcPr>
          <w:p>
            <w:pPr>
              <w:jc w:val="center"/>
              <w:ind w:right="1480"/>
              <w:spacing w:after="0" w:line="243" w:lineRule="exact"/>
              <w:rPr>
                <w:sz w:val="20"/>
                <w:szCs w:val="20"/>
                <w:color w:val="auto"/>
              </w:rPr>
            </w:pPr>
            <w:r>
              <w:rPr>
                <w:rFonts w:ascii="Arial" w:cs="Arial" w:eastAsia="Arial" w:hAnsi="Arial"/>
                <w:sz w:val="22"/>
                <w:szCs w:val="22"/>
                <w:color w:val="auto"/>
                <w:w w:val="88"/>
              </w:rPr>
              <w:t>_____________ (___%)</w:t>
            </w:r>
          </w:p>
        </w:tc>
        <w:tc>
          <w:tcPr>
            <w:tcW w:w="2760" w:type="dxa"/>
            <w:vAlign w:val="bottom"/>
            <w:gridSpan w:val="3"/>
          </w:tcPr>
          <w:p>
            <w:pPr>
              <w:jc w:val="center"/>
              <w:ind w:left="1352"/>
              <w:spacing w:after="0" w:line="243" w:lineRule="exact"/>
              <w:rPr>
                <w:sz w:val="20"/>
                <w:szCs w:val="20"/>
                <w:color w:val="auto"/>
              </w:rPr>
            </w:pPr>
            <w:r>
              <w:rPr>
                <w:rFonts w:ascii="Arial" w:cs="Arial" w:eastAsia="Arial" w:hAnsi="Arial"/>
                <w:sz w:val="22"/>
                <w:szCs w:val="22"/>
                <w:color w:val="auto"/>
                <w:w w:val="88"/>
              </w:rPr>
              <w:t>____________</w:t>
            </w:r>
          </w:p>
        </w:tc>
        <w:tc>
          <w:tcPr>
            <w:tcW w:w="0" w:type="dxa"/>
            <w:vAlign w:val="bottom"/>
          </w:tcPr>
          <w:p>
            <w:pPr>
              <w:spacing w:after="0"/>
              <w:rPr>
                <w:sz w:val="1"/>
                <w:szCs w:val="1"/>
                <w:color w:val="auto"/>
              </w:rPr>
            </w:pPr>
          </w:p>
        </w:tc>
      </w:tr>
      <w:tr>
        <w:trPr>
          <w:trHeight w:val="243"/>
        </w:trPr>
        <w:tc>
          <w:tcPr>
            <w:tcW w:w="3580" w:type="dxa"/>
            <w:vAlign w:val="bottom"/>
            <w:gridSpan w:val="3"/>
          </w:tcPr>
          <w:p>
            <w:pPr>
              <w:jc w:val="center"/>
              <w:ind w:right="1480"/>
              <w:spacing w:after="0" w:line="243" w:lineRule="exact"/>
              <w:rPr>
                <w:sz w:val="20"/>
                <w:szCs w:val="20"/>
                <w:color w:val="auto"/>
              </w:rPr>
            </w:pPr>
            <w:r>
              <w:rPr>
                <w:rFonts w:ascii="Arial" w:cs="Arial" w:eastAsia="Arial" w:hAnsi="Arial"/>
                <w:sz w:val="22"/>
                <w:szCs w:val="22"/>
                <w:color w:val="auto"/>
                <w:w w:val="88"/>
              </w:rPr>
              <w:t>_____________ (___%)</w:t>
            </w:r>
          </w:p>
        </w:tc>
        <w:tc>
          <w:tcPr>
            <w:tcW w:w="2760" w:type="dxa"/>
            <w:vAlign w:val="bottom"/>
            <w:gridSpan w:val="3"/>
          </w:tcPr>
          <w:p>
            <w:pPr>
              <w:jc w:val="center"/>
              <w:ind w:left="1352"/>
              <w:spacing w:after="0" w:line="243" w:lineRule="exact"/>
              <w:rPr>
                <w:sz w:val="20"/>
                <w:szCs w:val="20"/>
                <w:color w:val="auto"/>
              </w:rPr>
            </w:pPr>
            <w:r>
              <w:rPr>
                <w:rFonts w:ascii="Arial" w:cs="Arial" w:eastAsia="Arial" w:hAnsi="Arial"/>
                <w:sz w:val="22"/>
                <w:szCs w:val="22"/>
                <w:color w:val="auto"/>
                <w:w w:val="88"/>
              </w:rPr>
              <w:t>____________</w:t>
            </w:r>
          </w:p>
        </w:tc>
        <w:tc>
          <w:tcPr>
            <w:tcW w:w="0" w:type="dxa"/>
            <w:vAlign w:val="bottom"/>
          </w:tcPr>
          <w:p>
            <w:pPr>
              <w:spacing w:after="0"/>
              <w:rPr>
                <w:sz w:val="1"/>
                <w:szCs w:val="1"/>
                <w:color w:val="auto"/>
              </w:rPr>
            </w:pPr>
          </w:p>
        </w:tc>
      </w:tr>
      <w:tr>
        <w:trPr>
          <w:trHeight w:val="274"/>
        </w:trPr>
        <w:tc>
          <w:tcPr>
            <w:tcW w:w="3580" w:type="dxa"/>
            <w:vAlign w:val="bottom"/>
            <w:gridSpan w:val="3"/>
          </w:tcPr>
          <w:p>
            <w:pPr>
              <w:jc w:val="center"/>
              <w:ind w:right="1480"/>
              <w:spacing w:after="0"/>
              <w:rPr>
                <w:sz w:val="20"/>
                <w:szCs w:val="20"/>
                <w:color w:val="auto"/>
              </w:rPr>
            </w:pPr>
            <w:r>
              <w:rPr>
                <w:rFonts w:ascii="Arial" w:cs="Arial" w:eastAsia="Arial" w:hAnsi="Arial"/>
                <w:sz w:val="22"/>
                <w:szCs w:val="22"/>
                <w:color w:val="auto"/>
                <w:w w:val="88"/>
              </w:rPr>
              <w:t>_____________ (___%)</w:t>
            </w:r>
          </w:p>
        </w:tc>
        <w:tc>
          <w:tcPr>
            <w:tcW w:w="2760" w:type="dxa"/>
            <w:vAlign w:val="bottom"/>
            <w:gridSpan w:val="3"/>
          </w:tcPr>
          <w:p>
            <w:pPr>
              <w:jc w:val="center"/>
              <w:ind w:left="1352"/>
              <w:spacing w:after="0"/>
              <w:rPr>
                <w:sz w:val="20"/>
                <w:szCs w:val="20"/>
                <w:color w:val="auto"/>
              </w:rPr>
            </w:pPr>
            <w:r>
              <w:rPr>
                <w:rFonts w:ascii="Arial" w:cs="Arial" w:eastAsia="Arial" w:hAnsi="Arial"/>
                <w:sz w:val="22"/>
                <w:szCs w:val="22"/>
                <w:color w:val="auto"/>
                <w:w w:val="88"/>
              </w:rPr>
              <w:t>____________</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40" w:firstLine="749"/>
        <w:spacing w:after="0"/>
        <w:rPr>
          <w:sz w:val="20"/>
          <w:szCs w:val="20"/>
          <w:color w:val="auto"/>
        </w:rPr>
      </w:pPr>
      <w:r>
        <w:rPr>
          <w:rFonts w:ascii="Arial" w:cs="Arial" w:eastAsia="Arial" w:hAnsi="Arial"/>
          <w:sz w:val="22"/>
          <w:szCs w:val="22"/>
          <w:color w:val="auto"/>
        </w:rPr>
        <w:t>Subsequent to such Vesting Date or Dates, the shares of Stock on which all restrictions and conditions have lapsed shall no longer be deemed Restricted Stock. The Administrator may at any time accelerate the vesting schedule specified in this Paragraph 3.</w:t>
      </w:r>
    </w:p>
    <w:p>
      <w:pPr>
        <w:spacing w:after="0" w:line="186" w:lineRule="exact"/>
        <w:rPr>
          <w:sz w:val="20"/>
          <w:szCs w:val="20"/>
          <w:color w:val="auto"/>
        </w:rPr>
      </w:pPr>
    </w:p>
    <w:p>
      <w:pPr>
        <w:ind w:left="1500" w:hanging="743"/>
        <w:spacing w:after="0"/>
        <w:tabs>
          <w:tab w:leader="none" w:pos="150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 Dividends on shares of Restricted Stock shall be paid currently to the Grantee.</w:t>
      </w:r>
    </w:p>
    <w:p>
      <w:pPr>
        <w:spacing w:after="0" w:line="206" w:lineRule="exact"/>
        <w:rPr>
          <w:rFonts w:ascii="Arial" w:cs="Arial" w:eastAsia="Arial" w:hAnsi="Arial"/>
          <w:sz w:val="22"/>
          <w:szCs w:val="22"/>
          <w:color w:val="auto"/>
        </w:rPr>
      </w:pPr>
    </w:p>
    <w:p>
      <w:pPr>
        <w:ind w:right="200" w:firstLine="757"/>
        <w:spacing w:after="0" w:line="238" w:lineRule="auto"/>
        <w:tabs>
          <w:tab w:leader="none" w:pos="1498"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right="380" w:firstLine="757"/>
        <w:spacing w:after="0" w:line="328" w:lineRule="auto"/>
        <w:tabs>
          <w:tab w:leader="none" w:pos="1498"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This Agreement is personal to the Grantee, is non-assignable and is not transferable in any manner, by operation of law or otherwise, other than by will or the laws of descent and distribution.</w:t>
      </w:r>
    </w:p>
    <w:p>
      <w:pPr>
        <w:spacing w:after="0" w:line="104" w:lineRule="exact"/>
        <w:rPr>
          <w:rFonts w:ascii="Arial" w:cs="Arial" w:eastAsia="Arial" w:hAnsi="Arial"/>
          <w:sz w:val="19"/>
          <w:szCs w:val="19"/>
          <w:color w:val="auto"/>
        </w:rPr>
      </w:pPr>
    </w:p>
    <w:p>
      <w:pPr>
        <w:ind w:firstLine="757"/>
        <w:spacing w:after="0" w:line="245" w:lineRule="auto"/>
        <w:tabs>
          <w:tab w:leader="none" w:pos="1498"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tax withholding obligation to be satisfied, in whole or in part, by (i) withholding from shares of Stock to be issued or released by the transfer agent a number of shares of Stock with an aggregate Fair Market Value that would satisfy the withholding amount due; or (ii) causing its transfer agent to sell from the number of shares of Stock to be issued or released to the Grantee, the number of shares of Stock necessary to satisfy the Federal, state and local taxes required by law to be withheld from the Grantee on account of such transfer.</w:t>
      </w:r>
    </w:p>
    <w:p>
      <w:pPr>
        <w:spacing w:after="0" w:line="184" w:lineRule="exact"/>
        <w:rPr>
          <w:rFonts w:ascii="Arial" w:cs="Arial" w:eastAsia="Arial" w:hAnsi="Arial"/>
          <w:sz w:val="21"/>
          <w:szCs w:val="21"/>
          <w:color w:val="auto"/>
        </w:rPr>
      </w:pPr>
    </w:p>
    <w:p>
      <w:pPr>
        <w:ind w:right="80" w:firstLine="757"/>
        <w:spacing w:after="0" w:line="249" w:lineRule="auto"/>
        <w:tabs>
          <w:tab w:leader="none" w:pos="1498"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Election Under Section 83(b)</w:t>
      </w:r>
      <w:r>
        <w:rPr>
          <w:rFonts w:ascii="Arial" w:cs="Arial" w:eastAsia="Arial" w:hAnsi="Arial"/>
          <w:sz w:val="21"/>
          <w:szCs w:val="21"/>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1" w:right="439" w:bottom="1440" w:gutter="0" w:footer="0" w:header="0"/>
        </w:sectPr>
      </w:pPr>
    </w:p>
    <w:bookmarkStart w:id="214" w:name="page215"/>
    <w:bookmarkEnd w:id="214"/>
    <w:p>
      <w:pPr>
        <w:ind w:right="220"/>
        <w:spacing w:after="0" w:line="250" w:lineRule="auto"/>
        <w:rPr>
          <w:sz w:val="20"/>
          <w:szCs w:val="20"/>
          <w:color w:val="auto"/>
        </w:rPr>
      </w:pPr>
      <w:r>
        <w:rPr>
          <w:rFonts w:ascii="Arial" w:cs="Arial" w:eastAsia="Arial" w:hAnsi="Arial"/>
          <w:sz w:val="22"/>
          <w:szCs w:val="22"/>
          <w:color w:val="auto"/>
        </w:rPr>
        <w:t>relying solely on such advisors and not on any statements or representations of the Company or any of its agents with regard to such election.</w:t>
      </w:r>
    </w:p>
    <w:p>
      <w:pPr>
        <w:spacing w:after="0" w:line="175" w:lineRule="exact"/>
        <w:rPr>
          <w:sz w:val="20"/>
          <w:szCs w:val="20"/>
          <w:color w:val="auto"/>
        </w:rPr>
      </w:pPr>
    </w:p>
    <w:p>
      <w:pPr>
        <w:ind w:right="40" w:firstLine="757"/>
        <w:spacing w:after="0" w:line="252" w:lineRule="auto"/>
        <w:tabs>
          <w:tab w:leader="none" w:pos="1498"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No Obligation to Continue Service Relationship</w:t>
      </w:r>
      <w:r>
        <w:rPr>
          <w:rFonts w:ascii="Arial" w:cs="Arial" w:eastAsia="Arial" w:hAnsi="Arial"/>
          <w:sz w:val="21"/>
          <w:szCs w:val="21"/>
          <w:color w:val="auto"/>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Grantee’s Service Relationship with the Company or a Subsidiary at any time.</w:t>
      </w:r>
    </w:p>
    <w:p>
      <w:pPr>
        <w:spacing w:after="0" w:line="173" w:lineRule="exact"/>
        <w:rPr>
          <w:rFonts w:ascii="Arial" w:cs="Arial" w:eastAsia="Arial" w:hAnsi="Arial"/>
          <w:sz w:val="21"/>
          <w:szCs w:val="21"/>
          <w:color w:val="auto"/>
        </w:rPr>
      </w:pPr>
    </w:p>
    <w:p>
      <w:pPr>
        <w:ind w:firstLine="757"/>
        <w:spacing w:after="0" w:line="274" w:lineRule="auto"/>
        <w:tabs>
          <w:tab w:leader="none" w:pos="1498"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150" w:lineRule="exact"/>
        <w:rPr>
          <w:rFonts w:ascii="Arial" w:cs="Arial" w:eastAsia="Arial" w:hAnsi="Arial"/>
          <w:sz w:val="21"/>
          <w:szCs w:val="21"/>
          <w:color w:val="auto"/>
        </w:rPr>
      </w:pPr>
    </w:p>
    <w:p>
      <w:pPr>
        <w:ind w:right="80" w:firstLine="757"/>
        <w:spacing w:after="0" w:line="273" w:lineRule="auto"/>
        <w:tabs>
          <w:tab w:leader="none" w:pos="1498"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60" w:lineRule="exact"/>
        <w:rPr>
          <w:rFonts w:ascii="Arial" w:cs="Arial" w:eastAsia="Arial" w:hAnsi="Arial"/>
          <w:sz w:val="19"/>
          <w:szCs w:val="19"/>
          <w:color w:val="auto"/>
        </w:rPr>
      </w:pPr>
    </w:p>
    <w:p>
      <w:pPr>
        <w:ind w:right="40" w:firstLine="757"/>
        <w:spacing w:after="0"/>
        <w:tabs>
          <w:tab w:leader="none" w:pos="1498"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6" w:lineRule="exact"/>
        <w:rPr>
          <w:rFonts w:ascii="Arial" w:cs="Arial" w:eastAsia="Arial" w:hAnsi="Arial"/>
          <w:sz w:val="22"/>
          <w:szCs w:val="22"/>
          <w:color w:val="auto"/>
        </w:rPr>
      </w:pPr>
    </w:p>
    <w:p>
      <w:pPr>
        <w:ind w:right="220" w:firstLine="757"/>
        <w:spacing w:after="0"/>
        <w:tabs>
          <w:tab w:leader="none" w:pos="1498"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The Grantee acknowledges that a waiver by the Company of breach of any provision of this Agreement shall not operate or be construed as a waiver of any other provision of this Agreement, or of any subsequent breach by the Grantee or any other Grantee.</w:t>
      </w:r>
    </w:p>
    <w:p>
      <w:pPr>
        <w:spacing w:after="0" w:line="186" w:lineRule="exact"/>
        <w:rPr>
          <w:rFonts w:ascii="Arial" w:cs="Arial" w:eastAsia="Arial" w:hAnsi="Arial"/>
          <w:sz w:val="22"/>
          <w:szCs w:val="22"/>
          <w:color w:val="auto"/>
        </w:rPr>
      </w:pPr>
    </w:p>
    <w:p>
      <w:pPr>
        <w:ind w:right="340" w:firstLine="757"/>
        <w:spacing w:after="0" w:line="287" w:lineRule="auto"/>
        <w:tabs>
          <w:tab w:leader="none" w:pos="1498"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42" w:lineRule="exact"/>
        <w:rPr>
          <w:rFonts w:ascii="Arial" w:cs="Arial" w:eastAsia="Arial" w:hAnsi="Arial"/>
          <w:sz w:val="19"/>
          <w:szCs w:val="19"/>
          <w:color w:val="auto"/>
        </w:rPr>
      </w:pPr>
    </w:p>
    <w:p>
      <w:pPr>
        <w:ind w:right="80" w:firstLine="757"/>
        <w:spacing w:after="0"/>
        <w:tabs>
          <w:tab w:leader="none" w:pos="1498"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15" w:name="page216"/>
    <w:bookmarkEnd w:id="215"/>
    <w:p>
      <w:pPr>
        <w:jc w:val="both"/>
        <w:ind w:firstLine="757"/>
        <w:spacing w:after="0" w:line="252" w:lineRule="auto"/>
        <w:tabs>
          <w:tab w:leader="none" w:pos="1498"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 of Documents</w:t>
      </w:r>
      <w:r>
        <w:rPr>
          <w:rFonts w:ascii="Arial" w:cs="Arial" w:eastAsia="Arial" w:hAnsi="Arial"/>
          <w:sz w:val="21"/>
          <w:szCs w:val="21"/>
          <w:color w:val="auto"/>
        </w:rPr>
        <w:t>. The Company may, in its sole discretion, decide to deliver any documents related to current or future participation in the Plan by electronic means. The Grantee hereby consents to receive such documents by electronic delivery and agree to participate in the Plan through an on-line or electronic system established and maintained by the Company or a third party designated by the Company.</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Relay Therapeutics, Inc.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6985</wp:posOffset>
            </wp:positionV>
            <wp:extent cx="31889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right="460"/>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6985</wp:posOffset>
            </wp:positionV>
            <wp:extent cx="639508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5">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1"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04"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290195</wp:posOffset>
            </wp:positionV>
            <wp:extent cx="373761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6">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589915</wp:posOffset>
            </wp:positionV>
            <wp:extent cx="373761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7">
                      <a:extLst>
                        <a:ext uri="{28A0092B-C50C-407E-A947-70E740481C1C}"/>
                      </a:extLst>
                    </a:blip>
                    <a:srcRect/>
                    <a:stretch>
                      <a:fillRect/>
                    </a:stretch>
                  </pic:blipFill>
                  <pic:spPr bwMode="auto">
                    <a:xfrm>
                      <a:off x="0" y="0"/>
                      <a:ext cx="373761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890270</wp:posOffset>
            </wp:positionV>
            <wp:extent cx="373761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8">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1400175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16" w:name="page217"/>
    <w:bookmarkEnd w:id="216"/>
    <w:p>
      <w:pPr>
        <w:jc w:val="center"/>
        <w:spacing w:after="0"/>
        <w:rPr>
          <w:sz w:val="20"/>
          <w:szCs w:val="20"/>
          <w:color w:val="auto"/>
        </w:rPr>
      </w:pPr>
      <w:r>
        <w:rPr>
          <w:rFonts w:ascii="Arial" w:cs="Arial" w:eastAsia="Arial" w:hAnsi="Arial"/>
          <w:sz w:val="25"/>
          <w:szCs w:val="25"/>
          <w:b w:val="1"/>
          <w:bCs w:val="1"/>
          <w:color w:val="auto"/>
        </w:rPr>
        <w:t>RESTRICTED STOCK UNIT AWARD AGREEMENT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CONSULTANTS</w:t>
      </w:r>
    </w:p>
    <w:p>
      <w:pPr>
        <w:jc w:val="center"/>
        <w:spacing w:after="0" w:line="236" w:lineRule="auto"/>
        <w:rPr>
          <w:sz w:val="20"/>
          <w:szCs w:val="20"/>
          <w:color w:val="auto"/>
        </w:rPr>
      </w:pPr>
      <w:r>
        <w:rPr>
          <w:rFonts w:ascii="Arial" w:cs="Arial" w:eastAsia="Arial" w:hAnsi="Arial"/>
          <w:sz w:val="25"/>
          <w:szCs w:val="25"/>
          <w:b w:val="1"/>
          <w:bCs w:val="1"/>
          <w:color w:val="auto"/>
        </w:rPr>
        <w:t>UNDER THE RELAY THERAPEUTICS,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2020 STOCK OPTION AND INCENTIVE PLAN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-17780</wp:posOffset>
            </wp:positionV>
            <wp:extent cx="354901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-17780</wp:posOffset>
            </wp:positionV>
            <wp:extent cx="354901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-17780</wp:posOffset>
            </wp:positionV>
            <wp:extent cx="354901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-17780</wp:posOffset>
            </wp:positionV>
            <wp:extent cx="354901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60" w:firstLine="749"/>
        <w:spacing w:after="0" w:line="238" w:lineRule="auto"/>
        <w:rPr>
          <w:sz w:val="20"/>
          <w:szCs w:val="20"/>
          <w:color w:val="auto"/>
        </w:rPr>
      </w:pPr>
      <w:r>
        <w:rPr>
          <w:rFonts w:ascii="Arial" w:cs="Arial" w:eastAsia="Arial" w:hAnsi="Arial"/>
          <w:sz w:val="22"/>
          <w:szCs w:val="22"/>
          <w:color w:val="auto"/>
        </w:rPr>
        <w:t>Pursuant to the Relay Therapeutics, Inc. 2020 Stock Option and Incentive Plan as amended through the date hereof (the “Plan”), Relay Therapeutics,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85" w:lineRule="exact"/>
        <w:rPr>
          <w:sz w:val="20"/>
          <w:szCs w:val="20"/>
          <w:color w:val="auto"/>
        </w:rPr>
      </w:pPr>
    </w:p>
    <w:p>
      <w:pPr>
        <w:ind w:right="140" w:firstLine="757"/>
        <w:spacing w:after="0" w:line="236" w:lineRule="auto"/>
        <w:tabs>
          <w:tab w:leader="none" w:pos="1498"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7" w:lineRule="exact"/>
        <w:rPr>
          <w:rFonts w:ascii="Arial" w:cs="Arial" w:eastAsia="Arial" w:hAnsi="Arial"/>
          <w:sz w:val="22"/>
          <w:szCs w:val="22"/>
          <w:color w:val="auto"/>
        </w:rPr>
      </w:pPr>
    </w:p>
    <w:p>
      <w:pPr>
        <w:jc w:val="both"/>
        <w:ind w:right="120" w:firstLine="757"/>
        <w:spacing w:after="0" w:line="287" w:lineRule="auto"/>
        <w:tabs>
          <w:tab w:leader="none" w:pos="1498"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Vesting of Restricted Stock Units</w:t>
      </w:r>
      <w:r>
        <w:rPr>
          <w:rFonts w:ascii="Arial" w:cs="Arial" w:eastAsia="Arial" w:hAnsi="Arial"/>
          <w:sz w:val="19"/>
          <w:szCs w:val="19"/>
          <w:color w:val="auto"/>
        </w:rPr>
        <w:t>. The restrictions and conditions of Paragraph 1 of this Agreement shall lapse on the Vesting Date or Dates specified in the following schedule so long as the Grantee continues to have a Service Relationship with the Company or a Subsidiary on such Dates. If a series of Vesting Dates is specified, then the restrictions and conditions in Paragraph 1 shall lapse only with respect to the number of Restricted Stock Units specified as vested on such date.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60" w:type="dxa"/>
            <w:vAlign w:val="bottom"/>
          </w:tcPr>
          <w:p>
            <w:pPr>
              <w:spacing w:after="0"/>
              <w:rPr>
                <w:sz w:val="21"/>
                <w:szCs w:val="21"/>
                <w:color w:val="auto"/>
              </w:rPr>
            </w:pPr>
          </w:p>
        </w:tc>
        <w:tc>
          <w:tcPr>
            <w:tcW w:w="2580" w:type="dxa"/>
            <w:vAlign w:val="bottom"/>
          </w:tcPr>
          <w:p>
            <w:pPr>
              <w:spacing w:after="0"/>
              <w:rPr>
                <w:sz w:val="20"/>
                <w:szCs w:val="20"/>
                <w:color w:val="auto"/>
              </w:rPr>
            </w:pPr>
            <w:r>
              <w:rPr>
                <w:rFonts w:ascii="Arial" w:cs="Arial" w:eastAsia="Arial" w:hAnsi="Arial"/>
                <w:sz w:val="22"/>
                <w:szCs w:val="22"/>
                <w:color w:val="auto"/>
              </w:rPr>
              <w:t>Incremental Number of</w:t>
            </w:r>
          </w:p>
        </w:tc>
        <w:tc>
          <w:tcPr>
            <w:tcW w:w="7100" w:type="dxa"/>
            <w:vAlign w:val="bottom"/>
            <w:gridSpan w:val="3"/>
            <w:vMerge w:val="restart"/>
          </w:tcPr>
          <w:p>
            <w:pPr>
              <w:ind w:left="2900"/>
              <w:spacing w:after="0"/>
              <w:rPr>
                <w:sz w:val="20"/>
                <w:szCs w:val="20"/>
                <w:color w:val="auto"/>
              </w:rPr>
            </w:pPr>
            <w:r>
              <w:rPr>
                <w:rFonts w:ascii="Arial" w:cs="Arial" w:eastAsia="Arial" w:hAnsi="Arial"/>
                <w:sz w:val="22"/>
                <w:szCs w:val="22"/>
                <w:color w:val="auto"/>
              </w:rPr>
              <w:t>Vesting Date</w:t>
            </w: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2580" w:type="dxa"/>
            <w:vAlign w:val="bottom"/>
          </w:tcPr>
          <w:p>
            <w:pPr>
              <w:spacing w:after="0" w:line="224" w:lineRule="exact"/>
              <w:rPr>
                <w:sz w:val="20"/>
                <w:szCs w:val="20"/>
                <w:color w:val="auto"/>
              </w:rPr>
            </w:pPr>
            <w:r>
              <w:rPr>
                <w:rFonts w:ascii="Arial" w:cs="Arial" w:eastAsia="Arial" w:hAnsi="Arial"/>
                <w:sz w:val="22"/>
                <w:szCs w:val="22"/>
                <w:color w:val="auto"/>
                <w:w w:val="87"/>
              </w:rPr>
              <w:t>Restricted Stock Units Vested</w:t>
            </w:r>
          </w:p>
        </w:tc>
        <w:tc>
          <w:tcPr>
            <w:tcW w:w="71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1560" w:type="dxa"/>
            <w:vAlign w:val="bottom"/>
          </w:tcPr>
          <w:p>
            <w:pPr>
              <w:spacing w:after="0"/>
              <w:rPr>
                <w:sz w:val="24"/>
                <w:szCs w:val="24"/>
                <w:color w:val="auto"/>
              </w:rPr>
            </w:pPr>
          </w:p>
        </w:tc>
        <w:tc>
          <w:tcPr>
            <w:tcW w:w="2580" w:type="dxa"/>
            <w:vAlign w:val="bottom"/>
          </w:tcPr>
          <w:p>
            <w:pPr>
              <w:ind w:left="20"/>
              <w:spacing w:after="0"/>
              <w:rPr>
                <w:sz w:val="20"/>
                <w:szCs w:val="20"/>
                <w:color w:val="auto"/>
              </w:rPr>
            </w:pPr>
            <w:r>
              <w:rPr>
                <w:rFonts w:ascii="Arial" w:cs="Arial" w:eastAsia="Arial" w:hAnsi="Arial"/>
                <w:sz w:val="22"/>
                <w:szCs w:val="22"/>
                <w:color w:val="auto"/>
              </w:rPr>
              <w:t>_____________ (___%)</w:t>
            </w:r>
          </w:p>
        </w:tc>
        <w:tc>
          <w:tcPr>
            <w:tcW w:w="7100" w:type="dxa"/>
            <w:vAlign w:val="bottom"/>
            <w:gridSpan w:val="3"/>
          </w:tcPr>
          <w:p>
            <w:pPr>
              <w:ind w:left="2900"/>
              <w:spacing w:after="0"/>
              <w:rPr>
                <w:sz w:val="20"/>
                <w:szCs w:val="20"/>
                <w:color w:val="auto"/>
              </w:rPr>
            </w:pPr>
            <w:r>
              <w:rPr>
                <w:rFonts w:ascii="Arial" w:cs="Arial" w:eastAsia="Arial" w:hAnsi="Arial"/>
                <w:sz w:val="22"/>
                <w:szCs w:val="22"/>
                <w:color w:val="auto"/>
              </w:rPr>
              <w:t>____________</w:t>
            </w:r>
          </w:p>
        </w:tc>
        <w:tc>
          <w:tcPr>
            <w:tcW w:w="0" w:type="dxa"/>
            <w:vAlign w:val="bottom"/>
          </w:tcPr>
          <w:p>
            <w:pPr>
              <w:spacing w:after="0"/>
              <w:rPr>
                <w:sz w:val="1"/>
                <w:szCs w:val="1"/>
                <w:color w:val="auto"/>
              </w:rPr>
            </w:pPr>
          </w:p>
        </w:tc>
      </w:tr>
      <w:tr>
        <w:trPr>
          <w:trHeight w:val="243"/>
        </w:trPr>
        <w:tc>
          <w:tcPr>
            <w:tcW w:w="4140" w:type="dxa"/>
            <w:vAlign w:val="bottom"/>
            <w:gridSpan w:val="2"/>
          </w:tcPr>
          <w:p>
            <w:pPr>
              <w:ind w:left="1580"/>
              <w:spacing w:after="0" w:line="243" w:lineRule="exact"/>
              <w:rPr>
                <w:sz w:val="20"/>
                <w:szCs w:val="20"/>
                <w:color w:val="auto"/>
              </w:rPr>
            </w:pPr>
            <w:r>
              <w:rPr>
                <w:rFonts w:ascii="Arial" w:cs="Arial" w:eastAsia="Arial" w:hAnsi="Arial"/>
                <w:sz w:val="22"/>
                <w:szCs w:val="22"/>
                <w:color w:val="auto"/>
              </w:rPr>
              <w:t>_____________ (___%)</w:t>
            </w:r>
          </w:p>
        </w:tc>
        <w:tc>
          <w:tcPr>
            <w:tcW w:w="7100" w:type="dxa"/>
            <w:vAlign w:val="bottom"/>
            <w:gridSpan w:val="3"/>
          </w:tcPr>
          <w:p>
            <w:pPr>
              <w:ind w:left="2900"/>
              <w:spacing w:after="0" w:line="243" w:lineRule="exact"/>
              <w:rPr>
                <w:sz w:val="20"/>
                <w:szCs w:val="20"/>
                <w:color w:val="auto"/>
              </w:rPr>
            </w:pPr>
            <w:r>
              <w:rPr>
                <w:rFonts w:ascii="Arial" w:cs="Arial" w:eastAsia="Arial" w:hAnsi="Arial"/>
                <w:sz w:val="22"/>
                <w:szCs w:val="22"/>
                <w:color w:val="auto"/>
              </w:rPr>
              <w:t>____________</w:t>
            </w:r>
          </w:p>
        </w:tc>
        <w:tc>
          <w:tcPr>
            <w:tcW w:w="0" w:type="dxa"/>
            <w:vAlign w:val="bottom"/>
          </w:tcPr>
          <w:p>
            <w:pPr>
              <w:spacing w:after="0"/>
              <w:rPr>
                <w:sz w:val="1"/>
                <w:szCs w:val="1"/>
                <w:color w:val="auto"/>
              </w:rPr>
            </w:pPr>
          </w:p>
        </w:tc>
      </w:tr>
      <w:tr>
        <w:trPr>
          <w:trHeight w:val="243"/>
        </w:trPr>
        <w:tc>
          <w:tcPr>
            <w:tcW w:w="4140" w:type="dxa"/>
            <w:vAlign w:val="bottom"/>
            <w:gridSpan w:val="2"/>
          </w:tcPr>
          <w:p>
            <w:pPr>
              <w:ind w:left="1580"/>
              <w:spacing w:after="0" w:line="243" w:lineRule="exact"/>
              <w:rPr>
                <w:sz w:val="20"/>
                <w:szCs w:val="20"/>
                <w:color w:val="auto"/>
              </w:rPr>
            </w:pPr>
            <w:r>
              <w:rPr>
                <w:rFonts w:ascii="Arial" w:cs="Arial" w:eastAsia="Arial" w:hAnsi="Arial"/>
                <w:sz w:val="22"/>
                <w:szCs w:val="22"/>
                <w:color w:val="auto"/>
              </w:rPr>
              <w:t>_____________ (___%)</w:t>
            </w:r>
          </w:p>
        </w:tc>
        <w:tc>
          <w:tcPr>
            <w:tcW w:w="7100" w:type="dxa"/>
            <w:vAlign w:val="bottom"/>
            <w:gridSpan w:val="3"/>
          </w:tcPr>
          <w:p>
            <w:pPr>
              <w:ind w:left="2900"/>
              <w:spacing w:after="0" w:line="243" w:lineRule="exact"/>
              <w:rPr>
                <w:sz w:val="20"/>
                <w:szCs w:val="20"/>
                <w:color w:val="auto"/>
              </w:rPr>
            </w:pPr>
            <w:r>
              <w:rPr>
                <w:rFonts w:ascii="Arial" w:cs="Arial" w:eastAsia="Arial" w:hAnsi="Arial"/>
                <w:sz w:val="22"/>
                <w:szCs w:val="22"/>
                <w:color w:val="auto"/>
              </w:rPr>
              <w:t>____________</w:t>
            </w:r>
          </w:p>
        </w:tc>
        <w:tc>
          <w:tcPr>
            <w:tcW w:w="0" w:type="dxa"/>
            <w:vAlign w:val="bottom"/>
          </w:tcPr>
          <w:p>
            <w:pPr>
              <w:spacing w:after="0"/>
              <w:rPr>
                <w:sz w:val="1"/>
                <w:szCs w:val="1"/>
                <w:color w:val="auto"/>
              </w:rPr>
            </w:pPr>
          </w:p>
        </w:tc>
      </w:tr>
      <w:tr>
        <w:trPr>
          <w:trHeight w:val="274"/>
        </w:trPr>
        <w:tc>
          <w:tcPr>
            <w:tcW w:w="4140" w:type="dxa"/>
            <w:vAlign w:val="bottom"/>
            <w:gridSpan w:val="2"/>
          </w:tcPr>
          <w:p>
            <w:pPr>
              <w:ind w:left="1580"/>
              <w:spacing w:after="0"/>
              <w:rPr>
                <w:sz w:val="20"/>
                <w:szCs w:val="20"/>
                <w:color w:val="auto"/>
              </w:rPr>
            </w:pPr>
            <w:r>
              <w:rPr>
                <w:rFonts w:ascii="Arial" w:cs="Arial" w:eastAsia="Arial" w:hAnsi="Arial"/>
                <w:sz w:val="22"/>
                <w:szCs w:val="22"/>
                <w:color w:val="auto"/>
              </w:rPr>
              <w:t>_____________ (___%)</w:t>
            </w:r>
          </w:p>
        </w:tc>
        <w:tc>
          <w:tcPr>
            <w:tcW w:w="7100" w:type="dxa"/>
            <w:vAlign w:val="bottom"/>
            <w:gridSpan w:val="3"/>
          </w:tcPr>
          <w:p>
            <w:pPr>
              <w:ind w:left="2900"/>
              <w:spacing w:after="0"/>
              <w:rPr>
                <w:sz w:val="20"/>
                <w:szCs w:val="20"/>
                <w:color w:val="auto"/>
              </w:rPr>
            </w:pPr>
            <w:r>
              <w:rPr>
                <w:rFonts w:ascii="Arial" w:cs="Arial" w:eastAsia="Arial" w:hAnsi="Arial"/>
                <w:sz w:val="22"/>
                <w:szCs w:val="22"/>
                <w:color w:val="auto"/>
              </w:rPr>
              <w:t>____________</w:t>
            </w:r>
          </w:p>
        </w:tc>
        <w:tc>
          <w:tcPr>
            <w:tcW w:w="0" w:type="dxa"/>
            <w:vAlign w:val="bottom"/>
          </w:tcPr>
          <w:p>
            <w:pPr>
              <w:spacing w:after="0"/>
              <w:rPr>
                <w:sz w:val="1"/>
                <w:szCs w:val="1"/>
                <w:color w:val="auto"/>
              </w:rPr>
            </w:pPr>
          </w:p>
        </w:tc>
      </w:tr>
      <w:tr>
        <w:trPr>
          <w:trHeight w:val="1009"/>
        </w:trPr>
        <w:tc>
          <w:tcPr>
            <w:tcW w:w="15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7" w:name="page218"/>
    <w:bookmarkEnd w:id="217"/>
    <w:p>
      <w:pPr>
        <w:ind w:left="3"/>
        <w:spacing w:after="0"/>
        <w:rPr>
          <w:sz w:val="20"/>
          <w:szCs w:val="20"/>
          <w:color w:val="auto"/>
        </w:rPr>
      </w:pPr>
      <w:r>
        <w:rPr>
          <w:rFonts w:ascii="Arial" w:cs="Arial" w:eastAsia="Arial" w:hAnsi="Arial"/>
          <w:sz w:val="22"/>
          <w:szCs w:val="22"/>
          <w:color w:val="auto"/>
        </w:rPr>
        <w:t>The Administrator may at any time accelerate the vesting schedule specified in this Paragraph 2.</w:t>
      </w:r>
    </w:p>
    <w:p>
      <w:pPr>
        <w:spacing w:after="0" w:line="206" w:lineRule="exact"/>
        <w:rPr>
          <w:sz w:val="20"/>
          <w:szCs w:val="20"/>
          <w:color w:val="auto"/>
        </w:rPr>
      </w:pPr>
    </w:p>
    <w:p>
      <w:pPr>
        <w:ind w:left="-757" w:right="100" w:firstLine="757"/>
        <w:spacing w:after="0" w:line="249" w:lineRule="auto"/>
        <w:tabs>
          <w:tab w:leader="none" w:pos="741" w:val="left"/>
        </w:tabs>
        <w:numPr>
          <w:ilvl w:val="0"/>
          <w:numId w:val="150"/>
        </w:numPr>
        <w:rPr>
          <w:rFonts w:ascii="Arial" w:cs="Arial" w:eastAsia="Arial" w:hAnsi="Arial"/>
          <w:sz w:val="21"/>
          <w:szCs w:val="21"/>
          <w:color w:val="auto"/>
        </w:rPr>
      </w:pPr>
      <w:r>
        <w:rPr>
          <w:rFonts w:ascii="Arial" w:cs="Arial" w:eastAsia="Arial" w:hAnsi="Arial"/>
          <w:sz w:val="21"/>
          <w:szCs w:val="21"/>
          <w:u w:val="single" w:color="auto"/>
          <w:color w:val="auto"/>
        </w:rPr>
        <w:t>Termination of Service Relationship</w:t>
      </w:r>
      <w:r>
        <w:rPr>
          <w:rFonts w:ascii="Arial" w:cs="Arial" w:eastAsia="Arial" w:hAnsi="Arial"/>
          <w:sz w:val="21"/>
          <w:szCs w:val="21"/>
          <w:color w:val="auto"/>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8" w:lineRule="exact"/>
        <w:rPr>
          <w:rFonts w:ascii="Arial" w:cs="Arial" w:eastAsia="Arial" w:hAnsi="Arial"/>
          <w:sz w:val="21"/>
          <w:szCs w:val="21"/>
          <w:color w:val="auto"/>
        </w:rPr>
      </w:pPr>
    </w:p>
    <w:p>
      <w:pPr>
        <w:ind w:left="-757" w:right="80" w:firstLine="757"/>
        <w:spacing w:after="0" w:line="236" w:lineRule="auto"/>
        <w:tabs>
          <w:tab w:leader="none" w:pos="741"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Issuance of Shares of Stock</w:t>
      </w:r>
      <w:r>
        <w:rPr>
          <w:rFonts w:ascii="Arial" w:cs="Arial" w:eastAsia="Arial" w:hAnsi="Arial"/>
          <w:sz w:val="22"/>
          <w:szCs w:val="22"/>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87" w:lineRule="exact"/>
        <w:rPr>
          <w:rFonts w:ascii="Arial" w:cs="Arial" w:eastAsia="Arial" w:hAnsi="Arial"/>
          <w:sz w:val="22"/>
          <w:szCs w:val="22"/>
          <w:color w:val="auto"/>
        </w:rPr>
      </w:pPr>
    </w:p>
    <w:p>
      <w:pPr>
        <w:ind w:left="-757" w:right="180" w:firstLine="757"/>
        <w:spacing w:after="0" w:line="238" w:lineRule="auto"/>
        <w:tabs>
          <w:tab w:leader="none" w:pos="741"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left="743" w:hanging="743"/>
        <w:spacing w:after="0"/>
        <w:tabs>
          <w:tab w:leader="none" w:pos="743"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757" w:firstLine="1505"/>
        <w:spacing w:after="0" w:line="272" w:lineRule="auto"/>
        <w:tabs>
          <w:tab w:leader="none" w:pos="2238" w:val="left"/>
        </w:tabs>
        <w:numPr>
          <w:ilvl w:val="1"/>
          <w:numId w:val="150"/>
        </w:numPr>
        <w:rPr>
          <w:rFonts w:ascii="Arial" w:cs="Arial" w:eastAsia="Arial" w:hAnsi="Arial"/>
          <w:sz w:val="19"/>
          <w:szCs w:val="19"/>
          <w:color w:val="auto"/>
        </w:rPr>
      </w:pPr>
      <w:r>
        <w:rPr>
          <w:rFonts w:ascii="Arial" w:cs="Arial" w:eastAsia="Arial" w:hAnsi="Arial"/>
          <w:sz w:val="19"/>
          <w:szCs w:val="19"/>
          <w:color w:val="auto"/>
        </w:rPr>
        <w:t>The Grantee acknowledges that, regardless of any action taken by the Company or, if different, the Subsidiary for which the Grantee provides services (the “Service Recipient”), the ultimate liability for all income tax, social insurance, payroll tax, fringe benefits tax, payment on account or other tax-related items related to the Grantee’s participation in the Plan and legally applicable to the Grantee (“Tax-Related Items”) is and remains the Grantee’s responsibility and may exceed the amount, if any, actually withheld by the Company or the Service Recipient. The Grantee further acknowledges that the Company and/or the Service Recipient (i) make no representations or undertakings regarding the treatment of any Tax-Related Items in connection with any aspect of the Restricted Stock Units, the subsequent sale of shares of Stock acquired pursuant to such settlement and the receipt of any dividends; and (ii) do not commit to and are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the Grantee acknowledges that the Company and/or the Service Recipient (or former service recipient, as applicable) may be required to withhold or account for Tax-Related Items in more than one jurisdiction.</w:t>
      </w:r>
    </w:p>
    <w:p>
      <w:pPr>
        <w:spacing w:after="0" w:line="160" w:lineRule="exact"/>
        <w:rPr>
          <w:rFonts w:ascii="Arial" w:cs="Arial" w:eastAsia="Arial" w:hAnsi="Arial"/>
          <w:sz w:val="19"/>
          <w:szCs w:val="19"/>
          <w:color w:val="auto"/>
        </w:rPr>
      </w:pPr>
    </w:p>
    <w:p>
      <w:pPr>
        <w:ind w:left="-757" w:right="120" w:firstLine="1505"/>
        <w:spacing w:after="0" w:line="238" w:lineRule="auto"/>
        <w:tabs>
          <w:tab w:leader="none" w:pos="2238" w:val="left"/>
        </w:tabs>
        <w:numPr>
          <w:ilvl w:val="1"/>
          <w:numId w:val="150"/>
        </w:numPr>
        <w:rPr>
          <w:rFonts w:ascii="Arial" w:cs="Arial" w:eastAsia="Arial" w:hAnsi="Arial"/>
          <w:sz w:val="22"/>
          <w:szCs w:val="22"/>
          <w:color w:val="auto"/>
        </w:rPr>
      </w:pPr>
      <w:r>
        <w:rPr>
          <w:rFonts w:ascii="Arial" w:cs="Arial" w:eastAsia="Arial" w:hAnsi="Arial"/>
          <w:sz w:val="22"/>
          <w:szCs w:val="22"/>
          <w:color w:val="auto"/>
        </w:rPr>
        <w:t>Prior to any relevant taxable or tax withholding event, as applicable, the Grantee agrees to make adequate arrangements satisfactory to the Company and/or the Service Recipient to satisfy all Tax-Related Items. In this regard, the Grantee authorizes the Company and/or the Service Recipient, or their respective agents, at their discretion, to satisfy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495300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61" w:right="339" w:bottom="1440" w:gutter="0" w:footer="0" w:header="0"/>
        </w:sectPr>
      </w:pPr>
    </w:p>
    <w:bookmarkStart w:id="218" w:name="page219"/>
    <w:bookmarkEnd w:id="218"/>
    <w:p>
      <w:pPr>
        <w:spacing w:after="0" w:line="274" w:lineRule="auto"/>
        <w:rPr>
          <w:sz w:val="20"/>
          <w:szCs w:val="20"/>
          <w:color w:val="auto"/>
        </w:rPr>
      </w:pPr>
      <w:r>
        <w:rPr>
          <w:rFonts w:ascii="Arial" w:cs="Arial" w:eastAsia="Arial" w:hAnsi="Arial"/>
          <w:sz w:val="19"/>
          <w:szCs w:val="19"/>
          <w:color w:val="auto"/>
        </w:rPr>
        <w:t>applicable withholding obligations with regard to all Tax-Related Items by one or a combination of the following: (i) withholding from the Grantee’s wages or other cash compensation paid to the Grantee by the Company and/or the Service Recipient; (ii) withholding from proceeds of the sale of shares of Stock upon settlement of the Restricted Stock Units either through a voluntary sale or through a mandatory sale arranged by the Company (on the Grantee’s behalf pursuant to this authorization without further consent); (iii) withholding from shares of Stock to be issued to the Grantee upon settlement of the Restricted Stock Units; or (iv) any other method of withholding determined by the Company and permitted by applicable law; provided, however, that if the Grantee is a Section 16 officer of the Company under the Exchange Act, then the Administrator shall establish the method of withholding from alternatives (i)-(iv) herein and, if the Administrator does not exercise its discretion prior to the applicable withholding event, then the Grantee shall be entitled to elect the method of withholding from the alternatives above.</w:t>
      </w:r>
    </w:p>
    <w:p>
      <w:pPr>
        <w:spacing w:after="0" w:line="158" w:lineRule="exact"/>
        <w:rPr>
          <w:sz w:val="20"/>
          <w:szCs w:val="20"/>
          <w:color w:val="auto"/>
        </w:rPr>
      </w:pPr>
    </w:p>
    <w:p>
      <w:pPr>
        <w:ind w:right="40" w:firstLine="1505"/>
        <w:spacing w:after="0" w:line="279" w:lineRule="auto"/>
        <w:tabs>
          <w:tab w:leader="none" w:pos="2995" w:val="left"/>
        </w:tabs>
        <w:numPr>
          <w:ilvl w:val="1"/>
          <w:numId w:val="151"/>
        </w:numPr>
        <w:rPr>
          <w:rFonts w:ascii="Arial" w:cs="Arial" w:eastAsia="Arial" w:hAnsi="Arial"/>
          <w:sz w:val="19"/>
          <w:szCs w:val="19"/>
          <w:color w:val="auto"/>
        </w:rPr>
      </w:pPr>
      <w:r>
        <w:rPr>
          <w:rFonts w:ascii="Arial" w:cs="Arial" w:eastAsia="Arial" w:hAnsi="Arial"/>
          <w:sz w:val="19"/>
          <w:szCs w:val="19"/>
          <w:color w:val="auto"/>
        </w:rPr>
        <w:t>The Company and/or the Service Recipient may withhold or account for Tax-Related Items by considering applicable statutory withholding amounts or other applicable withholding rates, including maximum rates applicable in the Grantee’s jurisdiction, in which case the Grantee may receive a refund of any over-withheld amount in cash and will have no entitlement to the equivalent amount in shares of Stock, for tax purposes, the Grantee is deemed to have been issued the full number of shares of Stock subject to the vested Restricted Stock Units, notwithstanding that a number of the shares of Stock is held back solely for the purpose of paying the Tax-Related Items.</w:t>
      </w:r>
    </w:p>
    <w:p>
      <w:pPr>
        <w:spacing w:after="0" w:line="150" w:lineRule="exact"/>
        <w:rPr>
          <w:rFonts w:ascii="Arial" w:cs="Arial" w:eastAsia="Arial" w:hAnsi="Arial"/>
          <w:sz w:val="19"/>
          <w:szCs w:val="19"/>
          <w:color w:val="auto"/>
        </w:rPr>
      </w:pPr>
    </w:p>
    <w:p>
      <w:pPr>
        <w:ind w:right="40" w:firstLine="1505"/>
        <w:spacing w:after="0" w:line="236" w:lineRule="auto"/>
        <w:tabs>
          <w:tab w:leader="none" w:pos="2995" w:val="left"/>
        </w:tabs>
        <w:numPr>
          <w:ilvl w:val="1"/>
          <w:numId w:val="151"/>
        </w:numPr>
        <w:rPr>
          <w:rFonts w:ascii="Arial" w:cs="Arial" w:eastAsia="Arial" w:hAnsi="Arial"/>
          <w:sz w:val="22"/>
          <w:szCs w:val="22"/>
          <w:color w:val="auto"/>
        </w:rPr>
      </w:pPr>
      <w:r>
        <w:rPr>
          <w:rFonts w:ascii="Arial" w:cs="Arial" w:eastAsia="Arial" w:hAnsi="Arial"/>
          <w:sz w:val="22"/>
          <w:szCs w:val="22"/>
          <w:color w:val="auto"/>
        </w:rPr>
        <w:t>The Grantee agrees to pay to the Company or the Service Recipient any amount of Tax-Related Items that the Company or the Service Recipient may be required to withhold or account for as a result of the Grantee’s participation in the Plan that cannot be satisfied by the means previously described. The Company may refuse to issue or deliver the shares of Stock, or the proceeds of the sale of shares of Stock, if the Grantee fails to comply with his or her obligations in connection with the Tax-Related Items.</w:t>
      </w:r>
    </w:p>
    <w:p>
      <w:pPr>
        <w:spacing w:after="0" w:line="187" w:lineRule="exact"/>
        <w:rPr>
          <w:rFonts w:ascii="Arial" w:cs="Arial" w:eastAsia="Arial" w:hAnsi="Arial"/>
          <w:sz w:val="22"/>
          <w:szCs w:val="22"/>
          <w:color w:val="auto"/>
        </w:rPr>
      </w:pPr>
    </w:p>
    <w:p>
      <w:pPr>
        <w:ind w:firstLine="757"/>
        <w:spacing w:after="0"/>
        <w:tabs>
          <w:tab w:leader="none" w:pos="1498"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86" w:lineRule="exact"/>
        <w:rPr>
          <w:rFonts w:ascii="Arial" w:cs="Arial" w:eastAsia="Arial" w:hAnsi="Arial"/>
          <w:sz w:val="22"/>
          <w:szCs w:val="22"/>
          <w:color w:val="auto"/>
        </w:rPr>
      </w:pPr>
    </w:p>
    <w:p>
      <w:pPr>
        <w:ind w:right="40" w:firstLine="757"/>
        <w:spacing w:after="0" w:line="238" w:lineRule="auto"/>
        <w:tabs>
          <w:tab w:leader="none" w:pos="1498"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Service Relationship</w:t>
      </w:r>
      <w:r>
        <w:rPr>
          <w:rFonts w:ascii="Arial" w:cs="Arial" w:eastAsia="Arial" w:hAnsi="Arial"/>
          <w:sz w:val="22"/>
          <w:szCs w:val="22"/>
          <w:color w:val="auto"/>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Service Relationship of the Grantee at any time.</w:t>
      </w:r>
    </w:p>
    <w:p>
      <w:pPr>
        <w:spacing w:after="0" w:line="184" w:lineRule="exact"/>
        <w:rPr>
          <w:rFonts w:ascii="Arial" w:cs="Arial" w:eastAsia="Arial" w:hAnsi="Arial"/>
          <w:sz w:val="22"/>
          <w:szCs w:val="22"/>
          <w:color w:val="auto"/>
        </w:rPr>
      </w:pPr>
    </w:p>
    <w:p>
      <w:pPr>
        <w:ind w:firstLine="757"/>
        <w:spacing w:after="0" w:line="274" w:lineRule="auto"/>
        <w:tabs>
          <w:tab w:leader="none" w:pos="1498"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150" w:lineRule="exact"/>
        <w:rPr>
          <w:rFonts w:ascii="Arial" w:cs="Arial" w:eastAsia="Arial" w:hAnsi="Arial"/>
          <w:sz w:val="21"/>
          <w:szCs w:val="21"/>
          <w:color w:val="auto"/>
        </w:rPr>
      </w:pPr>
    </w:p>
    <w:p>
      <w:pPr>
        <w:ind w:right="80" w:firstLine="757"/>
        <w:spacing w:after="0" w:line="297" w:lineRule="auto"/>
        <w:tabs>
          <w:tab w:leader="none" w:pos="1498"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19" w:name="page220"/>
    <w:bookmarkEnd w:id="219"/>
    <w:p>
      <w:pPr>
        <w:ind w:right="240"/>
        <w:spacing w:after="0" w:line="277" w:lineRule="auto"/>
        <w:rPr>
          <w:sz w:val="20"/>
          <w:szCs w:val="20"/>
          <w:color w:val="auto"/>
        </w:rPr>
      </w:pPr>
      <w:r>
        <w:rPr>
          <w:rFonts w:ascii="Arial" w:cs="Arial" w:eastAsia="Arial" w:hAnsi="Arial"/>
          <w:sz w:val="19"/>
          <w:szCs w:val="19"/>
          <w:color w:val="auto"/>
        </w:rPr>
        <w:t>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52" w:lineRule="exact"/>
        <w:rPr>
          <w:sz w:val="20"/>
          <w:szCs w:val="20"/>
          <w:color w:val="auto"/>
        </w:rPr>
      </w:pPr>
    </w:p>
    <w:p>
      <w:pPr>
        <w:ind w:right="40" w:firstLine="757"/>
        <w:spacing w:after="0"/>
        <w:tabs>
          <w:tab w:leader="none" w:pos="1498"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6" w:lineRule="exact"/>
        <w:rPr>
          <w:rFonts w:ascii="Arial" w:cs="Arial" w:eastAsia="Arial" w:hAnsi="Arial"/>
          <w:sz w:val="22"/>
          <w:szCs w:val="22"/>
          <w:color w:val="auto"/>
        </w:rPr>
      </w:pPr>
    </w:p>
    <w:p>
      <w:pPr>
        <w:ind w:right="220" w:firstLine="757"/>
        <w:spacing w:after="0"/>
        <w:tabs>
          <w:tab w:leader="none" w:pos="1498"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The Grantee acknowledges that a waiver by the Company of breach of any provision of this Agreement shall not operate or be construed as a waiver of any other provision of this Agreement, or of any subsequent breach by the Grantee or any other Grantee.</w:t>
      </w:r>
    </w:p>
    <w:p>
      <w:pPr>
        <w:spacing w:after="0" w:line="186" w:lineRule="exact"/>
        <w:rPr>
          <w:rFonts w:ascii="Arial" w:cs="Arial" w:eastAsia="Arial" w:hAnsi="Arial"/>
          <w:sz w:val="22"/>
          <w:szCs w:val="22"/>
          <w:color w:val="auto"/>
        </w:rPr>
      </w:pPr>
    </w:p>
    <w:p>
      <w:pPr>
        <w:ind w:right="340" w:firstLine="757"/>
        <w:spacing w:after="0" w:line="287" w:lineRule="auto"/>
        <w:tabs>
          <w:tab w:leader="none" w:pos="1498"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42" w:lineRule="exact"/>
        <w:rPr>
          <w:rFonts w:ascii="Arial" w:cs="Arial" w:eastAsia="Arial" w:hAnsi="Arial"/>
          <w:sz w:val="19"/>
          <w:szCs w:val="19"/>
          <w:color w:val="auto"/>
        </w:rPr>
      </w:pPr>
    </w:p>
    <w:p>
      <w:pPr>
        <w:ind w:right="80" w:firstLine="757"/>
        <w:spacing w:after="0"/>
        <w:tabs>
          <w:tab w:leader="none" w:pos="1498"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86" w:lineRule="exact"/>
        <w:rPr>
          <w:rFonts w:ascii="Arial" w:cs="Arial" w:eastAsia="Arial" w:hAnsi="Arial"/>
          <w:sz w:val="22"/>
          <w:szCs w:val="22"/>
          <w:color w:val="auto"/>
        </w:rPr>
      </w:pPr>
    </w:p>
    <w:p>
      <w:pPr>
        <w:jc w:val="both"/>
        <w:ind w:firstLine="757"/>
        <w:spacing w:after="0" w:line="252" w:lineRule="auto"/>
        <w:tabs>
          <w:tab w:leader="none" w:pos="1498"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 of Documents</w:t>
      </w:r>
      <w:r>
        <w:rPr>
          <w:rFonts w:ascii="Arial" w:cs="Arial" w:eastAsia="Arial" w:hAnsi="Arial"/>
          <w:sz w:val="21"/>
          <w:szCs w:val="21"/>
          <w:color w:val="auto"/>
        </w:rPr>
        <w:t>. The Company may, in its sole discretion, decide to deliver any documents related to current or future participation in the Plan by electronic means. The Grantee hereby consents to receive such documents by electronic delivery and agree to participate in the Plan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20" w:name="page221"/>
    <w:bookmarkEnd w:id="220"/>
    <w:p>
      <w:pPr>
        <w:ind w:left="20"/>
        <w:spacing w:after="0"/>
        <w:rPr>
          <w:sz w:val="20"/>
          <w:szCs w:val="20"/>
          <w:color w:val="auto"/>
        </w:rPr>
      </w:pPr>
      <w:r>
        <w:rPr>
          <w:rFonts w:ascii="Arial" w:cs="Arial" w:eastAsia="Arial" w:hAnsi="Arial"/>
          <w:sz w:val="22"/>
          <w:szCs w:val="22"/>
          <w:b w:val="1"/>
          <w:bCs w:val="1"/>
          <w:color w:val="auto"/>
        </w:rPr>
        <w:t>Relay Therapeutics, Inc.</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-151765</wp:posOffset>
            </wp:positionV>
            <wp:extent cx="354901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6985</wp:posOffset>
            </wp:positionV>
            <wp:extent cx="639508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0">
                      <a:extLst>
                        <a:ext uri="{28A0092B-C50C-407E-A947-70E740481C1C}"/>
                      </a:extLst>
                    </a:blip>
                    <a:srcRect/>
                    <a:stretch>
                      <a:fillRect/>
                    </a:stretch>
                  </pic:blipFill>
                  <pic:spPr bwMode="auto">
                    <a:xfrm>
                      <a:off x="0" y="0"/>
                      <a:ext cx="6395085" cy="8890"/>
                    </a:xfrm>
                    <a:prstGeom prst="rect">
                      <a:avLst/>
                    </a:prstGeom>
                    <a:noFill/>
                  </pic:spPr>
                </pic:pic>
              </a:graphicData>
            </a:graphic>
          </wp:anchor>
        </w:drawing>
      </w:r>
    </w:p>
    <w:p>
      <w:pPr>
        <w:spacing w:after="0" w:line="1"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04"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290195</wp:posOffset>
            </wp:positionV>
            <wp:extent cx="373761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1">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589915</wp:posOffset>
            </wp:positionV>
            <wp:extent cx="373761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2">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890270</wp:posOffset>
            </wp:positionV>
            <wp:extent cx="373761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3">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1400175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585" w:right="839" w:bottom="1440" w:gutter="0" w:footer="0" w:header="0"/>
        </w:sectPr>
      </w:pPr>
    </w:p>
    <w:bookmarkStart w:id="221" w:name="page222"/>
    <w:bookmarkEnd w:id="221"/>
    <w:p>
      <w:pPr>
        <w:jc w:val="center"/>
        <w:ind w:right="-19"/>
        <w:spacing w:after="0"/>
        <w:rPr>
          <w:sz w:val="20"/>
          <w:szCs w:val="20"/>
          <w:color w:val="auto"/>
        </w:rPr>
      </w:pPr>
      <w:r>
        <w:rPr>
          <w:rFonts w:ascii="Arial" w:cs="Arial" w:eastAsia="Arial" w:hAnsi="Arial"/>
          <w:sz w:val="25"/>
          <w:szCs w:val="25"/>
          <w:b w:val="1"/>
          <w:bCs w:val="1"/>
          <w:color w:val="auto"/>
        </w:rPr>
        <w:t>RESTRICTED STOCK UNIT AWARD AGREEMENT</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FOR NON-EMPLOYEE DIRECTORS</w:t>
      </w:r>
    </w:p>
    <w:p>
      <w:pPr>
        <w:jc w:val="center"/>
        <w:ind w:right="-19"/>
        <w:spacing w:after="0" w:line="236" w:lineRule="auto"/>
        <w:rPr>
          <w:sz w:val="20"/>
          <w:szCs w:val="20"/>
          <w:color w:val="auto"/>
        </w:rPr>
      </w:pPr>
      <w:r>
        <w:rPr>
          <w:rFonts w:ascii="Arial" w:cs="Arial" w:eastAsia="Arial" w:hAnsi="Arial"/>
          <w:sz w:val="25"/>
          <w:szCs w:val="25"/>
          <w:b w:val="1"/>
          <w:bCs w:val="1"/>
          <w:color w:val="auto"/>
        </w:rPr>
        <w:t>UNDER THE RELAY THERAPEUTICS,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2020 STOCK OPTION AND INCENTIVE PLAN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-17780</wp:posOffset>
            </wp:positionV>
            <wp:extent cx="354901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-17780</wp:posOffset>
            </wp:positionV>
            <wp:extent cx="354901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-17780</wp:posOffset>
            </wp:positionV>
            <wp:extent cx="354901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7">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right="140" w:firstLine="360"/>
        <w:spacing w:after="0" w:line="238" w:lineRule="auto"/>
        <w:rPr>
          <w:sz w:val="20"/>
          <w:szCs w:val="20"/>
          <w:color w:val="auto"/>
        </w:rPr>
      </w:pPr>
      <w:r>
        <w:rPr>
          <w:rFonts w:ascii="Arial" w:cs="Arial" w:eastAsia="Arial" w:hAnsi="Arial"/>
          <w:sz w:val="22"/>
          <w:szCs w:val="22"/>
          <w:color w:val="auto"/>
        </w:rPr>
        <w:t>Pursuant to the Relay Therapeutics, Inc. 2020 Stock Option and Incentive Plan as amended through the date hereof (the “Plan”), Relay Therapeutics,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85" w:lineRule="exact"/>
        <w:rPr>
          <w:sz w:val="20"/>
          <w:szCs w:val="20"/>
          <w:color w:val="auto"/>
        </w:rPr>
      </w:pPr>
    </w:p>
    <w:p>
      <w:pPr>
        <w:ind w:right="120" w:firstLine="757"/>
        <w:spacing w:after="0" w:line="236" w:lineRule="auto"/>
        <w:tabs>
          <w:tab w:leader="none" w:pos="1498"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7" w:lineRule="exact"/>
        <w:rPr>
          <w:rFonts w:ascii="Arial" w:cs="Arial" w:eastAsia="Arial" w:hAnsi="Arial"/>
          <w:sz w:val="22"/>
          <w:szCs w:val="22"/>
          <w:color w:val="auto"/>
        </w:rPr>
      </w:pPr>
    </w:p>
    <w:p>
      <w:pPr>
        <w:ind w:right="60" w:firstLine="757"/>
        <w:spacing w:after="0" w:line="252" w:lineRule="auto"/>
        <w:tabs>
          <w:tab w:leader="none" w:pos="1498" w:val="left"/>
        </w:tabs>
        <w:numPr>
          <w:ilvl w:val="0"/>
          <w:numId w:val="154"/>
        </w:numPr>
        <w:rPr>
          <w:rFonts w:ascii="Arial" w:cs="Arial" w:eastAsia="Arial" w:hAnsi="Arial"/>
          <w:sz w:val="21"/>
          <w:szCs w:val="21"/>
          <w:color w:val="auto"/>
        </w:rPr>
      </w:pPr>
      <w:r>
        <w:rPr>
          <w:rFonts w:ascii="Arial" w:cs="Arial" w:eastAsia="Arial" w:hAnsi="Arial"/>
          <w:sz w:val="21"/>
          <w:szCs w:val="21"/>
          <w:u w:val="single" w:color="auto"/>
          <w:color w:val="auto"/>
        </w:rPr>
        <w:t>Vesting of Restricted Stock Units</w:t>
      </w:r>
      <w:r>
        <w:rPr>
          <w:rFonts w:ascii="Arial" w:cs="Arial" w:eastAsia="Arial" w:hAnsi="Arial"/>
          <w:sz w:val="21"/>
          <w:szCs w:val="21"/>
          <w:color w:val="auto"/>
        </w:rPr>
        <w:t>. The restrictions and conditions of Paragraph 1 of this Agreement shall lapse on the Vesting Date or Dates specified in the following schedule so long as the Grantee remains in service as a member of the Board on such Dates. If a series of Vesting Dates is specified, then the restrictions and conditions in Paragraph 1 shall lapse only with respect to the number of Restricted Stock Units specified as vested on such date.</w:t>
      </w:r>
    </w:p>
    <w:p>
      <w:pPr>
        <w:spacing w:after="0" w:line="137" w:lineRule="exact"/>
        <w:rPr>
          <w:sz w:val="20"/>
          <w:szCs w:val="20"/>
          <w:color w:val="auto"/>
        </w:rPr>
      </w:pPr>
    </w:p>
    <w:tbl>
      <w:tblPr>
        <w:tblLayout w:type="fixed"/>
        <w:tblInd w:w="1560" w:type="dxa"/>
        <w:tblCellMar>
          <w:top w:w="0" w:type="dxa"/>
          <w:left w:w="0" w:type="dxa"/>
          <w:bottom w:w="0" w:type="dxa"/>
          <w:right w:w="0" w:type="dxa"/>
        </w:tblCellMar>
      </w:tblPr>
      <w:tr>
        <w:trPr>
          <w:trHeight w:val="253"/>
        </w:trPr>
        <w:tc>
          <w:tcPr>
            <w:tcW w:w="2580" w:type="dxa"/>
            <w:vAlign w:val="bottom"/>
          </w:tcPr>
          <w:p>
            <w:pPr>
              <w:spacing w:after="0"/>
              <w:rPr>
                <w:sz w:val="20"/>
                <w:szCs w:val="20"/>
                <w:color w:val="auto"/>
              </w:rPr>
            </w:pPr>
            <w:r>
              <w:rPr>
                <w:rFonts w:ascii="Arial" w:cs="Arial" w:eastAsia="Arial" w:hAnsi="Arial"/>
                <w:sz w:val="22"/>
                <w:szCs w:val="22"/>
                <w:color w:val="auto"/>
              </w:rPr>
              <w:t>Incremental Number of</w:t>
            </w:r>
          </w:p>
        </w:tc>
        <w:tc>
          <w:tcPr>
            <w:tcW w:w="4200" w:type="dxa"/>
            <w:vAlign w:val="bottom"/>
            <w:gridSpan w:val="3"/>
            <w:vMerge w:val="restart"/>
          </w:tcPr>
          <w:p>
            <w:pPr>
              <w:ind w:left="2900"/>
              <w:spacing w:after="0"/>
              <w:rPr>
                <w:sz w:val="20"/>
                <w:szCs w:val="20"/>
                <w:color w:val="auto"/>
              </w:rPr>
            </w:pPr>
            <w:r>
              <w:rPr>
                <w:rFonts w:ascii="Arial" w:cs="Arial" w:eastAsia="Arial" w:hAnsi="Arial"/>
                <w:sz w:val="22"/>
                <w:szCs w:val="22"/>
                <w:color w:val="auto"/>
              </w:rPr>
              <w:t>Vesting Date</w:t>
            </w:r>
          </w:p>
        </w:tc>
        <w:tc>
          <w:tcPr>
            <w:tcW w:w="0" w:type="dxa"/>
            <w:vAlign w:val="bottom"/>
          </w:tcPr>
          <w:p>
            <w:pPr>
              <w:spacing w:after="0"/>
              <w:rPr>
                <w:sz w:val="1"/>
                <w:szCs w:val="1"/>
                <w:color w:val="auto"/>
              </w:rPr>
            </w:pPr>
          </w:p>
        </w:tc>
      </w:tr>
      <w:tr>
        <w:trPr>
          <w:trHeight w:val="224"/>
        </w:trPr>
        <w:tc>
          <w:tcPr>
            <w:tcW w:w="2580" w:type="dxa"/>
            <w:vAlign w:val="bottom"/>
          </w:tcPr>
          <w:p>
            <w:pPr>
              <w:spacing w:after="0" w:line="224" w:lineRule="exact"/>
              <w:rPr>
                <w:sz w:val="20"/>
                <w:szCs w:val="20"/>
                <w:color w:val="auto"/>
              </w:rPr>
            </w:pPr>
            <w:r>
              <w:rPr>
                <w:rFonts w:ascii="Arial" w:cs="Arial" w:eastAsia="Arial" w:hAnsi="Arial"/>
                <w:sz w:val="22"/>
                <w:szCs w:val="22"/>
                <w:color w:val="auto"/>
                <w:w w:val="87"/>
              </w:rPr>
              <w:t>Restricted Stock Units Vested</w:t>
            </w:r>
          </w:p>
        </w:tc>
        <w:tc>
          <w:tcPr>
            <w:tcW w:w="42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2580" w:type="dxa"/>
            <w:vAlign w:val="bottom"/>
          </w:tcPr>
          <w:p>
            <w:pPr>
              <w:ind w:left="20"/>
              <w:spacing w:after="0"/>
              <w:rPr>
                <w:sz w:val="20"/>
                <w:szCs w:val="20"/>
                <w:color w:val="auto"/>
              </w:rPr>
            </w:pPr>
            <w:r>
              <w:rPr>
                <w:rFonts w:ascii="Arial" w:cs="Arial" w:eastAsia="Arial" w:hAnsi="Arial"/>
                <w:sz w:val="22"/>
                <w:szCs w:val="22"/>
                <w:color w:val="auto"/>
              </w:rPr>
              <w:t>_____________ (___%)</w:t>
            </w:r>
          </w:p>
        </w:tc>
        <w:tc>
          <w:tcPr>
            <w:tcW w:w="4200" w:type="dxa"/>
            <w:vAlign w:val="bottom"/>
            <w:gridSpan w:val="3"/>
          </w:tcPr>
          <w:p>
            <w:pPr>
              <w:ind w:left="2900"/>
              <w:spacing w:after="0"/>
              <w:rPr>
                <w:sz w:val="20"/>
                <w:szCs w:val="20"/>
                <w:color w:val="auto"/>
              </w:rPr>
            </w:pPr>
            <w:r>
              <w:rPr>
                <w:rFonts w:ascii="Arial" w:cs="Arial" w:eastAsia="Arial" w:hAnsi="Arial"/>
                <w:sz w:val="22"/>
                <w:szCs w:val="22"/>
                <w:color w:val="auto"/>
                <w:w w:val="87"/>
              </w:rPr>
              <w:t>____________</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line="243" w:lineRule="exact"/>
              <w:rPr>
                <w:sz w:val="20"/>
                <w:szCs w:val="20"/>
                <w:color w:val="auto"/>
              </w:rPr>
            </w:pPr>
            <w:r>
              <w:rPr>
                <w:rFonts w:ascii="Arial" w:cs="Arial" w:eastAsia="Arial" w:hAnsi="Arial"/>
                <w:sz w:val="22"/>
                <w:szCs w:val="22"/>
                <w:color w:val="auto"/>
              </w:rPr>
              <w:t>_____________ (___%)</w:t>
            </w:r>
          </w:p>
        </w:tc>
        <w:tc>
          <w:tcPr>
            <w:tcW w:w="4200" w:type="dxa"/>
            <w:vAlign w:val="bottom"/>
            <w:gridSpan w:val="3"/>
          </w:tcPr>
          <w:p>
            <w:pPr>
              <w:ind w:left="2900"/>
              <w:spacing w:after="0" w:line="243" w:lineRule="exact"/>
              <w:rPr>
                <w:sz w:val="20"/>
                <w:szCs w:val="20"/>
                <w:color w:val="auto"/>
              </w:rPr>
            </w:pPr>
            <w:r>
              <w:rPr>
                <w:rFonts w:ascii="Arial" w:cs="Arial" w:eastAsia="Arial" w:hAnsi="Arial"/>
                <w:sz w:val="22"/>
                <w:szCs w:val="22"/>
                <w:color w:val="auto"/>
                <w:w w:val="87"/>
              </w:rPr>
              <w:t>____________</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line="243" w:lineRule="exact"/>
              <w:rPr>
                <w:sz w:val="20"/>
                <w:szCs w:val="20"/>
                <w:color w:val="auto"/>
              </w:rPr>
            </w:pPr>
            <w:r>
              <w:rPr>
                <w:rFonts w:ascii="Arial" w:cs="Arial" w:eastAsia="Arial" w:hAnsi="Arial"/>
                <w:sz w:val="22"/>
                <w:szCs w:val="22"/>
                <w:color w:val="auto"/>
              </w:rPr>
              <w:t>_____________ (___%)</w:t>
            </w:r>
          </w:p>
        </w:tc>
        <w:tc>
          <w:tcPr>
            <w:tcW w:w="4200" w:type="dxa"/>
            <w:vAlign w:val="bottom"/>
            <w:gridSpan w:val="3"/>
          </w:tcPr>
          <w:p>
            <w:pPr>
              <w:ind w:left="2900"/>
              <w:spacing w:after="0" w:line="243" w:lineRule="exact"/>
              <w:rPr>
                <w:sz w:val="20"/>
                <w:szCs w:val="20"/>
                <w:color w:val="auto"/>
              </w:rPr>
            </w:pPr>
            <w:r>
              <w:rPr>
                <w:rFonts w:ascii="Arial" w:cs="Arial" w:eastAsia="Arial" w:hAnsi="Arial"/>
                <w:sz w:val="22"/>
                <w:szCs w:val="22"/>
                <w:color w:val="auto"/>
                <w:w w:val="87"/>
              </w:rPr>
              <w:t>____________</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line="243" w:lineRule="exact"/>
              <w:rPr>
                <w:sz w:val="20"/>
                <w:szCs w:val="20"/>
                <w:color w:val="auto"/>
              </w:rPr>
            </w:pPr>
            <w:r>
              <w:rPr>
                <w:rFonts w:ascii="Arial" w:cs="Arial" w:eastAsia="Arial" w:hAnsi="Arial"/>
                <w:sz w:val="22"/>
                <w:szCs w:val="22"/>
                <w:color w:val="auto"/>
              </w:rPr>
              <w:t>_____________ (___%)</w:t>
            </w:r>
          </w:p>
        </w:tc>
        <w:tc>
          <w:tcPr>
            <w:tcW w:w="4200" w:type="dxa"/>
            <w:vAlign w:val="bottom"/>
            <w:gridSpan w:val="3"/>
          </w:tcPr>
          <w:p>
            <w:pPr>
              <w:ind w:left="2900"/>
              <w:spacing w:after="0" w:line="243" w:lineRule="exact"/>
              <w:rPr>
                <w:sz w:val="20"/>
                <w:szCs w:val="20"/>
                <w:color w:val="auto"/>
              </w:rPr>
            </w:pPr>
            <w:r>
              <w:rPr>
                <w:rFonts w:ascii="Arial" w:cs="Arial" w:eastAsia="Arial" w:hAnsi="Arial"/>
                <w:sz w:val="22"/>
                <w:szCs w:val="22"/>
                <w:color w:val="auto"/>
                <w:w w:val="87"/>
              </w:rPr>
              <w:t>____________</w:t>
            </w:r>
          </w:p>
        </w:tc>
        <w:tc>
          <w:tcPr>
            <w:tcW w:w="0" w:type="dxa"/>
            <w:vAlign w:val="bottom"/>
          </w:tcPr>
          <w:p>
            <w:pPr>
              <w:spacing w:after="0"/>
              <w:rPr>
                <w:sz w:val="1"/>
                <w:szCs w:val="1"/>
                <w:color w:val="auto"/>
              </w:rPr>
            </w:pPr>
          </w:p>
        </w:tc>
      </w:tr>
      <w:tr>
        <w:trPr>
          <w:trHeight w:val="274"/>
        </w:trPr>
        <w:tc>
          <w:tcPr>
            <w:tcW w:w="2580" w:type="dxa"/>
            <w:vAlign w:val="bottom"/>
          </w:tcPr>
          <w:p>
            <w:pPr>
              <w:ind w:left="20"/>
              <w:spacing w:after="0"/>
              <w:rPr>
                <w:sz w:val="20"/>
                <w:szCs w:val="20"/>
                <w:color w:val="auto"/>
              </w:rPr>
            </w:pPr>
            <w:r>
              <w:rPr>
                <w:rFonts w:ascii="Arial" w:cs="Arial" w:eastAsia="Arial" w:hAnsi="Arial"/>
                <w:sz w:val="22"/>
                <w:szCs w:val="22"/>
                <w:color w:val="auto"/>
              </w:rPr>
              <w:t>_____________</w:t>
            </w:r>
          </w:p>
        </w:tc>
        <w:tc>
          <w:tcPr>
            <w:tcW w:w="4200" w:type="dxa"/>
            <w:vAlign w:val="bottom"/>
            <w:gridSpan w:val="3"/>
          </w:tcPr>
          <w:p>
            <w:pPr>
              <w:ind w:left="2900"/>
              <w:spacing w:after="0"/>
              <w:rPr>
                <w:sz w:val="20"/>
                <w:szCs w:val="20"/>
                <w:color w:val="auto"/>
              </w:rPr>
            </w:pPr>
            <w:r>
              <w:rPr>
                <w:rFonts w:ascii="Arial" w:cs="Arial" w:eastAsia="Arial" w:hAnsi="Arial"/>
                <w:sz w:val="22"/>
                <w:szCs w:val="22"/>
                <w:color w:val="auto"/>
                <w:w w:val="87"/>
              </w:rPr>
              <w:t>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firstLine="749"/>
        <w:spacing w:after="0"/>
        <w:rPr>
          <w:sz w:val="20"/>
          <w:szCs w:val="20"/>
          <w:color w:val="auto"/>
        </w:rPr>
      </w:pPr>
      <w:r>
        <w:rPr>
          <w:rFonts w:ascii="Arial" w:cs="Arial" w:eastAsia="Arial" w:hAnsi="Arial"/>
          <w:sz w:val="22"/>
          <w:szCs w:val="22"/>
          <w:color w:val="auto"/>
        </w:rPr>
        <w:t>Notwithstanding the foregoing, in the event of a Sale Event, 100% of the then-outstanding and unvested Restricted Stock Units shall immediately be deemed vested on the date of such Sale Event; provided, that the Grantee remains in service as a member of the Board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22" w:name="page223"/>
    <w:bookmarkEnd w:id="222"/>
    <w:p>
      <w:pPr>
        <w:spacing w:after="0"/>
        <w:rPr>
          <w:sz w:val="20"/>
          <w:szCs w:val="20"/>
          <w:color w:val="auto"/>
        </w:rPr>
      </w:pPr>
      <w:r>
        <w:rPr>
          <w:rFonts w:ascii="Arial" w:cs="Arial" w:eastAsia="Arial" w:hAnsi="Arial"/>
          <w:sz w:val="19"/>
          <w:szCs w:val="19"/>
          <w:color w:val="auto"/>
        </w:rPr>
        <w:t>the date of such Sale Event. The Administrator may at any time accelerate the vesting schedule specified in this Paragraph 2.</w:t>
      </w:r>
    </w:p>
    <w:p>
      <w:pPr>
        <w:spacing w:after="0" w:line="241" w:lineRule="exact"/>
        <w:rPr>
          <w:sz w:val="20"/>
          <w:szCs w:val="20"/>
          <w:color w:val="auto"/>
        </w:rPr>
      </w:pPr>
    </w:p>
    <w:p>
      <w:pPr>
        <w:ind w:right="300" w:firstLine="757"/>
        <w:spacing w:after="0" w:line="282" w:lineRule="auto"/>
        <w:tabs>
          <w:tab w:leader="none" w:pos="1498"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Termination of Service as a Non-Employee Director</w:t>
      </w:r>
      <w:r>
        <w:rPr>
          <w:rFonts w:ascii="Arial" w:cs="Arial" w:eastAsia="Arial" w:hAnsi="Arial"/>
          <w:sz w:val="19"/>
          <w:szCs w:val="19"/>
          <w:color w:val="auto"/>
        </w:rPr>
        <w:t>. If the Grantee’s service with the Company and its Subsidiaries as a member of the Board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47" w:lineRule="exact"/>
        <w:rPr>
          <w:rFonts w:ascii="Arial" w:cs="Arial" w:eastAsia="Arial" w:hAnsi="Arial"/>
          <w:sz w:val="19"/>
          <w:szCs w:val="19"/>
          <w:color w:val="auto"/>
        </w:rPr>
      </w:pPr>
    </w:p>
    <w:p>
      <w:pPr>
        <w:ind w:right="40" w:firstLine="757"/>
        <w:spacing w:after="0" w:line="236" w:lineRule="auto"/>
        <w:tabs>
          <w:tab w:leader="none" w:pos="1498"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Issuance of Shares of Stock</w:t>
      </w:r>
      <w:r>
        <w:rPr>
          <w:rFonts w:ascii="Arial" w:cs="Arial" w:eastAsia="Arial" w:hAnsi="Arial"/>
          <w:sz w:val="22"/>
          <w:szCs w:val="22"/>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87" w:lineRule="exact"/>
        <w:rPr>
          <w:rFonts w:ascii="Arial" w:cs="Arial" w:eastAsia="Arial" w:hAnsi="Arial"/>
          <w:sz w:val="22"/>
          <w:szCs w:val="22"/>
          <w:color w:val="auto"/>
        </w:rPr>
      </w:pPr>
    </w:p>
    <w:p>
      <w:pPr>
        <w:ind w:right="140" w:firstLine="757"/>
        <w:spacing w:after="0" w:line="238" w:lineRule="auto"/>
        <w:tabs>
          <w:tab w:leader="none" w:pos="1498"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firstLine="757"/>
        <w:spacing w:after="0"/>
        <w:tabs>
          <w:tab w:leader="none" w:pos="1498"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86" w:lineRule="exact"/>
        <w:rPr>
          <w:rFonts w:ascii="Arial" w:cs="Arial" w:eastAsia="Arial" w:hAnsi="Arial"/>
          <w:sz w:val="22"/>
          <w:szCs w:val="22"/>
          <w:color w:val="auto"/>
        </w:rPr>
      </w:pPr>
    </w:p>
    <w:p>
      <w:pPr>
        <w:ind w:right="460" w:firstLine="757"/>
        <w:spacing w:after="0" w:line="250" w:lineRule="auto"/>
        <w:tabs>
          <w:tab w:leader="none" w:pos="1498"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as a Non-Employee Director</w:t>
      </w:r>
      <w:r>
        <w:rPr>
          <w:rFonts w:ascii="Arial" w:cs="Arial" w:eastAsia="Arial" w:hAnsi="Arial"/>
          <w:sz w:val="22"/>
          <w:szCs w:val="22"/>
          <w:color w:val="auto"/>
        </w:rPr>
        <w:t>. Neither the Plan nor this Award confers upon the Grantee any rights with respect to continuance as a Non-Employee Director.</w:t>
      </w:r>
    </w:p>
    <w:p>
      <w:pPr>
        <w:spacing w:after="0" w:line="174" w:lineRule="exact"/>
        <w:rPr>
          <w:rFonts w:ascii="Arial" w:cs="Arial" w:eastAsia="Arial" w:hAnsi="Arial"/>
          <w:sz w:val="22"/>
          <w:szCs w:val="22"/>
          <w:color w:val="auto"/>
        </w:rPr>
      </w:pPr>
    </w:p>
    <w:p>
      <w:pPr>
        <w:ind w:firstLine="757"/>
        <w:spacing w:after="0" w:line="274" w:lineRule="auto"/>
        <w:tabs>
          <w:tab w:leader="none" w:pos="1498"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150" w:lineRule="exact"/>
        <w:rPr>
          <w:rFonts w:ascii="Arial" w:cs="Arial" w:eastAsia="Arial" w:hAnsi="Arial"/>
          <w:sz w:val="21"/>
          <w:szCs w:val="21"/>
          <w:color w:val="auto"/>
        </w:rPr>
      </w:pPr>
    </w:p>
    <w:p>
      <w:pPr>
        <w:ind w:right="20" w:firstLine="757"/>
        <w:spacing w:after="0" w:line="246" w:lineRule="auto"/>
        <w:tabs>
          <w:tab w:leader="none" w:pos="1498"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23" w:name="page224"/>
    <w:bookmarkEnd w:id="223"/>
    <w:p>
      <w:pPr>
        <w:ind w:left="-1120" w:firstLine="1505"/>
        <w:spacing w:after="0" w:line="272" w:lineRule="auto"/>
        <w:tabs>
          <w:tab w:leader="none" w:pos="1875"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Grantee acknowledges that, regardless of any action taken by the Company or, if different, the Subsidiary for which the Grantee provides services (the “Service Recipient”), the ultimate liability for all income tax, social insurance, payroll tax, fringe benefits tax, payment on account or other tax-related items related to the Grantee’s participation in the Plan and legally applicable to the Grantee (“Tax-Related Items”) is and remains the Grantee’s responsibility and may exceed the amount, if any, actually withheld by the Company or the Service Recipient. The Grantee further acknowledges that the Company and/or the Service Recipient (i) make no representations or undertakings regarding the treatment of any Tax-Related Items in connection with any aspect of the Restricted Stock Units, the subsequent sale of shares of Stock acquired pursuant to such settlement and the receipt of any dividends; and (ii) do not commit to and are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the Grantee acknowledges that the Company and/or the Service Recipient (or former service recipient, as applicable) may be required to withhold or account for Tax-Related Items in more than one jurisdiction.</w:t>
      </w:r>
    </w:p>
    <w:p>
      <w:pPr>
        <w:spacing w:after="0" w:line="160" w:lineRule="exact"/>
        <w:rPr>
          <w:rFonts w:ascii="Arial" w:cs="Arial" w:eastAsia="Arial" w:hAnsi="Arial"/>
          <w:sz w:val="19"/>
          <w:szCs w:val="19"/>
          <w:color w:val="auto"/>
        </w:rPr>
      </w:pPr>
    </w:p>
    <w:p>
      <w:pPr>
        <w:ind w:left="-1120" w:firstLine="1505"/>
        <w:spacing w:after="0" w:line="244" w:lineRule="auto"/>
        <w:tabs>
          <w:tab w:leader="none" w:pos="1875" w:val="left"/>
        </w:tabs>
        <w:numPr>
          <w:ilvl w:val="0"/>
          <w:numId w:val="156"/>
        </w:numPr>
        <w:rPr>
          <w:rFonts w:ascii="Arial" w:cs="Arial" w:eastAsia="Arial" w:hAnsi="Arial"/>
          <w:sz w:val="21"/>
          <w:szCs w:val="21"/>
          <w:color w:val="auto"/>
        </w:rPr>
      </w:pPr>
      <w:r>
        <w:rPr>
          <w:rFonts w:ascii="Arial" w:cs="Arial" w:eastAsia="Arial" w:hAnsi="Arial"/>
          <w:sz w:val="21"/>
          <w:szCs w:val="21"/>
          <w:color w:val="auto"/>
        </w:rPr>
        <w:t>Prior to any relevant taxable or tax withholding event, as applicable, the Grantee agrees to make adequate arrangements satisfactory to the Company and/or the Service Recipient to satisfy all Tax-Related Items. In this regard, the Grantee authorizes the Company and/or the Service Recipient, or their respective agents, at their discretion, to satisfy any applicable withholding obligations with regard to all Tax-Related Items by one or a combination of the following: (i) withholding from the Grantee’s wages or other cash compensation paid to the Grantee by the Company and/or the Service Recipient; (ii) withholding from proceeds of the sale of shares of Stock upon settlement of the Restricted Stock Units either through a voluntary sale or through a mandatory sale arranged by the Company (on the Grantee’s behalf pursuant to this authorization without further consent); (iii) withholding from shares of Stock to be issued to the Grantee upon settlement of the Restricted Stock Units; or (iv) any other method of withholding determined by the Company and permitted by applicable law; provided, however, that if the Grantee is a Section 16 officer of the Company under the Exchange Act, then the Administrator shall establish the method of withholding from alternatives (i)-(iv) herein and, if the Administrator does not exercise its discretion prior to the applicable withholding event, then the Grantee shall be entitled to elect the method of withholding from the alternatives above.</w:t>
      </w:r>
    </w:p>
    <w:p>
      <w:pPr>
        <w:spacing w:after="0" w:line="183" w:lineRule="exact"/>
        <w:rPr>
          <w:rFonts w:ascii="Arial" w:cs="Arial" w:eastAsia="Arial" w:hAnsi="Arial"/>
          <w:sz w:val="21"/>
          <w:szCs w:val="21"/>
          <w:color w:val="auto"/>
        </w:rPr>
      </w:pPr>
    </w:p>
    <w:p>
      <w:pPr>
        <w:ind w:left="-1120" w:right="80" w:firstLine="1505"/>
        <w:spacing w:after="0" w:line="279" w:lineRule="auto"/>
        <w:tabs>
          <w:tab w:leader="none" w:pos="1875"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Company and/or the Service Recipient may withhold or account for Tax-Related Items by considering applicable statutory withholding amounts or other applicable withholding rates, including maximum rates applicable in the Grantee’s jurisdiction, in which case the Grantee may receive a refund of any over-withheld amount in cash and will have no entitlement to the equivalent amount in shares of Stock, for tax purposes, the Grantee is deemed to have been issued the full number of shares of Stock subject to the vested Restricted Stock Units, notwithstanding that a number of the shares of Stock is held back solely for the purpose of paying the Tax-Related Items.</w:t>
      </w:r>
    </w:p>
    <w:p>
      <w:pPr>
        <w:spacing w:after="0" w:line="150" w:lineRule="exact"/>
        <w:rPr>
          <w:rFonts w:ascii="Arial" w:cs="Arial" w:eastAsia="Arial" w:hAnsi="Arial"/>
          <w:sz w:val="19"/>
          <w:szCs w:val="19"/>
          <w:color w:val="auto"/>
        </w:rPr>
      </w:pPr>
    </w:p>
    <w:p>
      <w:pPr>
        <w:ind w:left="-1120" w:right="80" w:firstLine="1505"/>
        <w:spacing w:after="0" w:line="238" w:lineRule="auto"/>
        <w:tabs>
          <w:tab w:leader="none" w:pos="1875"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Grantee agrees to pay to the Company or the Service Recipient any amount of Tax-Related Items that the Company or the Service Recipient may be required to withhold or account for as a result of the Grantee’s participation in the Plan that cannot be satisfied by the means previously described. The Company may refuse to issue or deliver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224" w:name="page225"/>
    <w:bookmarkEnd w:id="224"/>
    <w:p>
      <w:pPr>
        <w:ind w:right="700"/>
        <w:spacing w:after="0" w:line="250" w:lineRule="auto"/>
        <w:rPr>
          <w:sz w:val="20"/>
          <w:szCs w:val="20"/>
          <w:color w:val="auto"/>
        </w:rPr>
      </w:pPr>
      <w:r>
        <w:rPr>
          <w:rFonts w:ascii="Arial" w:cs="Arial" w:eastAsia="Arial" w:hAnsi="Arial"/>
          <w:sz w:val="22"/>
          <w:szCs w:val="22"/>
          <w:color w:val="auto"/>
        </w:rPr>
        <w:t>shares of Stock, or the proceeds of the sale of shares of Stock, if the Grantee fails to comply with his or her obligations in connection with the Tax-Related Items.</w:t>
      </w:r>
    </w:p>
    <w:p>
      <w:pPr>
        <w:spacing w:after="0" w:line="175" w:lineRule="exact"/>
        <w:rPr>
          <w:sz w:val="20"/>
          <w:szCs w:val="20"/>
          <w:color w:val="auto"/>
        </w:rPr>
      </w:pPr>
    </w:p>
    <w:p>
      <w:pPr>
        <w:ind w:right="80" w:firstLine="757"/>
        <w:spacing w:after="0" w:line="273" w:lineRule="auto"/>
        <w:tabs>
          <w:tab w:leader="none" w:pos="1498"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60" w:lineRule="exact"/>
        <w:rPr>
          <w:rFonts w:ascii="Arial" w:cs="Arial" w:eastAsia="Arial" w:hAnsi="Arial"/>
          <w:sz w:val="19"/>
          <w:szCs w:val="19"/>
          <w:color w:val="auto"/>
        </w:rPr>
      </w:pPr>
    </w:p>
    <w:p>
      <w:pPr>
        <w:ind w:right="40" w:firstLine="757"/>
        <w:spacing w:after="0"/>
        <w:tabs>
          <w:tab w:leader="none" w:pos="1498"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6" w:lineRule="exact"/>
        <w:rPr>
          <w:rFonts w:ascii="Arial" w:cs="Arial" w:eastAsia="Arial" w:hAnsi="Arial"/>
          <w:sz w:val="22"/>
          <w:szCs w:val="22"/>
          <w:color w:val="auto"/>
        </w:rPr>
      </w:pPr>
    </w:p>
    <w:p>
      <w:pPr>
        <w:ind w:right="220" w:firstLine="757"/>
        <w:spacing w:after="0"/>
        <w:tabs>
          <w:tab w:leader="none" w:pos="1498"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The Grantee acknowledges that a waiver by the Company of breach of any provision of this Agreement shall not operate or be construed as a waiver of any other provision of this Agreement, or of any subsequent breach by the Grantee or any other Grantee.</w:t>
      </w:r>
    </w:p>
    <w:p>
      <w:pPr>
        <w:spacing w:after="0" w:line="186" w:lineRule="exact"/>
        <w:rPr>
          <w:rFonts w:ascii="Arial" w:cs="Arial" w:eastAsia="Arial" w:hAnsi="Arial"/>
          <w:sz w:val="22"/>
          <w:szCs w:val="22"/>
          <w:color w:val="auto"/>
        </w:rPr>
      </w:pPr>
    </w:p>
    <w:p>
      <w:pPr>
        <w:ind w:right="340" w:firstLine="757"/>
        <w:spacing w:after="0" w:line="287" w:lineRule="auto"/>
        <w:tabs>
          <w:tab w:leader="none" w:pos="1498"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42" w:lineRule="exact"/>
        <w:rPr>
          <w:rFonts w:ascii="Arial" w:cs="Arial" w:eastAsia="Arial" w:hAnsi="Arial"/>
          <w:sz w:val="19"/>
          <w:szCs w:val="19"/>
          <w:color w:val="auto"/>
        </w:rPr>
      </w:pPr>
    </w:p>
    <w:p>
      <w:pPr>
        <w:ind w:right="80" w:firstLine="757"/>
        <w:spacing w:after="0"/>
        <w:tabs>
          <w:tab w:leader="none" w:pos="1498"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86" w:lineRule="exact"/>
        <w:rPr>
          <w:rFonts w:ascii="Arial" w:cs="Arial" w:eastAsia="Arial" w:hAnsi="Arial"/>
          <w:sz w:val="22"/>
          <w:szCs w:val="22"/>
          <w:color w:val="auto"/>
        </w:rPr>
      </w:pPr>
    </w:p>
    <w:p>
      <w:pPr>
        <w:jc w:val="both"/>
        <w:ind w:firstLine="757"/>
        <w:spacing w:after="0" w:line="252" w:lineRule="auto"/>
        <w:tabs>
          <w:tab w:leader="none" w:pos="1498" w:val="left"/>
        </w:tabs>
        <w:numPr>
          <w:ilvl w:val="0"/>
          <w:numId w:val="157"/>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 of Documents</w:t>
      </w:r>
      <w:r>
        <w:rPr>
          <w:rFonts w:ascii="Arial" w:cs="Arial" w:eastAsia="Arial" w:hAnsi="Arial"/>
          <w:sz w:val="21"/>
          <w:szCs w:val="21"/>
          <w:color w:val="auto"/>
        </w:rPr>
        <w:t>. The Company may, in its sole discretion, decide to deliver any documents related to current or future participation in the Plan by electronic means. The Grantee hereby consents to receive such documents by electronic delivery and agree to participate in the Plan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351155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25" w:name="page226"/>
    <w:bookmarkEnd w:id="225"/>
    <w:p>
      <w:pPr>
        <w:ind w:left="20"/>
        <w:spacing w:after="0"/>
        <w:rPr>
          <w:sz w:val="20"/>
          <w:szCs w:val="20"/>
          <w:color w:val="auto"/>
        </w:rPr>
      </w:pPr>
      <w:r>
        <w:rPr>
          <w:rFonts w:ascii="Arial" w:cs="Arial" w:eastAsia="Arial" w:hAnsi="Arial"/>
          <w:sz w:val="22"/>
          <w:szCs w:val="22"/>
          <w:b w:val="1"/>
          <w:bCs w:val="1"/>
          <w:color w:val="auto"/>
        </w:rPr>
        <w:t>Relay Therapeutics, Inc.</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-151765</wp:posOffset>
            </wp:positionV>
            <wp:extent cx="354901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2">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6985</wp:posOffset>
            </wp:positionV>
            <wp:extent cx="639508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3">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1"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04"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290195</wp:posOffset>
            </wp:positionV>
            <wp:extent cx="373761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4">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589915</wp:posOffset>
            </wp:positionV>
            <wp:extent cx="373761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5">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890270</wp:posOffset>
            </wp:positionV>
            <wp:extent cx="373761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6">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1400175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585" w:right="839" w:bottom="1440" w:gutter="0" w:footer="0" w:header="0"/>
        </w:sectPr>
      </w:pPr>
    </w:p>
    <w:bookmarkStart w:id="226" w:name="page227"/>
    <w:bookmarkEnd w:id="226"/>
    <w:p>
      <w:pPr>
        <w:jc w:val="center"/>
        <w:ind w:right="-139"/>
        <w:spacing w:after="0"/>
        <w:rPr>
          <w:sz w:val="20"/>
          <w:szCs w:val="20"/>
          <w:color w:val="auto"/>
        </w:rPr>
      </w:pPr>
      <w:r>
        <w:rPr>
          <w:rFonts w:ascii="Arial" w:cs="Arial" w:eastAsia="Arial" w:hAnsi="Arial"/>
          <w:sz w:val="25"/>
          <w:szCs w:val="25"/>
          <w:b w:val="1"/>
          <w:bCs w:val="1"/>
          <w:color w:val="auto"/>
        </w:rPr>
        <w:t>RESTRICTED STOCK UNIT AWARD AGREEMENT</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FOR COMPANY EMPLOYEES</w:t>
      </w:r>
    </w:p>
    <w:p>
      <w:pPr>
        <w:jc w:val="center"/>
        <w:ind w:right="-139"/>
        <w:spacing w:after="0" w:line="236" w:lineRule="auto"/>
        <w:rPr>
          <w:sz w:val="20"/>
          <w:szCs w:val="20"/>
          <w:color w:val="auto"/>
        </w:rPr>
      </w:pPr>
      <w:r>
        <w:rPr>
          <w:rFonts w:ascii="Arial" w:cs="Arial" w:eastAsia="Arial" w:hAnsi="Arial"/>
          <w:sz w:val="25"/>
          <w:szCs w:val="25"/>
          <w:b w:val="1"/>
          <w:bCs w:val="1"/>
          <w:color w:val="auto"/>
        </w:rPr>
        <w:t>UNDER THE RELAY THERAPEUTICS, INC.</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2020 STOCK OPTION AND INCENTIVE PLAN</w:t>
      </w: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-17780</wp:posOffset>
            </wp:positionV>
            <wp:extent cx="354901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-17780</wp:posOffset>
            </wp:positionV>
            <wp:extent cx="354901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-17780</wp:posOffset>
            </wp:positionV>
            <wp:extent cx="354901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40" w:firstLine="749"/>
        <w:spacing w:after="0" w:line="238" w:lineRule="auto"/>
        <w:rPr>
          <w:sz w:val="20"/>
          <w:szCs w:val="20"/>
          <w:color w:val="auto"/>
        </w:rPr>
      </w:pPr>
      <w:r>
        <w:rPr>
          <w:rFonts w:ascii="Arial" w:cs="Arial" w:eastAsia="Arial" w:hAnsi="Arial"/>
          <w:sz w:val="22"/>
          <w:szCs w:val="22"/>
          <w:color w:val="auto"/>
        </w:rPr>
        <w:t>Pursuant to the Relay Therapeutics, Inc. 2020 Stock Option and Incentive Plan as amended through the date hereof (the “Plan”), Relay Therapeutics,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85" w:lineRule="exact"/>
        <w:rPr>
          <w:sz w:val="20"/>
          <w:szCs w:val="20"/>
          <w:color w:val="auto"/>
        </w:rPr>
      </w:pPr>
    </w:p>
    <w:p>
      <w:pPr>
        <w:ind w:right="20" w:firstLine="757"/>
        <w:spacing w:after="0" w:line="236" w:lineRule="auto"/>
        <w:tabs>
          <w:tab w:leader="none" w:pos="1498"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7" w:lineRule="exact"/>
        <w:rPr>
          <w:rFonts w:ascii="Arial" w:cs="Arial" w:eastAsia="Arial" w:hAnsi="Arial"/>
          <w:sz w:val="22"/>
          <w:szCs w:val="22"/>
          <w:color w:val="auto"/>
        </w:rPr>
      </w:pPr>
    </w:p>
    <w:p>
      <w:pPr>
        <w:jc w:val="both"/>
        <w:ind w:firstLine="757"/>
        <w:spacing w:after="0" w:line="287" w:lineRule="auto"/>
        <w:tabs>
          <w:tab w:leader="none" w:pos="1498"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Vesting of Restricted Stock Units</w:t>
      </w:r>
      <w:r>
        <w:rPr>
          <w:rFonts w:ascii="Arial" w:cs="Arial" w:eastAsia="Arial" w:hAnsi="Arial"/>
          <w:sz w:val="19"/>
          <w:szCs w:val="19"/>
          <w:color w:val="auto"/>
        </w:rPr>
        <w:t>. The restrictions and conditions of Paragraph 1 of this Agreement shall lapse on the Vesting Date or Dates specified in the following schedule so long as the Grantee continues to have a Service Relationship with the Company or a Subsidiary on such Dates. If a series of Vesting Dates is specified, then the restrictions and conditions in Paragraph 1 shall lapse only with respect to the number of Restricted Stock Units specified as vested on such date.</w:t>
      </w:r>
    </w:p>
    <w:p>
      <w:pPr>
        <w:spacing w:after="0" w:line="106" w:lineRule="exact"/>
        <w:rPr>
          <w:sz w:val="20"/>
          <w:szCs w:val="20"/>
          <w:color w:val="auto"/>
        </w:rPr>
      </w:pPr>
    </w:p>
    <w:tbl>
      <w:tblPr>
        <w:tblLayout w:type="fixed"/>
        <w:tblInd w:w="1560" w:type="dxa"/>
        <w:tblCellMar>
          <w:top w:w="0" w:type="dxa"/>
          <w:left w:w="0" w:type="dxa"/>
          <w:bottom w:w="0" w:type="dxa"/>
          <w:right w:w="0" w:type="dxa"/>
        </w:tblCellMar>
      </w:tblPr>
      <w:tr>
        <w:trPr>
          <w:trHeight w:val="253"/>
        </w:trPr>
        <w:tc>
          <w:tcPr>
            <w:tcW w:w="2580" w:type="dxa"/>
            <w:vAlign w:val="bottom"/>
          </w:tcPr>
          <w:p>
            <w:pPr>
              <w:spacing w:after="0"/>
              <w:rPr>
                <w:sz w:val="20"/>
                <w:szCs w:val="20"/>
                <w:color w:val="auto"/>
              </w:rPr>
            </w:pPr>
            <w:r>
              <w:rPr>
                <w:rFonts w:ascii="Arial" w:cs="Arial" w:eastAsia="Arial" w:hAnsi="Arial"/>
                <w:sz w:val="22"/>
                <w:szCs w:val="22"/>
                <w:color w:val="auto"/>
              </w:rPr>
              <w:t>Incremental Number of</w:t>
            </w:r>
          </w:p>
        </w:tc>
        <w:tc>
          <w:tcPr>
            <w:tcW w:w="4200" w:type="dxa"/>
            <w:vAlign w:val="bottom"/>
            <w:gridSpan w:val="3"/>
            <w:vMerge w:val="restart"/>
          </w:tcPr>
          <w:p>
            <w:pPr>
              <w:ind w:left="2900"/>
              <w:spacing w:after="0"/>
              <w:rPr>
                <w:sz w:val="20"/>
                <w:szCs w:val="20"/>
                <w:color w:val="auto"/>
              </w:rPr>
            </w:pPr>
            <w:r>
              <w:rPr>
                <w:rFonts w:ascii="Arial" w:cs="Arial" w:eastAsia="Arial" w:hAnsi="Arial"/>
                <w:sz w:val="22"/>
                <w:szCs w:val="22"/>
                <w:color w:val="auto"/>
              </w:rPr>
              <w:t>Vesting Date</w:t>
            </w:r>
          </w:p>
        </w:tc>
        <w:tc>
          <w:tcPr>
            <w:tcW w:w="0" w:type="dxa"/>
            <w:vAlign w:val="bottom"/>
          </w:tcPr>
          <w:p>
            <w:pPr>
              <w:spacing w:after="0"/>
              <w:rPr>
                <w:sz w:val="1"/>
                <w:szCs w:val="1"/>
                <w:color w:val="auto"/>
              </w:rPr>
            </w:pPr>
          </w:p>
        </w:tc>
      </w:tr>
      <w:tr>
        <w:trPr>
          <w:trHeight w:val="224"/>
        </w:trPr>
        <w:tc>
          <w:tcPr>
            <w:tcW w:w="2580" w:type="dxa"/>
            <w:vAlign w:val="bottom"/>
          </w:tcPr>
          <w:p>
            <w:pPr>
              <w:spacing w:after="0" w:line="224" w:lineRule="exact"/>
              <w:rPr>
                <w:sz w:val="20"/>
                <w:szCs w:val="20"/>
                <w:color w:val="auto"/>
              </w:rPr>
            </w:pPr>
            <w:r>
              <w:rPr>
                <w:rFonts w:ascii="Arial" w:cs="Arial" w:eastAsia="Arial" w:hAnsi="Arial"/>
                <w:sz w:val="22"/>
                <w:szCs w:val="22"/>
                <w:color w:val="auto"/>
                <w:w w:val="87"/>
              </w:rPr>
              <w:t>Restricted Stock Units Vested</w:t>
            </w:r>
          </w:p>
        </w:tc>
        <w:tc>
          <w:tcPr>
            <w:tcW w:w="42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2580" w:type="dxa"/>
            <w:vAlign w:val="bottom"/>
          </w:tcPr>
          <w:p>
            <w:pPr>
              <w:ind w:left="20"/>
              <w:spacing w:after="0"/>
              <w:rPr>
                <w:sz w:val="20"/>
                <w:szCs w:val="20"/>
                <w:color w:val="auto"/>
              </w:rPr>
            </w:pPr>
            <w:r>
              <w:rPr>
                <w:rFonts w:ascii="Arial" w:cs="Arial" w:eastAsia="Arial" w:hAnsi="Arial"/>
                <w:sz w:val="22"/>
                <w:szCs w:val="22"/>
                <w:color w:val="auto"/>
              </w:rPr>
              <w:t>_____________ (___%)</w:t>
            </w:r>
          </w:p>
        </w:tc>
        <w:tc>
          <w:tcPr>
            <w:tcW w:w="4200" w:type="dxa"/>
            <w:vAlign w:val="bottom"/>
            <w:gridSpan w:val="3"/>
          </w:tcPr>
          <w:p>
            <w:pPr>
              <w:ind w:left="2900"/>
              <w:spacing w:after="0"/>
              <w:rPr>
                <w:sz w:val="20"/>
                <w:szCs w:val="20"/>
                <w:color w:val="auto"/>
              </w:rPr>
            </w:pPr>
            <w:r>
              <w:rPr>
                <w:rFonts w:ascii="Arial" w:cs="Arial" w:eastAsia="Arial" w:hAnsi="Arial"/>
                <w:sz w:val="22"/>
                <w:szCs w:val="22"/>
                <w:color w:val="auto"/>
                <w:w w:val="87"/>
              </w:rPr>
              <w:t>____________</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line="243" w:lineRule="exact"/>
              <w:rPr>
                <w:sz w:val="20"/>
                <w:szCs w:val="20"/>
                <w:color w:val="auto"/>
              </w:rPr>
            </w:pPr>
            <w:r>
              <w:rPr>
                <w:rFonts w:ascii="Arial" w:cs="Arial" w:eastAsia="Arial" w:hAnsi="Arial"/>
                <w:sz w:val="22"/>
                <w:szCs w:val="22"/>
                <w:color w:val="auto"/>
              </w:rPr>
              <w:t>_____________ (___%)</w:t>
            </w:r>
          </w:p>
        </w:tc>
        <w:tc>
          <w:tcPr>
            <w:tcW w:w="4200" w:type="dxa"/>
            <w:vAlign w:val="bottom"/>
            <w:gridSpan w:val="3"/>
          </w:tcPr>
          <w:p>
            <w:pPr>
              <w:ind w:left="2900"/>
              <w:spacing w:after="0" w:line="243" w:lineRule="exact"/>
              <w:rPr>
                <w:sz w:val="20"/>
                <w:szCs w:val="20"/>
                <w:color w:val="auto"/>
              </w:rPr>
            </w:pPr>
            <w:r>
              <w:rPr>
                <w:rFonts w:ascii="Arial" w:cs="Arial" w:eastAsia="Arial" w:hAnsi="Arial"/>
                <w:sz w:val="22"/>
                <w:szCs w:val="22"/>
                <w:color w:val="auto"/>
                <w:w w:val="87"/>
              </w:rPr>
              <w:t>____________</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line="243" w:lineRule="exact"/>
              <w:rPr>
                <w:sz w:val="20"/>
                <w:szCs w:val="20"/>
                <w:color w:val="auto"/>
              </w:rPr>
            </w:pPr>
            <w:r>
              <w:rPr>
                <w:rFonts w:ascii="Arial" w:cs="Arial" w:eastAsia="Arial" w:hAnsi="Arial"/>
                <w:sz w:val="22"/>
                <w:szCs w:val="22"/>
                <w:color w:val="auto"/>
              </w:rPr>
              <w:t>_____________ (___%)</w:t>
            </w:r>
          </w:p>
        </w:tc>
        <w:tc>
          <w:tcPr>
            <w:tcW w:w="4200" w:type="dxa"/>
            <w:vAlign w:val="bottom"/>
            <w:gridSpan w:val="3"/>
          </w:tcPr>
          <w:p>
            <w:pPr>
              <w:ind w:left="2900"/>
              <w:spacing w:after="0" w:line="243" w:lineRule="exact"/>
              <w:rPr>
                <w:sz w:val="20"/>
                <w:szCs w:val="20"/>
                <w:color w:val="auto"/>
              </w:rPr>
            </w:pPr>
            <w:r>
              <w:rPr>
                <w:rFonts w:ascii="Arial" w:cs="Arial" w:eastAsia="Arial" w:hAnsi="Arial"/>
                <w:sz w:val="22"/>
                <w:szCs w:val="22"/>
                <w:color w:val="auto"/>
                <w:w w:val="87"/>
              </w:rPr>
              <w:t>____________</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line="243" w:lineRule="exact"/>
              <w:rPr>
                <w:sz w:val="20"/>
                <w:szCs w:val="20"/>
                <w:color w:val="auto"/>
              </w:rPr>
            </w:pPr>
            <w:r>
              <w:rPr>
                <w:rFonts w:ascii="Arial" w:cs="Arial" w:eastAsia="Arial" w:hAnsi="Arial"/>
                <w:sz w:val="22"/>
                <w:szCs w:val="22"/>
                <w:color w:val="auto"/>
              </w:rPr>
              <w:t>_____________ (___%)</w:t>
            </w:r>
          </w:p>
        </w:tc>
        <w:tc>
          <w:tcPr>
            <w:tcW w:w="4200" w:type="dxa"/>
            <w:vAlign w:val="bottom"/>
            <w:gridSpan w:val="3"/>
          </w:tcPr>
          <w:p>
            <w:pPr>
              <w:ind w:left="2900"/>
              <w:spacing w:after="0" w:line="243" w:lineRule="exact"/>
              <w:rPr>
                <w:sz w:val="20"/>
                <w:szCs w:val="20"/>
                <w:color w:val="auto"/>
              </w:rPr>
            </w:pPr>
            <w:r>
              <w:rPr>
                <w:rFonts w:ascii="Arial" w:cs="Arial" w:eastAsia="Arial" w:hAnsi="Arial"/>
                <w:sz w:val="22"/>
                <w:szCs w:val="22"/>
                <w:color w:val="auto"/>
                <w:w w:val="87"/>
              </w:rPr>
              <w:t>____________</w:t>
            </w:r>
          </w:p>
        </w:tc>
        <w:tc>
          <w:tcPr>
            <w:tcW w:w="0" w:type="dxa"/>
            <w:vAlign w:val="bottom"/>
          </w:tcPr>
          <w:p>
            <w:pPr>
              <w:spacing w:after="0"/>
              <w:rPr>
                <w:sz w:val="1"/>
                <w:szCs w:val="1"/>
                <w:color w:val="auto"/>
              </w:rPr>
            </w:pPr>
          </w:p>
        </w:tc>
      </w:tr>
      <w:tr>
        <w:trPr>
          <w:trHeight w:val="274"/>
        </w:trPr>
        <w:tc>
          <w:tcPr>
            <w:tcW w:w="2580" w:type="dxa"/>
            <w:vAlign w:val="bottom"/>
          </w:tcPr>
          <w:p>
            <w:pPr>
              <w:ind w:left="20"/>
              <w:spacing w:after="0"/>
              <w:rPr>
                <w:sz w:val="20"/>
                <w:szCs w:val="20"/>
                <w:color w:val="auto"/>
              </w:rPr>
            </w:pPr>
            <w:r>
              <w:rPr>
                <w:rFonts w:ascii="Arial" w:cs="Arial" w:eastAsia="Arial" w:hAnsi="Arial"/>
                <w:sz w:val="22"/>
                <w:szCs w:val="22"/>
                <w:color w:val="auto"/>
              </w:rPr>
              <w:t>_____________ (___%)</w:t>
            </w:r>
          </w:p>
        </w:tc>
        <w:tc>
          <w:tcPr>
            <w:tcW w:w="4200" w:type="dxa"/>
            <w:vAlign w:val="bottom"/>
            <w:gridSpan w:val="3"/>
          </w:tcPr>
          <w:p>
            <w:pPr>
              <w:ind w:left="2900"/>
              <w:spacing w:after="0"/>
              <w:rPr>
                <w:sz w:val="20"/>
                <w:szCs w:val="20"/>
                <w:color w:val="auto"/>
              </w:rPr>
            </w:pPr>
            <w:r>
              <w:rPr>
                <w:rFonts w:ascii="Arial" w:cs="Arial" w:eastAsia="Arial" w:hAnsi="Arial"/>
                <w:sz w:val="22"/>
                <w:szCs w:val="22"/>
                <w:color w:val="auto"/>
                <w:w w:val="87"/>
              </w:rPr>
              <w:t>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Administrator may at any time accelerate the vesting schedule specified in this Paragraph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0" w:right="459" w:bottom="1440" w:gutter="0" w:footer="0" w:header="0"/>
        </w:sectPr>
      </w:pPr>
    </w:p>
    <w:bookmarkStart w:id="227" w:name="page228"/>
    <w:bookmarkEnd w:id="227"/>
    <w:p>
      <w:pPr>
        <w:ind w:right="100" w:firstLine="757"/>
        <w:spacing w:after="0" w:line="249" w:lineRule="auto"/>
        <w:tabs>
          <w:tab w:leader="none" w:pos="1498"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Termination of Service Relationship</w:t>
      </w:r>
      <w:r>
        <w:rPr>
          <w:rFonts w:ascii="Arial" w:cs="Arial" w:eastAsia="Arial" w:hAnsi="Arial"/>
          <w:sz w:val="21"/>
          <w:szCs w:val="21"/>
          <w:color w:val="auto"/>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8" w:lineRule="exact"/>
        <w:rPr>
          <w:rFonts w:ascii="Arial" w:cs="Arial" w:eastAsia="Arial" w:hAnsi="Arial"/>
          <w:sz w:val="21"/>
          <w:szCs w:val="21"/>
          <w:color w:val="auto"/>
        </w:rPr>
      </w:pPr>
    </w:p>
    <w:p>
      <w:pPr>
        <w:ind w:right="80" w:firstLine="757"/>
        <w:spacing w:after="0" w:line="236" w:lineRule="auto"/>
        <w:tabs>
          <w:tab w:leader="none" w:pos="1498"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Issuance of Shares of Stock</w:t>
      </w:r>
      <w:r>
        <w:rPr>
          <w:rFonts w:ascii="Arial" w:cs="Arial" w:eastAsia="Arial" w:hAnsi="Arial"/>
          <w:sz w:val="22"/>
          <w:szCs w:val="22"/>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87" w:lineRule="exact"/>
        <w:rPr>
          <w:rFonts w:ascii="Arial" w:cs="Arial" w:eastAsia="Arial" w:hAnsi="Arial"/>
          <w:sz w:val="22"/>
          <w:szCs w:val="22"/>
          <w:color w:val="auto"/>
        </w:rPr>
      </w:pPr>
    </w:p>
    <w:p>
      <w:pPr>
        <w:ind w:right="180" w:firstLine="757"/>
        <w:spacing w:after="0" w:line="238" w:lineRule="auto"/>
        <w:tabs>
          <w:tab w:leader="none" w:pos="1498"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left="1500" w:hanging="743"/>
        <w:spacing w:after="0"/>
        <w:tabs>
          <w:tab w:leader="none" w:pos="1500"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w:t>
      </w:r>
    </w:p>
    <w:p>
      <w:pPr>
        <w:spacing w:after="0" w:line="206" w:lineRule="exact"/>
        <w:rPr>
          <w:sz w:val="20"/>
          <w:szCs w:val="20"/>
          <w:color w:val="auto"/>
        </w:rPr>
      </w:pPr>
    </w:p>
    <w:p>
      <w:pPr>
        <w:ind w:right="20" w:firstLine="1497"/>
        <w:spacing w:after="0" w:line="270" w:lineRule="auto"/>
        <w:rPr>
          <w:sz w:val="20"/>
          <w:szCs w:val="20"/>
          <w:color w:val="auto"/>
        </w:rPr>
      </w:pPr>
      <w:r>
        <w:rPr>
          <w:rFonts w:ascii="Arial" w:cs="Arial" w:eastAsia="Arial" w:hAnsi="Arial"/>
          <w:sz w:val="19"/>
          <w:szCs w:val="19"/>
          <w:color w:val="auto"/>
        </w:rPr>
        <w:t>(a). The Grantee acknowledges that, regardless of any action taken by the Company or, if different, the Subsidiary employing the Grantee (the “Employer”), the ultimate liability for all income tax, social insurance, payroll tax, fringe benefits tax, payment on account or other tax-related items related to the Grantee’s participation in the Plan and legally applicable to the Grantee (“Tax-Related Items”) is and remains the Grantee’s responsibility and may exceed the amount, if any, actually withheld by the Company or the Employer. The Grantee further acknowledges that the Company and/or the Employer</w:t>
      </w:r>
    </w:p>
    <w:p>
      <w:pPr>
        <w:spacing w:after="0" w:line="4" w:lineRule="exact"/>
        <w:rPr>
          <w:sz w:val="20"/>
          <w:szCs w:val="20"/>
          <w:color w:val="auto"/>
        </w:rPr>
      </w:pPr>
    </w:p>
    <w:p>
      <w:pPr>
        <w:ind w:firstLine="8"/>
        <w:spacing w:after="0" w:line="232" w:lineRule="auto"/>
        <w:tabs>
          <w:tab w:leader="none" w:pos="25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make no representations or undertakings regarding the treatment of any Tax-Related Items in connection with any aspect of the Restricted Stock Units, the subsequent sale of shares of Stock acquired pursuant to such settlement and the receipt of any dividends; and (ii) do not commit to and are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the Grantee acknowledges that the Company and/or the Employer (or former employer, as applicable) may be required to withhold or account for Tax-Related Items in more than one jurisdiction.</w:t>
      </w:r>
    </w:p>
    <w:p>
      <w:pPr>
        <w:spacing w:after="0" w:line="187" w:lineRule="exact"/>
        <w:rPr>
          <w:sz w:val="20"/>
          <w:szCs w:val="20"/>
          <w:color w:val="auto"/>
        </w:rPr>
      </w:pPr>
    </w:p>
    <w:p>
      <w:pPr>
        <w:ind w:right="140" w:firstLine="1497"/>
        <w:spacing w:after="0" w:line="279" w:lineRule="auto"/>
        <w:rPr>
          <w:sz w:val="20"/>
          <w:szCs w:val="20"/>
          <w:color w:val="auto"/>
        </w:rPr>
      </w:pPr>
      <w:r>
        <w:rPr>
          <w:rFonts w:ascii="Arial" w:cs="Arial" w:eastAsia="Arial" w:hAnsi="Arial"/>
          <w:sz w:val="19"/>
          <w:szCs w:val="19"/>
          <w:color w:val="auto"/>
        </w:rPr>
        <w:t>(b). Prior to any relevant taxable or tax withholding event, as applicable, the Grantee agrees to make adequate arrangements satisfactory to the Company and/or the Employer to satisfy all Tax-Related Items. In this regard, the Grantee authorizes the Company and/or the Employer, or their respective agents, at their discretion, to satisfy any applicable withholding obligations with regard to all Tax-Related Items by one or a combination of the following: (i) withholding from the Grantee’s wages or other cash compensation paid to the Grantee by the Company and/or the Employer; (ii) withholding from proceeds of the sale of shares of Stock upon settlement of the Restricted Stock Units either through a voluntary sale or through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8" w:name="page229"/>
    <w:bookmarkEnd w:id="228"/>
    <w:p>
      <w:pPr>
        <w:spacing w:after="0" w:line="279" w:lineRule="auto"/>
        <w:rPr>
          <w:sz w:val="20"/>
          <w:szCs w:val="20"/>
          <w:color w:val="auto"/>
        </w:rPr>
      </w:pPr>
      <w:r>
        <w:rPr>
          <w:rFonts w:ascii="Arial" w:cs="Arial" w:eastAsia="Arial" w:hAnsi="Arial"/>
          <w:sz w:val="19"/>
          <w:szCs w:val="19"/>
          <w:color w:val="auto"/>
        </w:rPr>
        <w:t>mandatory sale arranged by the Company (on the Grantee’s behalf pursuant to this authorization without further consent); (iii) withholding from shares of Stock to be issued to the Grantee upon settlement of the Restricted Stock Units; or (iv) any other method of withholding determined by the Company and permitted by applicable law; provided, however, that if the Grantee is a Section 16 officer of the Company under the Exchange Act, then the Administrator shall establish the method of withholding from alternatives (i)-(iv) herein and, if the Administrator does not exercise its discretion prior to the applicable withholding event, then the Grantee shall be entitled to elect the method of withholding from the alternatives above.</w:t>
      </w:r>
    </w:p>
    <w:p>
      <w:pPr>
        <w:spacing w:after="0" w:line="150" w:lineRule="exact"/>
        <w:rPr>
          <w:sz w:val="20"/>
          <w:szCs w:val="20"/>
          <w:color w:val="auto"/>
        </w:rPr>
      </w:pPr>
    </w:p>
    <w:p>
      <w:pPr>
        <w:ind w:right="100" w:firstLine="1497"/>
        <w:spacing w:after="0" w:line="248" w:lineRule="auto"/>
        <w:rPr>
          <w:sz w:val="20"/>
          <w:szCs w:val="20"/>
          <w:color w:val="auto"/>
        </w:rPr>
      </w:pPr>
      <w:r>
        <w:rPr>
          <w:rFonts w:ascii="Arial" w:cs="Arial" w:eastAsia="Arial" w:hAnsi="Arial"/>
          <w:sz w:val="21"/>
          <w:szCs w:val="21"/>
          <w:color w:val="auto"/>
        </w:rPr>
        <w:t>(c). The Company and/or the Employer may withhold or account for Tax-Related Items by considering applicable statutory withholding amounts or other applicable withholding rates, including maximum rates applicable in the Grantee’s jurisdiction, in which case the Grantee may receive a refund of any over-withheld amount in cash and will have no entitlement to the equivalent amount in shares of Stock, for tax purposes, the Grantee is deemed to have been issued the full number of shares of Stock subject to the vested Restricted Stock Units, notwithstanding that a number of the shares of Stock is held back solely for the purpose of paying the Tax-Related Items.</w:t>
      </w:r>
    </w:p>
    <w:p>
      <w:pPr>
        <w:spacing w:after="0" w:line="177" w:lineRule="exact"/>
        <w:rPr>
          <w:sz w:val="20"/>
          <w:szCs w:val="20"/>
          <w:color w:val="auto"/>
        </w:rPr>
      </w:pPr>
    </w:p>
    <w:p>
      <w:pPr>
        <w:ind w:right="20" w:firstLine="1497"/>
        <w:spacing w:after="0" w:line="236" w:lineRule="auto"/>
        <w:rPr>
          <w:sz w:val="20"/>
          <w:szCs w:val="20"/>
          <w:color w:val="auto"/>
        </w:rPr>
      </w:pPr>
      <w:r>
        <w:rPr>
          <w:rFonts w:ascii="Arial" w:cs="Arial" w:eastAsia="Arial" w:hAnsi="Arial"/>
          <w:sz w:val="22"/>
          <w:szCs w:val="22"/>
          <w:color w:val="auto"/>
        </w:rPr>
        <w:t>(d). The Grantee agrees to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of Stock, or the proceeds of the sale of shares of Stock, if the Grantee fails to comply with his or her obligations in connection with the Tax-Related Items.</w:t>
      </w:r>
    </w:p>
    <w:p>
      <w:pPr>
        <w:spacing w:after="0" w:line="187" w:lineRule="exact"/>
        <w:rPr>
          <w:sz w:val="20"/>
          <w:szCs w:val="20"/>
          <w:color w:val="auto"/>
        </w:rPr>
      </w:pPr>
    </w:p>
    <w:p>
      <w:pPr>
        <w:ind w:right="40" w:firstLine="757"/>
        <w:spacing w:after="0"/>
        <w:tabs>
          <w:tab w:leader="none" w:pos="1498"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86" w:lineRule="exact"/>
        <w:rPr>
          <w:rFonts w:ascii="Arial" w:cs="Arial" w:eastAsia="Arial" w:hAnsi="Arial"/>
          <w:sz w:val="22"/>
          <w:szCs w:val="22"/>
          <w:color w:val="auto"/>
        </w:rPr>
      </w:pPr>
    </w:p>
    <w:p>
      <w:pPr>
        <w:ind w:right="80" w:firstLine="757"/>
        <w:spacing w:after="0" w:line="252" w:lineRule="auto"/>
        <w:tabs>
          <w:tab w:leader="none" w:pos="1498"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No Obligation to Continue Service Relationship</w:t>
      </w:r>
      <w:r>
        <w:rPr>
          <w:rFonts w:ascii="Arial" w:cs="Arial" w:eastAsia="Arial" w:hAnsi="Arial"/>
          <w:sz w:val="21"/>
          <w:szCs w:val="21"/>
          <w:color w:val="auto"/>
        </w:rPr>
        <w:t>. Neither the Company nor any Subsidiary is obligated by or as a result of the Plan or this Agreement to continue the Grantee’s Service Relationship with the Company or a Subsidiary and neither the Plan nor this Agreement shall interfere in any way with the right of the Company or any Subsidiary to terminate the Grantee’s Service Relationship with the Company or a Subsidiary at any time.</w:t>
      </w:r>
    </w:p>
    <w:p>
      <w:pPr>
        <w:spacing w:after="0" w:line="173" w:lineRule="exact"/>
        <w:rPr>
          <w:rFonts w:ascii="Arial" w:cs="Arial" w:eastAsia="Arial" w:hAnsi="Arial"/>
          <w:sz w:val="21"/>
          <w:szCs w:val="21"/>
          <w:color w:val="auto"/>
        </w:rPr>
      </w:pPr>
    </w:p>
    <w:p>
      <w:pPr>
        <w:ind w:right="40" w:firstLine="757"/>
        <w:spacing w:after="0" w:line="274" w:lineRule="auto"/>
        <w:tabs>
          <w:tab w:leader="none" w:pos="1498"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150" w:lineRule="exact"/>
        <w:rPr>
          <w:rFonts w:ascii="Arial" w:cs="Arial" w:eastAsia="Arial" w:hAnsi="Arial"/>
          <w:sz w:val="21"/>
          <w:szCs w:val="21"/>
          <w:color w:val="auto"/>
        </w:rPr>
      </w:pPr>
    </w:p>
    <w:p>
      <w:pPr>
        <w:ind w:right="120" w:firstLine="757"/>
        <w:spacing w:after="0" w:line="279" w:lineRule="auto"/>
        <w:tabs>
          <w:tab w:leader="none" w:pos="1498"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9" w:name="page230"/>
    <w:bookmarkEnd w:id="229"/>
    <w:p>
      <w:pPr>
        <w:ind w:right="280"/>
        <w:spacing w:after="0" w:line="252" w:lineRule="auto"/>
        <w:rPr>
          <w:sz w:val="20"/>
          <w:szCs w:val="20"/>
          <w:color w:val="auto"/>
        </w:rPr>
      </w:pPr>
      <w:r>
        <w:rPr>
          <w:rFonts w:ascii="Arial" w:cs="Arial" w:eastAsia="Arial" w:hAnsi="Arial"/>
          <w:sz w:val="21"/>
          <w:szCs w:val="21"/>
          <w:color w:val="auto"/>
        </w:rPr>
        <w:t>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74" w:lineRule="exact"/>
        <w:rPr>
          <w:sz w:val="20"/>
          <w:szCs w:val="20"/>
          <w:color w:val="auto"/>
        </w:rPr>
      </w:pPr>
    </w:p>
    <w:p>
      <w:pPr>
        <w:ind w:right="40" w:firstLine="757"/>
        <w:spacing w:after="0"/>
        <w:tabs>
          <w:tab w:leader="none" w:pos="1498"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6" w:lineRule="exact"/>
        <w:rPr>
          <w:rFonts w:ascii="Arial" w:cs="Arial" w:eastAsia="Arial" w:hAnsi="Arial"/>
          <w:sz w:val="22"/>
          <w:szCs w:val="22"/>
          <w:color w:val="auto"/>
        </w:rPr>
      </w:pPr>
    </w:p>
    <w:p>
      <w:pPr>
        <w:ind w:right="220" w:firstLine="757"/>
        <w:spacing w:after="0"/>
        <w:tabs>
          <w:tab w:leader="none" w:pos="1498"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The Grantee acknowledges that a waiver by the Company of breach of any provision of this Agreement shall not operate or be construed as a waiver of any other provision of this Agreement, or of any subsequent breach by the Grantee or any other Grantee.</w:t>
      </w:r>
    </w:p>
    <w:p>
      <w:pPr>
        <w:spacing w:after="0" w:line="186" w:lineRule="exact"/>
        <w:rPr>
          <w:rFonts w:ascii="Arial" w:cs="Arial" w:eastAsia="Arial" w:hAnsi="Arial"/>
          <w:sz w:val="22"/>
          <w:szCs w:val="22"/>
          <w:color w:val="auto"/>
        </w:rPr>
      </w:pPr>
    </w:p>
    <w:p>
      <w:pPr>
        <w:ind w:right="340" w:firstLine="757"/>
        <w:spacing w:after="0" w:line="287" w:lineRule="auto"/>
        <w:tabs>
          <w:tab w:leader="none" w:pos="1498"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42" w:lineRule="exact"/>
        <w:rPr>
          <w:rFonts w:ascii="Arial" w:cs="Arial" w:eastAsia="Arial" w:hAnsi="Arial"/>
          <w:sz w:val="19"/>
          <w:szCs w:val="19"/>
          <w:color w:val="auto"/>
        </w:rPr>
      </w:pPr>
    </w:p>
    <w:p>
      <w:pPr>
        <w:ind w:right="80" w:firstLine="757"/>
        <w:spacing w:after="0"/>
        <w:tabs>
          <w:tab w:leader="none" w:pos="1498"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86" w:lineRule="exact"/>
        <w:rPr>
          <w:rFonts w:ascii="Arial" w:cs="Arial" w:eastAsia="Arial" w:hAnsi="Arial"/>
          <w:sz w:val="22"/>
          <w:szCs w:val="22"/>
          <w:color w:val="auto"/>
        </w:rPr>
      </w:pPr>
    </w:p>
    <w:p>
      <w:pPr>
        <w:jc w:val="both"/>
        <w:ind w:firstLine="757"/>
        <w:spacing w:after="0" w:line="252" w:lineRule="auto"/>
        <w:tabs>
          <w:tab w:leader="none" w:pos="1498" w:val="left"/>
        </w:tabs>
        <w:numPr>
          <w:ilvl w:val="0"/>
          <w:numId w:val="162"/>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 of Documents</w:t>
      </w:r>
      <w:r>
        <w:rPr>
          <w:rFonts w:ascii="Arial" w:cs="Arial" w:eastAsia="Arial" w:hAnsi="Arial"/>
          <w:sz w:val="21"/>
          <w:szCs w:val="21"/>
          <w:color w:val="auto"/>
        </w:rPr>
        <w:t>. The Company may, in its sole discretion, decide to deliver any documents related to current or future participation in the Plan by electronic means. The Grantee hereby consents to receive such documents by electronic delivery and agree to participate in the Plan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30" w:name="page231"/>
    <w:bookmarkEnd w:id="230"/>
    <w:p>
      <w:pPr>
        <w:ind w:left="20"/>
        <w:spacing w:after="0"/>
        <w:rPr>
          <w:sz w:val="20"/>
          <w:szCs w:val="20"/>
          <w:color w:val="auto"/>
        </w:rPr>
      </w:pPr>
      <w:r>
        <w:rPr>
          <w:rFonts w:ascii="Arial" w:cs="Arial" w:eastAsia="Arial" w:hAnsi="Arial"/>
          <w:sz w:val="22"/>
          <w:szCs w:val="22"/>
          <w:b w:val="1"/>
          <w:bCs w:val="1"/>
          <w:color w:val="auto"/>
        </w:rPr>
        <w:t>Relay Therapeutics, Inc.</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-151765</wp:posOffset>
            </wp:positionV>
            <wp:extent cx="354901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308"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6985</wp:posOffset>
            </wp:positionV>
            <wp:extent cx="639508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6">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1"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04"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290195</wp:posOffset>
            </wp:positionV>
            <wp:extent cx="373761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7">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589915</wp:posOffset>
            </wp:positionV>
            <wp:extent cx="373761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8">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890270</wp:posOffset>
            </wp:positionV>
            <wp:extent cx="373761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9">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1400175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585" w:right="8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tcPr>
          <w:p>
            <w:pPr>
              <w:ind w:left="1440"/>
              <w:spacing w:after="0"/>
              <w:rPr>
                <w:sz w:val="20"/>
                <w:szCs w:val="20"/>
                <w:color w:val="auto"/>
              </w:rPr>
            </w:pPr>
            <w:r>
              <w:rPr>
                <w:rFonts w:ascii="Arial" w:cs="Arial" w:eastAsia="Arial" w:hAnsi="Arial"/>
                <w:sz w:val="18"/>
                <w:szCs w:val="18"/>
                <w:b w:val="1"/>
                <w:bCs w:val="1"/>
                <w:color w:val="auto"/>
              </w:rPr>
              <w:t>SUBSIDIARIES</w:t>
            </w:r>
          </w:p>
        </w:tc>
      </w:tr>
      <w:tr>
        <w:trPr>
          <w:trHeight w:val="823"/>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Subsidiary</w:t>
            </w:r>
          </w:p>
        </w:tc>
        <w:tc>
          <w:tcPr>
            <w:tcW w:w="7700" w:type="dxa"/>
            <w:vAlign w:val="bottom"/>
          </w:tcPr>
          <w:p>
            <w:pPr>
              <w:jc w:val="center"/>
              <w:ind w:left="2210"/>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405"/>
        </w:trPr>
        <w:tc>
          <w:tcPr>
            <w:tcW w:w="3540" w:type="dxa"/>
            <w:vAlign w:val="bottom"/>
          </w:tcPr>
          <w:p>
            <w:pPr>
              <w:ind w:left="20"/>
              <w:spacing w:after="0"/>
              <w:rPr>
                <w:sz w:val="20"/>
                <w:szCs w:val="20"/>
                <w:color w:val="auto"/>
              </w:rPr>
            </w:pPr>
            <w:r>
              <w:rPr>
                <w:rFonts w:ascii="Arial" w:cs="Arial" w:eastAsia="Arial" w:hAnsi="Arial"/>
                <w:sz w:val="18"/>
                <w:szCs w:val="18"/>
                <w:color w:val="auto"/>
              </w:rPr>
              <w:t>Relay Securities Corporation</w:t>
            </w:r>
          </w:p>
        </w:tc>
        <w:tc>
          <w:tcPr>
            <w:tcW w:w="7700" w:type="dxa"/>
            <w:vAlign w:val="bottom"/>
          </w:tcPr>
          <w:p>
            <w:pPr>
              <w:jc w:val="center"/>
              <w:ind w:left="2210"/>
              <w:spacing w:after="0"/>
              <w:rPr>
                <w:sz w:val="20"/>
                <w:szCs w:val="20"/>
                <w:color w:val="auto"/>
              </w:rPr>
            </w:pPr>
            <w:r>
              <w:rPr>
                <w:rFonts w:ascii="Arial" w:cs="Arial" w:eastAsia="Arial" w:hAnsi="Arial"/>
                <w:sz w:val="18"/>
                <w:szCs w:val="18"/>
                <w:color w:val="auto"/>
                <w:w w:val="86"/>
              </w:rPr>
              <w:t>Massachusetts</w:t>
            </w:r>
          </w:p>
        </w:tc>
      </w:tr>
      <w:tr>
        <w:trPr>
          <w:trHeight w:val="581"/>
        </w:trPr>
        <w:tc>
          <w:tcPr>
            <w:tcW w:w="3540" w:type="dxa"/>
            <w:vAlign w:val="bottom"/>
          </w:tcPr>
          <w:p>
            <w:pPr>
              <w:ind w:left="20"/>
              <w:spacing w:after="0"/>
              <w:rPr>
                <w:sz w:val="20"/>
                <w:szCs w:val="20"/>
                <w:color w:val="auto"/>
              </w:rPr>
            </w:pPr>
            <w:r>
              <w:rPr>
                <w:rFonts w:ascii="Arial" w:cs="Arial" w:eastAsia="Arial" w:hAnsi="Arial"/>
                <w:sz w:val="18"/>
                <w:szCs w:val="18"/>
                <w:color w:val="auto"/>
              </w:rPr>
              <w:t>Relay ML Discovery, LLC</w:t>
            </w:r>
          </w:p>
        </w:tc>
        <w:tc>
          <w:tcPr>
            <w:tcW w:w="7700" w:type="dxa"/>
            <w:vAlign w:val="bottom"/>
          </w:tcPr>
          <w:p>
            <w:pPr>
              <w:jc w:val="center"/>
              <w:ind w:left="2230"/>
              <w:spacing w:after="0"/>
              <w:rPr>
                <w:sz w:val="20"/>
                <w:szCs w:val="20"/>
                <w:color w:val="auto"/>
              </w:rPr>
            </w:pPr>
            <w:r>
              <w:rPr>
                <w:rFonts w:ascii="Arial" w:cs="Arial" w:eastAsia="Arial" w:hAnsi="Arial"/>
                <w:sz w:val="18"/>
                <w:szCs w:val="18"/>
                <w:color w:val="auto"/>
                <w:w w:val="92"/>
              </w:rPr>
              <w:t>Delaware</w:t>
            </w:r>
          </w:p>
        </w:tc>
      </w:tr>
      <w:tr>
        <w:trPr>
          <w:trHeight w:val="358"/>
        </w:trPr>
        <w:tc>
          <w:tcPr>
            <w:tcW w:w="354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20"/>
          <w:szCs w:val="20"/>
          <w:b w:val="1"/>
          <w:bCs w:val="1"/>
          <w:color w:val="auto"/>
        </w:rPr>
        <w:t>Exhibit 23.1</w:t>
      </w:r>
    </w:p>
    <w:p>
      <w:pPr>
        <w:spacing w:after="0" w:line="152" w:lineRule="exact"/>
        <w:rPr>
          <w:sz w:val="20"/>
          <w:szCs w:val="20"/>
          <w:color w:val="auto"/>
        </w:rPr>
      </w:pPr>
    </w:p>
    <w:p>
      <w:pPr>
        <w:ind w:right="2500" w:firstLine="2449"/>
        <w:spacing w:after="0" w:line="424"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2" w:lineRule="exact"/>
        <w:rPr>
          <w:sz w:val="20"/>
          <w:szCs w:val="20"/>
          <w:color w:val="auto"/>
        </w:rPr>
      </w:pPr>
    </w:p>
    <w:p>
      <w:pPr>
        <w:ind w:left="760" w:right="20" w:hanging="378"/>
        <w:spacing w:after="0" w:line="261" w:lineRule="auto"/>
        <w:tabs>
          <w:tab w:leader="none" w:pos="7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Registration Statement (Form S-8 No. 333-239912) pertaining to the 2016 Stock Option and Grant Plan, 2020 Stock Option and Incentive Plan, and 2020 Employee Stock Purchase Plan of Relay Therapeutics, Inc.,</w:t>
      </w:r>
    </w:p>
    <w:p>
      <w:pPr>
        <w:spacing w:after="0" w:line="116"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Registration Statement (Form S-8 No. 333-254704) pertaining to the 2020 Stock Option and Incentive Plan and 2020 Employee Stock Purchase Plan of Relay Therapeutics, Inc.,</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Registration Statement (Form S-1 No. 333-255583) of Relay Therapeutics, Inc., and</w:t>
      </w:r>
    </w:p>
    <w:p>
      <w:pPr>
        <w:spacing w:after="0" w:line="184" w:lineRule="exact"/>
        <w:rPr>
          <w:rFonts w:ascii="Arial" w:cs="Arial" w:eastAsia="Arial" w:hAnsi="Arial"/>
          <w:sz w:val="18"/>
          <w:szCs w:val="18"/>
          <w:color w:val="auto"/>
        </w:rPr>
      </w:pPr>
    </w:p>
    <w:p>
      <w:pPr>
        <w:ind w:left="800" w:hanging="418"/>
        <w:spacing w:after="0"/>
        <w:tabs>
          <w:tab w:leader="none" w:pos="8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Registration Statement (Form S-3ASR No. 333-258768) of Relay Therapeutics, Inc.;</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of our report dated February 24, 2022, with respect to the consolidated financial statements of Relay Therapeutics, Inc. and the effectiveness of internal control over financial reporting of Relay Therapeutics, Inc. included in this Annual Report (Form 10-K) of Relay Therapeutics, Inc. for the year ended December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PRINCIPAL EXECUTIVE OFFICER PURSUANT TO RULES 13a-14(a) OR 15d-14(a) UNDER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Sanjiv K. Patel, certify that:</w:t>
      </w:r>
    </w:p>
    <w:p>
      <w:pPr>
        <w:spacing w:after="0" w:line="212" w:lineRule="exact"/>
        <w:rPr>
          <w:sz w:val="20"/>
          <w:szCs w:val="20"/>
          <w:color w:val="auto"/>
        </w:rPr>
      </w:pPr>
    </w:p>
    <w:p>
      <w:pPr>
        <w:ind w:left="520" w:hanging="512"/>
        <w:spacing w:after="0"/>
        <w:tabs>
          <w:tab w:leader="none" w:pos="5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Relay Therapeutics,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4" w:name="page235"/>
    <w:bookmarkEnd w:id="234"/>
    <w:p>
      <w:pPr>
        <w:spacing w:after="0"/>
        <w:tabs>
          <w:tab w:leader="none" w:pos="5620" w:val="left"/>
          <w:tab w:leader="none" w:pos="8040" w:val="left"/>
        </w:tabs>
        <w:rPr>
          <w:sz w:val="20"/>
          <w:szCs w:val="20"/>
          <w:color w:val="auto"/>
        </w:rPr>
      </w:pPr>
      <w:r>
        <w:rPr>
          <w:rFonts w:ascii="Arial" w:cs="Arial" w:eastAsia="Arial" w:hAnsi="Arial"/>
          <w:sz w:val="18"/>
          <w:szCs w:val="18"/>
          <w:color w:val="auto"/>
        </w:rPr>
        <w:t>Date: February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Sanjiv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-635</wp:posOffset>
            </wp:positionV>
            <wp:extent cx="319722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ind w:left="8160"/>
        <w:spacing w:after="0" w:line="219" w:lineRule="auto"/>
        <w:rPr>
          <w:sz w:val="20"/>
          <w:szCs w:val="20"/>
          <w:color w:val="auto"/>
        </w:rPr>
      </w:pPr>
      <w:r>
        <w:rPr>
          <w:rFonts w:ascii="Arial" w:cs="Arial" w:eastAsia="Arial" w:hAnsi="Arial"/>
          <w:sz w:val="18"/>
          <w:szCs w:val="18"/>
          <w:color w:val="auto"/>
        </w:rPr>
        <w:t>Sanjiv K. Patel</w:t>
      </w:r>
    </w:p>
    <w:p>
      <w:pPr>
        <w:jc w:val="right"/>
        <w:ind w:right="39"/>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180340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0" w:right="1440"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PRINCIPAL FINANCIAL OFFICER PURSUANT TO RULES 13a-14(a) OR 15d-14(a) UNDER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Thomas Catinazzo, certify that:</w:t>
      </w:r>
    </w:p>
    <w:p>
      <w:pPr>
        <w:spacing w:after="0" w:line="212" w:lineRule="exact"/>
        <w:rPr>
          <w:sz w:val="20"/>
          <w:szCs w:val="20"/>
          <w:color w:val="auto"/>
        </w:rPr>
      </w:pPr>
    </w:p>
    <w:p>
      <w:pPr>
        <w:ind w:left="520" w:hanging="512"/>
        <w:spacing w:after="0"/>
        <w:tabs>
          <w:tab w:leader="none" w:pos="5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Relay Therapeutics,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6" w:name="page237"/>
    <w:bookmarkEnd w:id="236"/>
    <w:p>
      <w:pPr>
        <w:spacing w:after="0"/>
        <w:tabs>
          <w:tab w:leader="none" w:pos="5560" w:val="left"/>
          <w:tab w:leader="none" w:pos="7820" w:val="left"/>
        </w:tabs>
        <w:rPr>
          <w:sz w:val="20"/>
          <w:szCs w:val="20"/>
          <w:color w:val="auto"/>
        </w:rPr>
      </w:pPr>
      <w:r>
        <w:rPr>
          <w:rFonts w:ascii="Arial" w:cs="Arial" w:eastAsia="Arial" w:hAnsi="Arial"/>
          <w:sz w:val="18"/>
          <w:szCs w:val="18"/>
          <w:color w:val="auto"/>
        </w:rPr>
        <w:t>Date: February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Catinazzo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-635</wp:posOffset>
            </wp:positionV>
            <wp:extent cx="330898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7940"/>
        <w:spacing w:after="0" w:line="219" w:lineRule="auto"/>
        <w:rPr>
          <w:sz w:val="20"/>
          <w:szCs w:val="20"/>
          <w:color w:val="auto"/>
        </w:rPr>
      </w:pPr>
      <w:r>
        <w:rPr>
          <w:rFonts w:ascii="Arial" w:cs="Arial" w:eastAsia="Arial" w:hAnsi="Arial"/>
          <w:sz w:val="18"/>
          <w:szCs w:val="18"/>
          <w:color w:val="auto"/>
        </w:rPr>
        <w:t>Thomas Catinazzo</w:t>
      </w:r>
    </w:p>
    <w:p>
      <w:pPr>
        <w:ind w:left="7780"/>
        <w:spacing w:after="0" w:line="203" w:lineRule="auto"/>
        <w:rPr>
          <w:sz w:val="20"/>
          <w:szCs w:val="20"/>
          <w:color w:val="auto"/>
        </w:rPr>
      </w:pPr>
      <w:r>
        <w:rPr>
          <w:rFonts w:ascii="Arial" w:cs="Arial" w:eastAsia="Arial" w:hAnsi="Arial"/>
          <w:sz w:val="18"/>
          <w:szCs w:val="18"/>
          <w:color w:val="auto"/>
        </w:rPr>
        <w:t>Chief Financial Officer</w:t>
      </w:r>
    </w:p>
    <w:p>
      <w:pPr>
        <w:jc w:val="right"/>
        <w:ind w:right="299"/>
        <w:spacing w:after="0" w:line="204" w:lineRule="auto"/>
        <w:rPr>
          <w:sz w:val="20"/>
          <w:szCs w:val="20"/>
          <w:color w:val="auto"/>
        </w:rPr>
      </w:pPr>
      <w:r>
        <w:rPr>
          <w:rFonts w:ascii="Arial" w:cs="Arial" w:eastAsia="Arial" w:hAnsi="Arial"/>
          <w:sz w:val="18"/>
          <w:szCs w:val="18"/>
          <w:color w:val="auto"/>
        </w:rPr>
        <w:t>(Principal Accounting Officer and</w:t>
      </w:r>
    </w:p>
    <w:p>
      <w:pPr>
        <w:ind w:left="7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180340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0" w:right="1440"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1350, 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260" w:firstLine="509"/>
        <w:spacing w:after="0" w:line="248" w:lineRule="auto"/>
        <w:rPr>
          <w:sz w:val="20"/>
          <w:szCs w:val="20"/>
          <w:color w:val="auto"/>
        </w:rPr>
      </w:pPr>
      <w:r>
        <w:rPr>
          <w:rFonts w:ascii="Arial" w:cs="Arial" w:eastAsia="Arial" w:hAnsi="Arial"/>
          <w:sz w:val="18"/>
          <w:szCs w:val="18"/>
          <w:color w:val="auto"/>
        </w:rPr>
        <w:t>In connection with the Annual Report of Relay Therapeutics, Inc. (the “Company”) on Form 10-K for the year ended December 31, 2021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182" w:lineRule="exact"/>
        <w:rPr>
          <w:sz w:val="20"/>
          <w:szCs w:val="20"/>
          <w:color w:val="auto"/>
        </w:rPr>
      </w:pPr>
    </w:p>
    <w:p>
      <w:pPr>
        <w:ind w:left="1020" w:hanging="503"/>
        <w:spacing w:after="0"/>
        <w:tabs>
          <w:tab w:leader="none" w:pos="102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23" w:lineRule="exact"/>
        <w:rPr>
          <w:rFonts w:ascii="Arial" w:cs="Arial" w:eastAsia="Arial" w:hAnsi="Arial"/>
          <w:sz w:val="17"/>
          <w:szCs w:val="17"/>
          <w:color w:val="auto"/>
        </w:rPr>
      </w:pPr>
    </w:p>
    <w:p>
      <w:pPr>
        <w:ind w:left="1020" w:right="560" w:hanging="503"/>
        <w:spacing w:after="0" w:line="261" w:lineRule="auto"/>
        <w:tabs>
          <w:tab w:leader="none" w:pos="10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ind w:left="20"/>
              <w:spacing w:after="0"/>
              <w:rPr>
                <w:sz w:val="20"/>
                <w:szCs w:val="20"/>
                <w:color w:val="auto"/>
              </w:rPr>
            </w:pPr>
            <w:r>
              <w:rPr>
                <w:rFonts w:ascii="Arial" w:cs="Arial" w:eastAsia="Arial" w:hAnsi="Arial"/>
                <w:sz w:val="18"/>
                <w:szCs w:val="18"/>
                <w:color w:val="auto"/>
              </w:rPr>
              <w:t>Date: February 24, 2022</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Sanjiv K. Patel</w:t>
            </w:r>
          </w:p>
        </w:tc>
      </w:tr>
      <w:tr>
        <w:trPr>
          <w:trHeight w:val="155"/>
        </w:trPr>
        <w:tc>
          <w:tcPr>
            <w:tcW w:w="37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160" w:type="dxa"/>
            <w:vAlign w:val="bottom"/>
          </w:tcPr>
          <w:p>
            <w:pPr>
              <w:jc w:val="center"/>
              <w:spacing w:after="0" w:line="154" w:lineRule="exact"/>
              <w:rPr>
                <w:sz w:val="20"/>
                <w:szCs w:val="20"/>
                <w:color w:val="auto"/>
              </w:rPr>
            </w:pPr>
            <w:r>
              <w:rPr>
                <w:rFonts w:ascii="Arial" w:cs="Arial" w:eastAsia="Arial" w:hAnsi="Arial"/>
                <w:sz w:val="17"/>
                <w:szCs w:val="17"/>
                <w:color w:val="auto"/>
                <w:w w:val="97"/>
              </w:rPr>
              <w:t>Sanjiv K. Patel</w:t>
            </w:r>
          </w:p>
        </w:tc>
      </w:tr>
      <w:tr>
        <w:trPr>
          <w:trHeight w:val="176"/>
        </w:trPr>
        <w:tc>
          <w:tcPr>
            <w:tcW w:w="37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160" w:type="dxa"/>
            <w:vAlign w:val="bottom"/>
          </w:tcPr>
          <w:p>
            <w:pPr>
              <w:jc w:val="center"/>
              <w:spacing w:after="0" w:line="176" w:lineRule="exact"/>
              <w:rPr>
                <w:sz w:val="20"/>
                <w:szCs w:val="20"/>
                <w:color w:val="auto"/>
              </w:rPr>
            </w:pPr>
            <w:r>
              <w:rPr>
                <w:rFonts w:ascii="Arial" w:cs="Arial" w:eastAsia="Arial" w:hAnsi="Arial"/>
                <w:sz w:val="18"/>
                <w:szCs w:val="18"/>
                <w:color w:val="auto"/>
                <w:w w:val="92"/>
              </w:rPr>
              <w:t>President and Chief Executive Officer</w:t>
            </w:r>
          </w:p>
        </w:tc>
      </w:tr>
      <w:tr>
        <w:trPr>
          <w:trHeight w:val="230"/>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566"/>
        </w:trPr>
        <w:tc>
          <w:tcPr>
            <w:tcW w:w="3720" w:type="dxa"/>
            <w:vAlign w:val="bottom"/>
          </w:tcPr>
          <w:p>
            <w:pPr>
              <w:ind w:left="20"/>
              <w:spacing w:after="0"/>
              <w:rPr>
                <w:sz w:val="20"/>
                <w:szCs w:val="20"/>
                <w:color w:val="auto"/>
              </w:rPr>
            </w:pPr>
            <w:r>
              <w:rPr>
                <w:rFonts w:ascii="Arial" w:cs="Arial" w:eastAsia="Arial" w:hAnsi="Arial"/>
                <w:sz w:val="18"/>
                <w:szCs w:val="18"/>
                <w:color w:val="auto"/>
              </w:rPr>
              <w:t>Date: February 24, 2022</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Thomas Catinazzo</w:t>
            </w:r>
          </w:p>
        </w:tc>
      </w:tr>
      <w:tr>
        <w:trPr>
          <w:trHeight w:val="155"/>
        </w:trPr>
        <w:tc>
          <w:tcPr>
            <w:tcW w:w="37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160" w:type="dxa"/>
            <w:vAlign w:val="bottom"/>
          </w:tcPr>
          <w:p>
            <w:pPr>
              <w:jc w:val="center"/>
              <w:spacing w:after="0" w:line="154" w:lineRule="exact"/>
              <w:rPr>
                <w:sz w:val="20"/>
                <w:szCs w:val="20"/>
                <w:color w:val="auto"/>
              </w:rPr>
            </w:pPr>
            <w:r>
              <w:rPr>
                <w:rFonts w:ascii="Arial" w:cs="Arial" w:eastAsia="Arial" w:hAnsi="Arial"/>
                <w:sz w:val="17"/>
                <w:szCs w:val="17"/>
                <w:color w:val="auto"/>
                <w:w w:val="95"/>
              </w:rPr>
              <w:t>Thomas Catinazzo</w:t>
            </w:r>
          </w:p>
        </w:tc>
      </w:tr>
      <w:tr>
        <w:trPr>
          <w:trHeight w:val="176"/>
        </w:trPr>
        <w:tc>
          <w:tcPr>
            <w:tcW w:w="37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160" w:type="dxa"/>
            <w:vAlign w:val="bottom"/>
          </w:tcPr>
          <w:p>
            <w:pPr>
              <w:jc w:val="center"/>
              <w:spacing w:after="0" w:line="176" w:lineRule="exact"/>
              <w:rPr>
                <w:sz w:val="20"/>
                <w:szCs w:val="20"/>
                <w:color w:val="auto"/>
              </w:rPr>
            </w:pPr>
            <w:r>
              <w:rPr>
                <w:rFonts w:ascii="Arial" w:cs="Arial" w:eastAsia="Arial" w:hAnsi="Arial"/>
                <w:sz w:val="18"/>
                <w:szCs w:val="18"/>
                <w:color w:val="auto"/>
                <w:w w:val="94"/>
              </w:rPr>
              <w:t>Chief Financial Officer</w:t>
            </w:r>
          </w:p>
        </w:tc>
      </w:tr>
      <w:tr>
        <w:trPr>
          <w:trHeight w:val="176"/>
        </w:trPr>
        <w:tc>
          <w:tcPr>
            <w:tcW w:w="37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160" w:type="dxa"/>
            <w:vAlign w:val="bottom"/>
          </w:tcPr>
          <w:p>
            <w:pPr>
              <w:ind w:left="1320"/>
              <w:spacing w:after="0" w:line="176" w:lineRule="exact"/>
              <w:rPr>
                <w:sz w:val="20"/>
                <w:szCs w:val="20"/>
                <w:color w:val="auto"/>
              </w:rPr>
            </w:pPr>
            <w:r>
              <w:rPr>
                <w:rFonts w:ascii="Arial" w:cs="Arial" w:eastAsia="Arial" w:hAnsi="Arial"/>
                <w:sz w:val="18"/>
                <w:szCs w:val="18"/>
                <w:color w:val="auto"/>
              </w:rPr>
              <w:t>(Principal Accounting Officer and</w:t>
            </w:r>
          </w:p>
        </w:tc>
      </w:tr>
      <w:tr>
        <w:trPr>
          <w:trHeight w:val="230"/>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303"/>
        </w:trPr>
        <w:tc>
          <w:tcPr>
            <w:tcW w:w="37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8" w:name="page239"/>
    <w:bookmarkEnd w:id="2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1."/>
      <w:numFmt w:val="decimal"/>
      <w:start w:val="1"/>
    </w:lvl>
    <w:lvl w:ilvl="1">
      <w:lvlJc w:val="left"/>
      <w:lvlText w:val="•"/>
      <w:numFmt w:val="bullet"/>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1."/>
      <w:numFmt w:val="decimal"/>
      <w:start w:val="1"/>
    </w:lvl>
  </w:abstractNum>
  <w:abstractNum w:abstractNumId="9">
    <w:nsid w:val="1716703B"/>
    <w:multiLevelType w:val="hybridMultilevel"/>
    <w:lvl w:ilvl="0">
      <w:lvlJc w:val="left"/>
      <w:lvlText w:val="%1."/>
      <w:numFmt w:val="decimal"/>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1."/>
      <w:numFmt w:val="decimal"/>
      <w:start w:val="1"/>
    </w:lvl>
  </w:abstractNum>
  <w:abstractNum w:abstractNumId="12">
    <w:nsid w:val="74DE0EE3"/>
    <w:multiLevelType w:val="hybridMultilevel"/>
    <w:lvl w:ilvl="0">
      <w:lvlJc w:val="left"/>
      <w:lvlText w:val="%1."/>
      <w:numFmt w:val="decimal"/>
      <w:start w:val="1"/>
    </w:lvl>
  </w:abstractNum>
  <w:abstractNum w:abstractNumId="13">
    <w:nsid w:val="68EBC550"/>
    <w:multiLevelType w:val="hybridMultilevel"/>
    <w:lvl w:ilvl="0">
      <w:lvlJc w:val="left"/>
      <w:lvlText w:val="%1."/>
      <w:numFmt w:val="decimal"/>
      <w:start w:val="1"/>
    </w:lvl>
  </w:abstractNum>
  <w:abstractNum w:abstractNumId="14">
    <w:nsid w:val="2DF6D648"/>
    <w:multiLevelType w:val="hybridMultilevel"/>
    <w:lvl w:ilvl="0">
      <w:lvlJc w:val="left"/>
      <w:lvlText w:val="(%1)"/>
      <w:numFmt w:val="decimal"/>
      <w:start w:val="1"/>
    </w:lvl>
  </w:abstractNum>
  <w:abstractNum w:abstractNumId="15">
    <w:nsid w:val="46B7D447"/>
    <w:multiLevelType w:val="hybridMultilevel"/>
    <w:lvl w:ilvl="0">
      <w:lvlJc w:val="left"/>
      <w:lvlText w:val="%1)"/>
      <w:numFmt w:val="lowerLetter"/>
      <w:start w:val="1"/>
    </w:lvl>
  </w:abstractNum>
  <w:abstractNum w:abstractNumId="16">
    <w:nsid w:val="4A2AC315"/>
    <w:multiLevelType w:val="hybridMultilevel"/>
    <w:lvl w:ilvl="0">
      <w:lvlJc w:val="left"/>
      <w:lvlText w:val="•"/>
      <w:numFmt w:val="bullet"/>
      <w:start w:val="1"/>
    </w:lvl>
  </w:abstractNum>
  <w:abstractNum w:abstractNumId="17">
    <w:nsid w:val="39EE015C"/>
    <w:multiLevelType w:val="hybridMultilevel"/>
    <w:lvl w:ilvl="0">
      <w:lvlJc w:val="left"/>
      <w:lvlText w:val="•"/>
      <w:numFmt w:val="bullet"/>
      <w:start w:val="1"/>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
      <w:numFmt w:val="bullet"/>
      <w:start w:val="1"/>
    </w:lvl>
  </w:abstractNum>
  <w:abstractNum w:abstractNumId="20">
    <w:nsid w:val="43F18422"/>
    <w:multiLevelType w:val="hybridMultilevel"/>
    <w:lvl w:ilvl="0">
      <w:lvlJc w:val="left"/>
      <w:lvlText w:val="•"/>
      <w:numFmt w:val="bullet"/>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
      <w:numFmt w:val="bullet"/>
      <w:start w:val="1"/>
    </w:lvl>
  </w:abstractNum>
  <w:abstractNum w:abstractNumId="24">
    <w:nsid w:val="49DA307D"/>
    <w:multiLevelType w:val="hybridMultilevel"/>
    <w:lvl w:ilvl="0">
      <w:lvlJc w:val="left"/>
      <w:lvlText w:val="•"/>
      <w:numFmt w:val="bullet"/>
      <w:start w:val="1"/>
    </w:lvl>
  </w:abstractNum>
  <w:abstractNum w:abstractNumId="25">
    <w:nsid w:val="7055A5F5"/>
    <w:multiLevelType w:val="hybridMultilevel"/>
    <w:lvl w:ilvl="0">
      <w:lvlJc w:val="left"/>
      <w:lvlText w:val="(%1)"/>
      <w:numFmt w:val="decimal"/>
      <w:start w:val="617"/>
    </w:lvl>
  </w:abstractNum>
  <w:abstractNum w:abstractNumId="26">
    <w:nsid w:val="5FB8370B"/>
    <w:multiLevelType w:val="hybridMultilevel"/>
    <w:lvl w:ilvl="0">
      <w:lvlJc w:val="left"/>
      <w:lvlText w:val="•"/>
      <w:numFmt w:val="bullet"/>
      <w:start w:val="1"/>
    </w:lvl>
  </w:abstractNum>
  <w:abstractNum w:abstractNumId="27">
    <w:nsid w:val="50801EE1"/>
    <w:multiLevelType w:val="hybridMultilevel"/>
    <w:lvl w:ilvl="0">
      <w:lvlJc w:val="left"/>
      <w:lvlText w:val="•"/>
      <w:numFmt w:val="bullet"/>
      <w:start w:val="1"/>
    </w:lvl>
  </w:abstractNum>
  <w:abstractNum w:abstractNumId="28">
    <w:nsid w:val="488AC1A"/>
    <w:multiLevelType w:val="hybridMultilevel"/>
    <w:lvl w:ilvl="0">
      <w:lvlJc w:val="left"/>
      <w:lvlText w:val="•"/>
      <w:numFmt w:val="bullet"/>
      <w:start w:val="1"/>
    </w:lvl>
  </w:abstractNum>
  <w:abstractNum w:abstractNumId="29">
    <w:nsid w:val="5FB8011C"/>
    <w:multiLevelType w:val="hybridMultilevel"/>
    <w:lvl w:ilvl="0">
      <w:lvlJc w:val="left"/>
      <w:lvlText w:val="•"/>
      <w:numFmt w:val="bullet"/>
      <w:start w:val="1"/>
    </w:lvl>
  </w:abstractNum>
  <w:abstractNum w:abstractNumId="30">
    <w:nsid w:val="6AA78F7F"/>
    <w:multiLevelType w:val="hybridMultilevel"/>
    <w:lvl w:ilvl="0">
      <w:lvlJc w:val="left"/>
      <w:lvlText w:val="•"/>
      <w:numFmt w:val="bullet"/>
      <w:start w:val="1"/>
    </w:lvl>
  </w:abstractNum>
  <w:abstractNum w:abstractNumId="31">
    <w:nsid w:val="7672BD23"/>
    <w:multiLevelType w:val="hybridMultilevel"/>
    <w:lvl w:ilvl="0">
      <w:lvlJc w:val="left"/>
      <w:lvlText w:val="•"/>
      <w:numFmt w:val="bullet"/>
      <w:start w:val="1"/>
    </w:lvl>
  </w:abstractNum>
  <w:abstractNum w:abstractNumId="32">
    <w:nsid w:val="6FC75AF8"/>
    <w:multiLevelType w:val="hybridMultilevel"/>
    <w:lvl w:ilvl="0">
      <w:lvlJc w:val="left"/>
      <w:lvlText w:val="•"/>
      <w:numFmt w:val="bullet"/>
      <w:start w:val="1"/>
    </w:lvl>
  </w:abstractNum>
  <w:abstractNum w:abstractNumId="33">
    <w:nsid w:val="6A5F7029"/>
    <w:multiLevelType w:val="hybridMultilevel"/>
    <w:lvl w:ilvl="0">
      <w:lvlJc w:val="left"/>
      <w:lvlText w:val="•"/>
      <w:numFmt w:val="bullet"/>
      <w:start w:val="1"/>
    </w:lvl>
  </w:abstractNum>
  <w:abstractNum w:abstractNumId="34">
    <w:nsid w:val="7D5E18F8"/>
    <w:multiLevelType w:val="hybridMultilevel"/>
    <w:lvl w:ilvl="0">
      <w:lvlJc w:val="left"/>
      <w:lvlText w:val="•"/>
      <w:numFmt w:val="bullet"/>
      <w:start w:val="1"/>
    </w:lvl>
  </w:abstractNum>
  <w:abstractNum w:abstractNumId="35">
    <w:nsid w:val="5F3534A4"/>
    <w:multiLevelType w:val="hybridMultilevel"/>
    <w:lvl w:ilvl="0">
      <w:lvlJc w:val="left"/>
      <w:lvlText w:val="•"/>
      <w:numFmt w:val="bullet"/>
      <w:start w:val="1"/>
    </w:lvl>
  </w:abstractNum>
  <w:abstractNum w:abstractNumId="36">
    <w:nsid w:val="73A1821B"/>
    <w:multiLevelType w:val="hybridMultilevel"/>
    <w:lvl w:ilvl="0">
      <w:lvlJc w:val="left"/>
      <w:lvlText w:val="•"/>
      <w:numFmt w:val="bullet"/>
      <w:start w:val="1"/>
    </w:lvl>
  </w:abstractNum>
  <w:abstractNum w:abstractNumId="37">
    <w:nsid w:val="7DE67713"/>
    <w:multiLevelType w:val="hybridMultilevel"/>
    <w:lvl w:ilvl="0">
      <w:lvlJc w:val="left"/>
      <w:lvlText w:val="•"/>
      <w:numFmt w:val="bullet"/>
      <w:start w:val="1"/>
    </w:lvl>
  </w:abstractNum>
  <w:abstractNum w:abstractNumId="38">
    <w:nsid w:val="555C55B5"/>
    <w:multiLevelType w:val="hybridMultilevel"/>
    <w:lvl w:ilvl="0">
      <w:lvlJc w:val="left"/>
      <w:lvlText w:val="•"/>
      <w:numFmt w:val="bullet"/>
      <w:start w:val="1"/>
    </w:lvl>
  </w:abstractNum>
  <w:abstractNum w:abstractNumId="39">
    <w:nsid w:val="3FA62ACA"/>
    <w:multiLevelType w:val="hybridMultilevel"/>
    <w:lvl w:ilvl="0">
      <w:lvlJc w:val="left"/>
      <w:lvlText w:val="•"/>
      <w:numFmt w:val="bullet"/>
      <w:start w:val="1"/>
    </w:lvl>
  </w:abstractNum>
  <w:abstractNum w:abstractNumId="40">
    <w:nsid w:val="14FCE74E"/>
    <w:multiLevelType w:val="hybridMultilevel"/>
    <w:lvl w:ilvl="0">
      <w:lvlJc w:val="left"/>
      <w:lvlText w:val="•"/>
      <w:numFmt w:val="bullet"/>
      <w:start w:val="1"/>
    </w:lvl>
  </w:abstractNum>
  <w:abstractNum w:abstractNumId="41">
    <w:nsid w:val="6A3DD3E8"/>
    <w:multiLevelType w:val="hybridMultilevel"/>
    <w:lvl w:ilvl="0">
      <w:lvlJc w:val="left"/>
      <w:lvlText w:val="•"/>
      <w:numFmt w:val="bullet"/>
      <w:start w:val="1"/>
    </w:lvl>
  </w:abstractNum>
  <w:abstractNum w:abstractNumId="42">
    <w:nsid w:val="71C91298"/>
    <w:multiLevelType w:val="hybridMultilevel"/>
    <w:lvl w:ilvl="0">
      <w:lvlJc w:val="left"/>
      <w:lvlText w:val="•"/>
      <w:numFmt w:val="bullet"/>
      <w:start w:val="1"/>
    </w:lvl>
  </w:abstractNum>
  <w:abstractNum w:abstractNumId="43">
    <w:nsid w:val="9DAF632"/>
    <w:multiLevelType w:val="hybridMultilevel"/>
    <w:lvl w:ilvl="0">
      <w:lvlJc w:val="left"/>
      <w:lvlText w:val="•"/>
      <w:numFmt w:val="bullet"/>
      <w:start w:val="1"/>
    </w:lvl>
  </w:abstractNum>
  <w:abstractNum w:abstractNumId="44">
    <w:nsid w:val="53299938"/>
    <w:multiLevelType w:val="hybridMultilevel"/>
    <w:lvl w:ilvl="0">
      <w:lvlJc w:val="left"/>
      <w:lvlText w:val="•"/>
      <w:numFmt w:val="bullet"/>
      <w:start w:val="1"/>
    </w:lvl>
  </w:abstractNum>
  <w:abstractNum w:abstractNumId="45">
    <w:nsid w:val="1FBFE8E0"/>
    <w:multiLevelType w:val="hybridMultilevel"/>
    <w:lvl w:ilvl="0">
      <w:lvlJc w:val="left"/>
      <w:lvlText w:val="•"/>
      <w:numFmt w:val="bullet"/>
      <w:start w:val="1"/>
    </w:lvl>
  </w:abstractNum>
  <w:abstractNum w:abstractNumId="46">
    <w:nsid w:val="5092CA79"/>
    <w:multiLevelType w:val="hybridMultilevel"/>
    <w:lvl w:ilvl="0">
      <w:lvlJc w:val="left"/>
      <w:lvlText w:val="•"/>
      <w:numFmt w:val="bullet"/>
      <w:start w:val="1"/>
    </w:lvl>
  </w:abstractNum>
  <w:abstractNum w:abstractNumId="47">
    <w:nsid w:val="1D545C4D"/>
    <w:multiLevelType w:val="hybridMultilevel"/>
    <w:lvl w:ilvl="0">
      <w:lvlJc w:val="left"/>
      <w:lvlText w:val="•"/>
      <w:numFmt w:val="bullet"/>
      <w:start w:val="1"/>
    </w:lvl>
  </w:abstractNum>
  <w:abstractNum w:abstractNumId="48">
    <w:nsid w:val="59ADEA3D"/>
    <w:multiLevelType w:val="hybridMultilevel"/>
    <w:lvl w:ilvl="0">
      <w:lvlJc w:val="left"/>
      <w:lvlText w:val="•"/>
      <w:numFmt w:val="bullet"/>
      <w:start w:val="1"/>
    </w:lvl>
  </w:abstractNum>
  <w:abstractNum w:abstractNumId="49">
    <w:nsid w:val="288F1A34"/>
    <w:multiLevelType w:val="hybridMultilevel"/>
    <w:lvl w:ilvl="0">
      <w:lvlJc w:val="left"/>
      <w:lvlText w:val="•"/>
      <w:numFmt w:val="bullet"/>
      <w:start w:val="1"/>
    </w:lvl>
  </w:abstractNum>
  <w:abstractNum w:abstractNumId="50">
    <w:nsid w:val="2A155DBC"/>
    <w:multiLevelType w:val="hybridMultilevel"/>
    <w:lvl w:ilvl="0">
      <w:lvlJc w:val="left"/>
      <w:lvlText w:val="•"/>
      <w:numFmt w:val="bullet"/>
      <w:start w:val="1"/>
    </w:lvl>
  </w:abstractNum>
  <w:abstractNum w:abstractNumId="51">
    <w:nsid w:val="1D9F6E5F"/>
    <w:multiLevelType w:val="hybridMultilevel"/>
    <w:lvl w:ilvl="0">
      <w:lvlJc w:val="left"/>
      <w:lvlText w:val="•"/>
      <w:numFmt w:val="bullet"/>
      <w:start w:val="1"/>
    </w:lvl>
  </w:abstractNum>
  <w:abstractNum w:abstractNumId="52">
    <w:nsid w:val="97E1B4E"/>
    <w:multiLevelType w:val="hybridMultilevel"/>
    <w:lvl w:ilvl="0">
      <w:lvlJc w:val="left"/>
      <w:lvlText w:val="•"/>
      <w:numFmt w:val="bullet"/>
      <w:start w:val="1"/>
    </w:lvl>
  </w:abstractNum>
  <w:abstractNum w:abstractNumId="53">
    <w:nsid w:val="51088277"/>
    <w:multiLevelType w:val="hybridMultilevel"/>
    <w:lvl w:ilvl="0">
      <w:lvlJc w:val="left"/>
      <w:lvlText w:val="•"/>
      <w:numFmt w:val="bullet"/>
      <w:start w:val="1"/>
    </w:lvl>
  </w:abstractNum>
  <w:abstractNum w:abstractNumId="54">
    <w:nsid w:val="1CA0C5FA"/>
    <w:multiLevelType w:val="hybridMultilevel"/>
    <w:lvl w:ilvl="0">
      <w:lvlJc w:val="left"/>
      <w:lvlText w:val="•"/>
      <w:numFmt w:val="bullet"/>
      <w:start w:val="1"/>
    </w:lvl>
  </w:abstractNum>
  <w:abstractNum w:abstractNumId="55">
    <w:nsid w:val="53584BCB"/>
    <w:multiLevelType w:val="hybridMultilevel"/>
    <w:lvl w:ilvl="0">
      <w:lvlJc w:val="left"/>
      <w:lvlText w:val="•"/>
      <w:numFmt w:val="bullet"/>
      <w:start w:val="1"/>
    </w:lvl>
  </w:abstractNum>
  <w:abstractNum w:abstractNumId="56">
    <w:nsid w:val="415E286C"/>
    <w:multiLevelType w:val="hybridMultilevel"/>
    <w:lvl w:ilvl="0">
      <w:lvlJc w:val="left"/>
      <w:lvlText w:val="•"/>
      <w:numFmt w:val="bullet"/>
      <w:start w:val="1"/>
    </w:lvl>
  </w:abstractNum>
  <w:abstractNum w:abstractNumId="57">
    <w:nsid w:val="7C58FD05"/>
    <w:multiLevelType w:val="hybridMultilevel"/>
    <w:lvl w:ilvl="0">
      <w:lvlJc w:val="left"/>
      <w:lvlText w:val="•"/>
      <w:numFmt w:val="bullet"/>
      <w:start w:val="1"/>
    </w:lvl>
  </w:abstractNum>
  <w:abstractNum w:abstractNumId="58">
    <w:nsid w:val="23D86AAC"/>
    <w:multiLevelType w:val="hybridMultilevel"/>
    <w:lvl w:ilvl="0">
      <w:lvlJc w:val="left"/>
      <w:lvlText w:val="•"/>
      <w:numFmt w:val="bullet"/>
      <w:start w:val="1"/>
    </w:lvl>
  </w:abstractNum>
  <w:abstractNum w:abstractNumId="59">
    <w:nsid w:val="45E6D486"/>
    <w:multiLevelType w:val="hybridMultilevel"/>
    <w:lvl w:ilvl="0">
      <w:lvlJc w:val="left"/>
      <w:lvlText w:val="•"/>
      <w:numFmt w:val="bullet"/>
      <w:start w:val="1"/>
    </w:lvl>
  </w:abstractNum>
  <w:abstractNum w:abstractNumId="60">
    <w:nsid w:val="5C10FE21"/>
    <w:multiLevelType w:val="hybridMultilevel"/>
    <w:lvl w:ilvl="0">
      <w:lvlJc w:val="left"/>
      <w:lvlText w:val="•"/>
      <w:numFmt w:val="bullet"/>
      <w:start w:val="1"/>
    </w:lvl>
  </w:abstractNum>
  <w:abstractNum w:abstractNumId="61">
    <w:nsid w:val="E7FFA2B"/>
    <w:multiLevelType w:val="hybridMultilevel"/>
    <w:lvl w:ilvl="0">
      <w:lvlJc w:val="left"/>
      <w:lvlText w:val="•"/>
      <w:numFmt w:val="bullet"/>
      <w:start w:val="1"/>
    </w:lvl>
  </w:abstractNum>
  <w:abstractNum w:abstractNumId="62">
    <w:nsid w:val="3C5991AA"/>
    <w:multiLevelType w:val="hybridMultilevel"/>
    <w:lvl w:ilvl="0">
      <w:lvlJc w:val="left"/>
      <w:lvlText w:val="•"/>
      <w:numFmt w:val="bullet"/>
      <w:start w:val="1"/>
    </w:lvl>
  </w:abstractNum>
  <w:abstractNum w:abstractNumId="63">
    <w:nsid w:val="4BD8591A"/>
    <w:multiLevelType w:val="hybridMultilevel"/>
    <w:lvl w:ilvl="0">
      <w:lvlJc w:val="left"/>
      <w:lvlText w:val="•"/>
      <w:numFmt w:val="bullet"/>
      <w:start w:val="1"/>
    </w:lvl>
  </w:abstractNum>
  <w:abstractNum w:abstractNumId="64">
    <w:nsid w:val="78DF6A55"/>
    <w:multiLevelType w:val="hybridMultilevel"/>
    <w:lvl w:ilvl="0">
      <w:lvlJc w:val="left"/>
      <w:lvlText w:val="•"/>
      <w:numFmt w:val="bullet"/>
      <w:start w:val="1"/>
    </w:lvl>
  </w:abstractNum>
  <w:abstractNum w:abstractNumId="65">
    <w:nsid w:val="39B7AAA2"/>
    <w:multiLevelType w:val="hybridMultilevel"/>
    <w:lvl w:ilvl="0">
      <w:lvlJc w:val="left"/>
      <w:lvlText w:val="•"/>
      <w:numFmt w:val="bullet"/>
      <w:start w:val="1"/>
    </w:lvl>
  </w:abstractNum>
  <w:abstractNum w:abstractNumId="66">
    <w:nsid w:val="2B0D8DBE"/>
    <w:multiLevelType w:val="hybridMultilevel"/>
    <w:lvl w:ilvl="0">
      <w:lvlJc w:val="left"/>
      <w:lvlText w:val="•"/>
      <w:numFmt w:val="bullet"/>
      <w:start w:val="1"/>
    </w:lvl>
  </w:abstractNum>
  <w:abstractNum w:abstractNumId="67">
    <w:nsid w:val="6C80EC70"/>
    <w:multiLevelType w:val="hybridMultilevel"/>
    <w:lvl w:ilvl="0">
      <w:lvlJc w:val="left"/>
      <w:lvlText w:val="%1."/>
      <w:numFmt w:val="decimal"/>
      <w:start w:val="606"/>
    </w:lvl>
  </w:abstractNum>
  <w:abstractNum w:abstractNumId="68">
    <w:nsid w:val="379E21B5"/>
    <w:multiLevelType w:val="hybridMultilevel"/>
    <w:lvl w:ilvl="0">
      <w:lvlJc w:val="left"/>
      <w:lvlText w:val="•"/>
      <w:numFmt w:val="bullet"/>
      <w:start w:val="1"/>
    </w:lvl>
  </w:abstractNum>
  <w:abstractNum w:abstractNumId="69">
    <w:nsid w:val="69E373"/>
    <w:multiLevelType w:val="hybridMultilevel"/>
    <w:lvl w:ilvl="0">
      <w:lvlJc w:val="left"/>
      <w:lvlText w:val="•"/>
      <w:numFmt w:val="bullet"/>
      <w:start w:val="1"/>
    </w:lvl>
  </w:abstractNum>
  <w:abstractNum w:abstractNumId="70">
    <w:nsid w:val="2C27173B"/>
    <w:multiLevelType w:val="hybridMultilevel"/>
    <w:lvl w:ilvl="0">
      <w:lvlJc w:val="left"/>
      <w:lvlText w:val="•"/>
      <w:numFmt w:val="bullet"/>
      <w:start w:val="1"/>
    </w:lvl>
  </w:abstractNum>
  <w:abstractNum w:abstractNumId="71">
    <w:nsid w:val="4C9B0904"/>
    <w:multiLevelType w:val="hybridMultilevel"/>
    <w:lvl w:ilvl="0">
      <w:lvlJc w:val="left"/>
      <w:lvlText w:val="(%1)"/>
      <w:numFmt w:val="decimal"/>
      <w:start w:val="1"/>
    </w:lvl>
  </w:abstractNum>
  <w:abstractNum w:abstractNumId="72">
    <w:nsid w:val="6AA7B75C"/>
    <w:multiLevelType w:val="hybridMultilevel"/>
    <w:lvl w:ilvl="0">
      <w:lvlJc w:val="left"/>
      <w:lvlText w:val="%1."/>
      <w:numFmt w:val="decimal"/>
      <w:start w:val="2"/>
    </w:lvl>
  </w:abstractNum>
  <w:abstractNum w:abstractNumId="73">
    <w:nsid w:val="1DF029D3"/>
    <w:multiLevelType w:val="hybridMultilevel"/>
    <w:lvl w:ilvl="0">
      <w:lvlJc w:val="left"/>
      <w:lvlText w:val="•"/>
      <w:numFmt w:val="bullet"/>
      <w:start w:val="1"/>
    </w:lvl>
  </w:abstractNum>
  <w:abstractNum w:abstractNumId="74">
    <w:nsid w:val="5675FF36"/>
    <w:multiLevelType w:val="hybridMultilevel"/>
    <w:lvl w:ilvl="0">
      <w:lvlJc w:val="left"/>
      <w:lvlText w:val="(%1)"/>
      <w:numFmt w:val="lowerRoman"/>
      <w:start w:val="3"/>
    </w:lvl>
  </w:abstractNum>
  <w:abstractNum w:abstractNumId="75">
    <w:nsid w:val="3DD15094"/>
    <w:multiLevelType w:val="hybridMultilevel"/>
    <w:lvl w:ilvl="0">
      <w:lvlJc w:val="left"/>
      <w:lvlText w:val="%1."/>
      <w:numFmt w:val="decimal"/>
      <w:start w:val="6"/>
    </w:lvl>
  </w:abstractNum>
  <w:abstractNum w:abstractNumId="76">
    <w:nsid w:val="3DB012B3"/>
    <w:multiLevelType w:val="hybridMultilevel"/>
    <w:lvl w:ilvl="0">
      <w:lvlJc w:val="left"/>
      <w:lvlText w:val="•"/>
      <w:numFmt w:val="bullet"/>
      <w:start w:val="1"/>
    </w:lvl>
  </w:abstractNum>
  <w:abstractNum w:abstractNumId="77">
    <w:nsid w:val="2708C9AF"/>
    <w:multiLevelType w:val="hybridMultilevel"/>
    <w:lvl w:ilvl="0">
      <w:lvlJc w:val="left"/>
      <w:lvlText w:val="(%1)"/>
      <w:numFmt w:val="lowerRoman"/>
      <w:start w:val="2"/>
    </w:lvl>
  </w:abstractNum>
  <w:abstractNum w:abstractNumId="78">
    <w:nsid w:val="5B25ACE2"/>
    <w:multiLevelType w:val="hybridMultilevel"/>
    <w:lvl w:ilvl="0">
      <w:lvlJc w:val="left"/>
      <w:lvlText w:val="•"/>
      <w:numFmt w:val="bullet"/>
      <w:start w:val="1"/>
    </w:lvl>
  </w:abstractNum>
  <w:abstractNum w:abstractNumId="79">
    <w:nsid w:val="175DFCF0"/>
    <w:multiLevelType w:val="hybridMultilevel"/>
    <w:lvl w:ilvl="0">
      <w:lvlJc w:val="left"/>
      <w:lvlText w:val="•"/>
      <w:numFmt w:val="bullet"/>
      <w:start w:val="1"/>
    </w:lvl>
  </w:abstractNum>
  <w:abstractNum w:abstractNumId="80">
    <w:nsid w:val="4F97E3E4"/>
    <w:multiLevelType w:val="hybridMultilevel"/>
    <w:lvl w:ilvl="0">
      <w:lvlJc w:val="left"/>
      <w:lvlText w:val="%"/>
      <w:numFmt w:val="bullet"/>
      <w:start w:val="1"/>
    </w:lvl>
  </w:abstractNum>
  <w:abstractNum w:abstractNumId="81">
    <w:nsid w:val="53B0A9E"/>
    <w:multiLevelType w:val="hybridMultilevel"/>
    <w:lvl w:ilvl="0">
      <w:lvlJc w:val="left"/>
      <w:lvlText w:val="."/>
      <w:numFmt w:val="bullet"/>
      <w:start w:val="1"/>
    </w:lvl>
  </w:abstractNum>
  <w:abstractNum w:abstractNumId="82">
    <w:nsid w:val="34FD6B4F"/>
    <w:multiLevelType w:val="hybridMultilevel"/>
    <w:lvl w:ilvl="0">
      <w:lvlJc w:val="left"/>
      <w:lvlText w:val="%1."/>
      <w:numFmt w:val="decimal"/>
      <w:start w:val="13"/>
    </w:lvl>
  </w:abstractNum>
  <w:abstractNum w:abstractNumId="83">
    <w:nsid w:val="5915FF32"/>
    <w:multiLevelType w:val="hybridMultilevel"/>
    <w:lvl w:ilvl="0">
      <w:lvlJc w:val="left"/>
      <w:lvlText w:val=","/>
      <w:numFmt w:val="bullet"/>
      <w:start w:val="1"/>
    </w:lvl>
  </w:abstractNum>
  <w:abstractNum w:abstractNumId="84">
    <w:nsid w:val="56438D15"/>
    <w:multiLevelType w:val="hybridMultilevel"/>
    <w:lvl w:ilvl="0">
      <w:lvlJc w:val="left"/>
      <w:lvlText w:val="."/>
      <w:numFmt w:val="bullet"/>
      <w:start w:val="1"/>
    </w:lvl>
  </w:abstractNum>
  <w:abstractNum w:abstractNumId="85">
    <w:nsid w:val="519E3149"/>
    <w:multiLevelType w:val="hybridMultilevel"/>
    <w:lvl w:ilvl="0">
      <w:lvlJc w:val="left"/>
      <w:lvlText w:val="*"/>
      <w:numFmt w:val="bullet"/>
      <w:start w:val="1"/>
    </w:lvl>
    <w:lvl w:ilvl="1">
      <w:lvlJc w:val="left"/>
      <w:lvlText w:val="%2"/>
      <w:numFmt w:val="decimal"/>
      <w:start w:val="104"/>
    </w:lvl>
  </w:abstractNum>
  <w:abstractNum w:abstractNumId="86">
    <w:nsid w:val="2C6E4AFD"/>
    <w:multiLevelType w:val="hybridMultilevel"/>
    <w:lvl w:ilvl="0">
      <w:lvlJc w:val="left"/>
      <w:lvlText w:val="**"/>
      <w:numFmt w:val="bullet"/>
      <w:start w:val="1"/>
    </w:lvl>
  </w:abstractNum>
  <w:abstractNum w:abstractNumId="87">
    <w:nsid w:val="17A1B582"/>
    <w:multiLevelType w:val="hybridMultilevel"/>
    <w:lvl w:ilvl="0">
      <w:lvlJc w:val="left"/>
      <w:lvlText w:val="(%1)"/>
      <w:numFmt w:val="lowerRoman"/>
      <w:start w:val="4"/>
    </w:lvl>
  </w:abstractNum>
  <w:abstractNum w:abstractNumId="88">
    <w:nsid w:val="4DF72E4E"/>
    <w:multiLevelType w:val="hybridMultilevel"/>
    <w:lvl w:ilvl="0">
      <w:lvlJc w:val="left"/>
      <w:lvlText w:val="(%1)"/>
      <w:numFmt w:val="lowerLetter"/>
      <w:start w:val="1"/>
    </w:lvl>
  </w:abstractNum>
  <w:abstractNum w:abstractNumId="89">
    <w:nsid w:val="5046B5A9"/>
    <w:multiLevelType w:val="hybridMultilevel"/>
    <w:lvl w:ilvl="0">
      <w:lvlJc w:val="left"/>
      <w:lvlText w:val="(%1)"/>
      <w:numFmt w:val="lowerRoman"/>
      <w:start w:val="2"/>
    </w:lvl>
  </w:abstractNum>
  <w:abstractNum w:abstractNumId="90">
    <w:nsid w:val="5D888A08"/>
    <w:multiLevelType w:val="hybridMultilevel"/>
    <w:lvl w:ilvl="0">
      <w:lvlJc w:val="left"/>
      <w:lvlText w:val="(%1)"/>
      <w:numFmt w:val="lowerRoman"/>
      <w:start w:val="6"/>
    </w:lvl>
  </w:abstractNum>
  <w:abstractNum w:abstractNumId="91">
    <w:nsid w:val="2A082C70"/>
    <w:multiLevelType w:val="hybridMultilevel"/>
    <w:lvl w:ilvl="0">
      <w:lvlJc w:val="left"/>
      <w:lvlText w:val="(%1)"/>
      <w:numFmt w:val="lowerLetter"/>
      <w:start w:val="3"/>
    </w:lvl>
  </w:abstractNum>
  <w:abstractNum w:abstractNumId="92">
    <w:nsid w:val="5EC6AFD4"/>
    <w:multiLevelType w:val="hybridMultilevel"/>
    <w:lvl w:ilvl="0">
      <w:lvlJc w:val="left"/>
      <w:lvlText w:val="(%1)"/>
      <w:numFmt w:val="lowerLetter"/>
      <w:start w:val="1"/>
    </w:lvl>
  </w:abstractNum>
  <w:abstractNum w:abstractNumId="93">
    <w:nsid w:val="19E21BB2"/>
    <w:multiLevelType w:val="hybridMultilevel"/>
    <w:lvl w:ilvl="0">
      <w:lvlJc w:val="left"/>
      <w:lvlText w:val="(%1)"/>
      <w:numFmt w:val="lowerLetter"/>
      <w:start w:val="3"/>
    </w:lvl>
  </w:abstractNum>
  <w:abstractNum w:abstractNumId="94">
    <w:nsid w:val="75E0858A"/>
    <w:multiLevelType w:val="hybridMultilevel"/>
    <w:lvl w:ilvl="0">
      <w:lvlJc w:val="left"/>
      <w:lvlText w:val="(%1)"/>
      <w:numFmt w:val="lowerLetter"/>
      <w:start w:val="1"/>
    </w:lvl>
  </w:abstractNum>
  <w:abstractNum w:abstractNumId="95">
    <w:nsid w:val="57A61A29"/>
    <w:multiLevelType w:val="hybridMultilevel"/>
    <w:lvl w:ilvl="0">
      <w:lvlJc w:val="left"/>
      <w:lvlText w:val="(%1)"/>
      <w:numFmt w:val="lowerLetter"/>
      <w:start w:val="2"/>
    </w:lvl>
  </w:abstractNum>
  <w:abstractNum w:abstractNumId="96">
    <w:nsid w:val="5399C654"/>
    <w:multiLevelType w:val="hybridMultilevel"/>
    <w:lvl w:ilvl="0">
      <w:lvlJc w:val="left"/>
      <w:lvlText w:val="(%1)"/>
      <w:numFmt w:val="lowerLetter"/>
      <w:start w:val="3"/>
    </w:lvl>
    <w:lvl w:ilvl="1">
      <w:lvlJc w:val="left"/>
      <w:lvlText w:val="(%2)"/>
      <w:numFmt w:val="lowerRoman"/>
      <w:start w:val="1"/>
    </w:lvl>
  </w:abstractNum>
  <w:abstractNum w:abstractNumId="97">
    <w:nsid w:val="20EE1348"/>
    <w:multiLevelType w:val="hybridMultilevel"/>
    <w:lvl w:ilvl="0">
      <w:lvlJc w:val="left"/>
      <w:lvlText w:val="(%1)"/>
      <w:numFmt w:val="lowerLetter"/>
      <w:start w:val="6"/>
    </w:lvl>
  </w:abstractNum>
  <w:abstractNum w:abstractNumId="98">
    <w:nsid w:val="4427069A"/>
    <w:multiLevelType w:val="hybridMultilevel"/>
    <w:lvl w:ilvl="0">
      <w:lvlJc w:val="left"/>
      <w:lvlText w:val="(%1)"/>
      <w:numFmt w:val="lowerLetter"/>
      <w:start w:val="1"/>
    </w:lvl>
  </w:abstractNum>
  <w:abstractNum w:abstractNumId="99">
    <w:nsid w:val="B37E80A"/>
    <w:multiLevelType w:val="hybridMultilevel"/>
    <w:lvl w:ilvl="0">
      <w:lvlJc w:val="left"/>
      <w:lvlText w:val="(%1)"/>
      <w:numFmt w:val="lowerLetter"/>
      <w:start w:val="1"/>
    </w:lvl>
  </w:abstractNum>
  <w:abstractNum w:abstractNumId="100">
    <w:nsid w:val="2157F6BC"/>
    <w:multiLevelType w:val="hybridMultilevel"/>
    <w:lvl w:ilvl="0">
      <w:lvlJc w:val="left"/>
      <w:lvlText w:val="(%1)"/>
      <w:numFmt w:val="lowerLetter"/>
      <w:start w:val="3"/>
    </w:lvl>
  </w:abstractNum>
  <w:abstractNum w:abstractNumId="101">
    <w:nsid w:val="704E1DD5"/>
    <w:multiLevelType w:val="hybridMultilevel"/>
    <w:lvl w:ilvl="0">
      <w:lvlJc w:val="left"/>
      <w:lvlText w:val="(%1)"/>
      <w:numFmt w:val="lowerLetter"/>
      <w:start w:val="1"/>
    </w:lvl>
  </w:abstractNum>
  <w:abstractNum w:abstractNumId="102">
    <w:nsid w:val="57D2F10E"/>
    <w:multiLevelType w:val="hybridMultilevel"/>
    <w:lvl w:ilvl="0">
      <w:lvlJc w:val="left"/>
      <w:lvlText w:val="(%1)"/>
      <w:numFmt w:val="lowerLetter"/>
      <w:start w:val="2"/>
    </w:lvl>
  </w:abstractNum>
  <w:abstractNum w:abstractNumId="103">
    <w:nsid w:val="BFFAE18"/>
    <w:multiLevelType w:val="hybridMultilevel"/>
    <w:lvl w:ilvl="0">
      <w:lvlJc w:val="left"/>
      <w:lvlText w:val="(%1)"/>
      <w:numFmt w:val="lowerLetter"/>
      <w:start w:val="2"/>
    </w:lvl>
  </w:abstractNum>
  <w:abstractNum w:abstractNumId="104">
    <w:nsid w:val="E3E47A8"/>
    <w:multiLevelType w:val="hybridMultilevel"/>
    <w:lvl w:ilvl="0">
      <w:lvlJc w:val="left"/>
      <w:lvlText w:val="(%1)"/>
      <w:numFmt w:val="lowerLetter"/>
      <w:start w:val="1"/>
    </w:lvl>
  </w:abstractNum>
  <w:abstractNum w:abstractNumId="105">
    <w:nsid w:val="2E48F044"/>
    <w:multiLevelType w:val="hybridMultilevel"/>
    <w:lvl w:ilvl="0">
      <w:lvlJc w:val="left"/>
      <w:lvlText w:val="(%1)"/>
      <w:numFmt w:val="lowerLetter"/>
      <w:start w:val="4"/>
    </w:lvl>
  </w:abstractNum>
  <w:abstractNum w:abstractNumId="106">
    <w:nsid w:val="49D0FEAC"/>
    <w:multiLevelType w:val="hybridMultilevel"/>
    <w:lvl w:ilvl="0">
      <w:lvlJc w:val="left"/>
      <w:lvlText w:val="(%1)"/>
      <w:numFmt w:val="lowerLetter"/>
      <w:start w:val="1"/>
    </w:lvl>
  </w:abstractNum>
  <w:abstractNum w:abstractNumId="107">
    <w:nsid w:val="4BEE5A5B"/>
    <w:multiLevelType w:val="hybridMultilevel"/>
    <w:lvl w:ilvl="0">
      <w:lvlJc w:val="left"/>
      <w:lvlText w:val="(%1)"/>
      <w:numFmt w:val="lowerLetter"/>
      <w:start w:val="1"/>
    </w:lvl>
    <w:lvl w:ilvl="1">
      <w:lvlJc w:val="left"/>
      <w:lvlText w:val="(%2)"/>
      <w:numFmt w:val="lowerRoman"/>
      <w:start w:val="1"/>
    </w:lvl>
  </w:abstractNum>
  <w:abstractNum w:abstractNumId="108">
    <w:nsid w:val="5551B9F3"/>
    <w:multiLevelType w:val="hybridMultilevel"/>
    <w:lvl w:ilvl="0">
      <w:lvlJc w:val="left"/>
      <w:lvlText w:val="(%1)"/>
      <w:numFmt w:val="lowerLetter"/>
      <w:start w:val="2"/>
    </w:lvl>
  </w:abstractNum>
  <w:abstractNum w:abstractNumId="109">
    <w:nsid w:val="24F6AB8E"/>
    <w:multiLevelType w:val="hybridMultilevel"/>
    <w:lvl w:ilvl="0">
      <w:lvlJc w:val="left"/>
      <w:lvlText w:val="(%1)"/>
      <w:numFmt w:val="lowerLetter"/>
      <w:start w:val="5"/>
    </w:lvl>
  </w:abstractNum>
  <w:abstractNum w:abstractNumId="110">
    <w:nsid w:val="634C574C"/>
    <w:multiLevelType w:val="hybridMultilevel"/>
    <w:lvl w:ilvl="0">
      <w:lvlJc w:val="left"/>
      <w:lvlText w:val="%1."/>
      <w:numFmt w:val="decimal"/>
      <w:start w:val="1"/>
    </w:lvl>
  </w:abstractNum>
  <w:abstractNum w:abstractNumId="111">
    <w:nsid w:val="24E99DD7"/>
    <w:multiLevelType w:val="hybridMultilevel"/>
    <w:lvl w:ilvl="0">
      <w:lvlJc w:val="left"/>
      <w:lvlText w:val="%1."/>
      <w:numFmt w:val="decimal"/>
      <w:start w:val="2"/>
    </w:lvl>
    <w:lvl w:ilvl="1">
      <w:lvlJc w:val="left"/>
      <w:lvlText w:val="(%2)"/>
      <w:numFmt w:val="lowerLetter"/>
      <w:start w:val="1"/>
    </w:lvl>
  </w:abstractNum>
  <w:abstractNum w:abstractNumId="112">
    <w:nsid w:val="2A31B62D"/>
    <w:multiLevelType w:val="hybridMultilevel"/>
    <w:lvl w:ilvl="0">
      <w:lvlJc w:val="left"/>
      <w:lvlText w:val="(%1)"/>
      <w:numFmt w:val="lowerRoman"/>
      <w:start w:val="2"/>
    </w:lvl>
    <w:lvl w:ilvl="1">
      <w:lvlJc w:val="left"/>
      <w:lvlText w:val="(%2)"/>
      <w:numFmt w:val="lowerLetter"/>
      <w:start w:val="2"/>
    </w:lvl>
  </w:abstractNum>
  <w:abstractNum w:abstractNumId="113">
    <w:nsid w:val="1849C29B"/>
    <w:multiLevelType w:val="hybridMultilevel"/>
    <w:lvl w:ilvl="0">
      <w:lvlJc w:val="left"/>
      <w:lvlText w:val="%1"/>
      <w:numFmt w:val="decimal"/>
      <w:start w:val="1"/>
    </w:lvl>
    <w:lvl w:ilvl="1">
      <w:lvlJc w:val="left"/>
      <w:lvlText w:val="(%2)"/>
      <w:numFmt w:val="lowerLetter"/>
      <w:start w:val="3"/>
    </w:lvl>
  </w:abstractNum>
  <w:abstractNum w:abstractNumId="114">
    <w:nsid w:val="7DFF9D09"/>
    <w:multiLevelType w:val="hybridMultilevel"/>
    <w:lvl w:ilvl="0">
      <w:lvlJc w:val="left"/>
      <w:lvlText w:val="%1."/>
      <w:numFmt w:val="decimal"/>
      <w:start w:val="3"/>
    </w:lvl>
    <w:lvl w:ilvl="1">
      <w:lvlJc w:val="left"/>
      <w:lvlText w:val="(%2)"/>
      <w:numFmt w:val="lowerLetter"/>
      <w:start w:val="1"/>
    </w:lvl>
  </w:abstractNum>
  <w:abstractNum w:abstractNumId="115">
    <w:nsid w:val="754342"/>
    <w:multiLevelType w:val="hybridMultilevel"/>
    <w:lvl w:ilvl="0">
      <w:lvlJc w:val="left"/>
      <w:lvlText w:val="%1."/>
      <w:numFmt w:val="decimal"/>
      <w:start w:val="4"/>
    </w:lvl>
    <w:lvl w:ilvl="1">
      <w:lvlJc w:val="left"/>
      <w:lvlText w:val="(%2)"/>
      <w:numFmt w:val="lowerLetter"/>
      <w:start w:val="1"/>
    </w:lvl>
  </w:abstractNum>
  <w:abstractNum w:abstractNumId="116">
    <w:nsid w:val="69E7F3E5"/>
    <w:multiLevelType w:val="hybridMultilevel"/>
    <w:lvl w:ilvl="0">
      <w:lvlJc w:val="left"/>
      <w:lvlText w:val="%1"/>
      <w:numFmt w:val="decimal"/>
      <w:start w:val="1"/>
    </w:lvl>
    <w:lvl w:ilvl="1">
      <w:lvlJc w:val="left"/>
      <w:lvlText w:val="(%2)"/>
      <w:numFmt w:val="lowerLetter"/>
      <w:start w:val="2"/>
    </w:lvl>
  </w:abstractNum>
  <w:abstractNum w:abstractNumId="117">
    <w:nsid w:val="2A6DE806"/>
    <w:multiLevelType w:val="hybridMultilevel"/>
    <w:lvl w:ilvl="0">
      <w:lvlJc w:val="left"/>
      <w:lvlText w:val="%1."/>
      <w:numFmt w:val="decimal"/>
      <w:start w:val="8"/>
    </w:lvl>
    <w:lvl w:ilvl="1">
      <w:lvlJc w:val="left"/>
      <w:lvlText w:val="%2"/>
      <w:numFmt w:val="lowerLetter"/>
      <w:start w:val="1"/>
    </w:lvl>
  </w:abstractNum>
  <w:abstractNum w:abstractNumId="118">
    <w:nsid w:val="1816F8C4"/>
    <w:multiLevelType w:val="hybridMultilevel"/>
    <w:lvl w:ilvl="0">
      <w:lvlJc w:val="left"/>
      <w:lvlText w:val="%1."/>
      <w:numFmt w:val="decimal"/>
      <w:start w:val="10"/>
    </w:lvl>
  </w:abstractNum>
  <w:abstractNum w:abstractNumId="119">
    <w:nsid w:val="37DF2233"/>
    <w:multiLevelType w:val="hybridMultilevel"/>
    <w:lvl w:ilvl="0">
      <w:lvlJc w:val="left"/>
      <w:lvlText w:val="%1."/>
      <w:numFmt w:val="decimal"/>
      <w:start w:val="1"/>
    </w:lvl>
  </w:abstractNum>
  <w:abstractNum w:abstractNumId="120">
    <w:nsid w:val="7AB49DAF"/>
    <w:multiLevelType w:val="hybridMultilevel"/>
    <w:lvl w:ilvl="0">
      <w:lvlJc w:val="left"/>
      <w:lvlText w:val="%1."/>
      <w:numFmt w:val="decimal"/>
      <w:start w:val="2"/>
    </w:lvl>
    <w:lvl w:ilvl="1">
      <w:lvlJc w:val="left"/>
      <w:lvlText w:val="(%2)"/>
      <w:numFmt w:val="lowerLetter"/>
      <w:start w:val="1"/>
    </w:lvl>
  </w:abstractNum>
  <w:abstractNum w:abstractNumId="121">
    <w:nsid w:val="759F82CD"/>
    <w:multiLevelType w:val="hybridMultilevel"/>
    <w:lvl w:ilvl="0">
      <w:lvlJc w:val="left"/>
      <w:lvlText w:val="(%1)"/>
      <w:numFmt w:val="lowerRoman"/>
      <w:start w:val="2"/>
    </w:lvl>
    <w:lvl w:ilvl="1">
      <w:lvlJc w:val="left"/>
      <w:lvlText w:val="(%2)"/>
      <w:numFmt w:val="lowerLetter"/>
      <w:start w:val="2"/>
    </w:lvl>
  </w:abstractNum>
  <w:abstractNum w:abstractNumId="122">
    <w:nsid w:val="61E74EA3"/>
    <w:multiLevelType w:val="hybridMultilevel"/>
    <w:lvl w:ilvl="0">
      <w:lvlJc w:val="left"/>
      <w:lvlText w:val="%1"/>
      <w:numFmt w:val="decimal"/>
      <w:start w:val="1"/>
    </w:lvl>
    <w:lvl w:ilvl="1">
      <w:lvlJc w:val="left"/>
      <w:lvlText w:val="(%2)"/>
      <w:numFmt w:val="lowerLetter"/>
      <w:start w:val="3"/>
    </w:lvl>
  </w:abstractNum>
  <w:abstractNum w:abstractNumId="123">
    <w:nsid w:val="597B4D84"/>
    <w:multiLevelType w:val="hybridMultilevel"/>
    <w:lvl w:ilvl="0">
      <w:lvlJc w:val="left"/>
      <w:lvlText w:val="%1."/>
      <w:numFmt w:val="decimal"/>
      <w:start w:val="3"/>
    </w:lvl>
    <w:lvl w:ilvl="1">
      <w:lvlJc w:val="left"/>
      <w:lvlText w:val="(%2)"/>
      <w:numFmt w:val="lowerLetter"/>
      <w:start w:val="1"/>
    </w:lvl>
  </w:abstractNum>
  <w:abstractNum w:abstractNumId="124">
    <w:nsid w:val="F819E7F"/>
    <w:multiLevelType w:val="hybridMultilevel"/>
    <w:lvl w:ilvl="0">
      <w:lvlJc w:val="left"/>
      <w:lvlText w:val="%1."/>
      <w:numFmt w:val="decimal"/>
      <w:start w:val="4"/>
    </w:lvl>
    <w:lvl w:ilvl="1">
      <w:lvlJc w:val="left"/>
      <w:lvlText w:val="(%2)"/>
      <w:numFmt w:val="lowerLetter"/>
      <w:start w:val="1"/>
    </w:lvl>
  </w:abstractNum>
  <w:abstractNum w:abstractNumId="125">
    <w:nsid w:val="57C7D42D"/>
    <w:multiLevelType w:val="hybridMultilevel"/>
    <w:lvl w:ilvl="0">
      <w:lvlJc w:val="left"/>
      <w:lvlText w:val="%1"/>
      <w:numFmt w:val="decimal"/>
      <w:start w:val="1"/>
    </w:lvl>
    <w:lvl w:ilvl="1">
      <w:lvlJc w:val="left"/>
      <w:lvlText w:val="(%2)"/>
      <w:numFmt w:val="lowerLetter"/>
      <w:start w:val="3"/>
    </w:lvl>
  </w:abstractNum>
  <w:abstractNum w:abstractNumId="126">
    <w:nsid w:val="312167AD"/>
    <w:multiLevelType w:val="hybridMultilevel"/>
    <w:lvl w:ilvl="0">
      <w:lvlJc w:val="left"/>
      <w:lvlText w:val="%1."/>
      <w:numFmt w:val="decimal"/>
      <w:start w:val="7"/>
    </w:lvl>
    <w:lvl w:ilvl="1">
      <w:lvlJc w:val="left"/>
      <w:lvlText w:val="%2"/>
      <w:numFmt w:val="lowerLetter"/>
      <w:start w:val="1"/>
    </w:lvl>
  </w:abstractNum>
  <w:abstractNum w:abstractNumId="127">
    <w:nsid w:val="631B64D4"/>
    <w:multiLevelType w:val="hybridMultilevel"/>
    <w:lvl w:ilvl="0">
      <w:lvlJc w:val="left"/>
      <w:lvlText w:val="%1."/>
      <w:numFmt w:val="decimal"/>
      <w:start w:val="10"/>
    </w:lvl>
  </w:abstractNum>
  <w:abstractNum w:abstractNumId="128">
    <w:nsid w:val="78B5E776"/>
    <w:multiLevelType w:val="hybridMultilevel"/>
    <w:lvl w:ilvl="0">
      <w:lvlJc w:val="left"/>
      <w:lvlText w:val="%1."/>
      <w:numFmt w:val="decimal"/>
      <w:start w:val="1"/>
    </w:lvl>
  </w:abstractNum>
  <w:abstractNum w:abstractNumId="129">
    <w:nsid w:val="75486E47"/>
    <w:multiLevelType w:val="hybridMultilevel"/>
    <w:lvl w:ilvl="0">
      <w:lvlJc w:val="left"/>
      <w:lvlText w:val="%1."/>
      <w:numFmt w:val="decimal"/>
      <w:start w:val="2"/>
    </w:lvl>
    <w:lvl w:ilvl="1">
      <w:lvlJc w:val="left"/>
      <w:lvlText w:val="(%2)"/>
      <w:numFmt w:val="lowerLetter"/>
      <w:start w:val="1"/>
    </w:lvl>
  </w:abstractNum>
  <w:abstractNum w:abstractNumId="130">
    <w:nsid w:val="6E534CDE"/>
    <w:multiLevelType w:val="hybridMultilevel"/>
    <w:lvl w:ilvl="0">
      <w:lvlJc w:val="left"/>
      <w:lvlText w:val="(%1)"/>
      <w:numFmt w:val="lowerRoman"/>
      <w:start w:val="2"/>
    </w:lvl>
    <w:lvl w:ilvl="1">
      <w:lvlJc w:val="left"/>
      <w:lvlText w:val="(%2)"/>
      <w:numFmt w:val="lowerLetter"/>
      <w:start w:val="2"/>
    </w:lvl>
  </w:abstractNum>
  <w:abstractNum w:abstractNumId="131">
    <w:nsid w:val="1A0DDE32"/>
    <w:multiLevelType w:val="hybridMultilevel"/>
    <w:lvl w:ilvl="0">
      <w:lvlJc w:val="left"/>
      <w:lvlText w:val="%1"/>
      <w:numFmt w:val="decimal"/>
      <w:start w:val="1"/>
    </w:lvl>
    <w:lvl w:ilvl="1">
      <w:lvlJc w:val="left"/>
      <w:lvlText w:val="(%2)"/>
      <w:numFmt w:val="lowerLetter"/>
      <w:start w:val="3"/>
    </w:lvl>
  </w:abstractNum>
  <w:abstractNum w:abstractNumId="132">
    <w:nsid w:val="65968C1C"/>
    <w:multiLevelType w:val="hybridMultilevel"/>
    <w:lvl w:ilvl="0">
      <w:lvlJc w:val="left"/>
      <w:lvlText w:val="%1."/>
      <w:numFmt w:val="decimal"/>
      <w:start w:val="2"/>
    </w:lvl>
    <w:lvl w:ilvl="1">
      <w:lvlJc w:val="left"/>
      <w:lvlText w:val="(%2)"/>
      <w:numFmt w:val="lowerLetter"/>
      <w:start w:val="1"/>
    </w:lvl>
  </w:abstractNum>
  <w:abstractNum w:abstractNumId="133">
    <w:nsid w:val="46263DEC"/>
    <w:multiLevelType w:val="hybridMultilevel"/>
    <w:lvl w:ilvl="0">
      <w:lvlJc w:val="left"/>
      <w:lvlText w:val="%1."/>
      <w:numFmt w:val="decimal"/>
      <w:start w:val="3"/>
    </w:lvl>
    <w:lvl w:ilvl="1">
      <w:lvlJc w:val="left"/>
      <w:lvlText w:val="(%2)"/>
      <w:numFmt w:val="lowerLetter"/>
      <w:start w:val="1"/>
    </w:lvl>
  </w:abstractNum>
  <w:abstractNum w:abstractNumId="134">
    <w:nsid w:val="260D8C4A"/>
    <w:multiLevelType w:val="hybridMultilevel"/>
    <w:lvl w:ilvl="0">
      <w:lvlJc w:val="left"/>
      <w:lvlText w:val="%1"/>
      <w:numFmt w:val="decimal"/>
      <w:start w:val="1"/>
    </w:lvl>
    <w:lvl w:ilvl="1">
      <w:lvlJc w:val="left"/>
      <w:lvlText w:val="(%2)"/>
      <w:numFmt w:val="lowerLetter"/>
      <w:start w:val="3"/>
    </w:lvl>
  </w:abstractNum>
  <w:abstractNum w:abstractNumId="135">
    <w:nsid w:val="73D4D3C4"/>
    <w:multiLevelType w:val="hybridMultilevel"/>
    <w:lvl w:ilvl="0">
      <w:lvlJc w:val="left"/>
      <w:lvlText w:val="%1."/>
      <w:numFmt w:val="decimal"/>
      <w:start w:val="6"/>
    </w:lvl>
    <w:lvl w:ilvl="1">
      <w:lvlJc w:val="left"/>
      <w:lvlText w:val="%2"/>
      <w:numFmt w:val="lowerLetter"/>
      <w:start w:val="1"/>
    </w:lvl>
  </w:abstractNum>
  <w:abstractNum w:abstractNumId="136">
    <w:nsid w:val="746F2E30"/>
    <w:multiLevelType w:val="hybridMultilevel"/>
    <w:lvl w:ilvl="0">
      <w:lvlJc w:val="left"/>
      <w:lvlText w:val="%1."/>
      <w:numFmt w:val="decimal"/>
      <w:start w:val="9"/>
    </w:lvl>
  </w:abstractNum>
  <w:abstractNum w:abstractNumId="137">
    <w:nsid w:val="6FDE8AF6"/>
    <w:multiLevelType w:val="hybridMultilevel"/>
    <w:lvl w:ilvl="0">
      <w:lvlJc w:val="left"/>
      <w:lvlText w:val="%1."/>
      <w:numFmt w:val="decimal"/>
      <w:start w:val="1"/>
    </w:lvl>
  </w:abstractNum>
  <w:abstractNum w:abstractNumId="138">
    <w:nsid w:val="3FC32E20"/>
    <w:multiLevelType w:val="hybridMultilevel"/>
    <w:lvl w:ilvl="0">
      <w:lvlJc w:val="left"/>
      <w:lvlText w:val="%1."/>
      <w:numFmt w:val="decimal"/>
      <w:start w:val="2"/>
    </w:lvl>
    <w:lvl w:ilvl="1">
      <w:lvlJc w:val="left"/>
      <w:lvlText w:val="(%2)"/>
      <w:numFmt w:val="lowerLetter"/>
      <w:start w:val="1"/>
    </w:lvl>
  </w:abstractNum>
  <w:abstractNum w:abstractNumId="139">
    <w:nsid w:val="49C0E823"/>
    <w:multiLevelType w:val="hybridMultilevel"/>
    <w:lvl w:ilvl="0">
      <w:lvlJc w:val="left"/>
      <w:lvlText w:val="(%1)"/>
      <w:numFmt w:val="lowerRoman"/>
      <w:start w:val="2"/>
    </w:lvl>
    <w:lvl w:ilvl="1">
      <w:lvlJc w:val="left"/>
      <w:lvlText w:val="(%2)"/>
      <w:numFmt w:val="lowerLetter"/>
      <w:start w:val="2"/>
    </w:lvl>
  </w:abstractNum>
  <w:abstractNum w:abstractNumId="140">
    <w:nsid w:val="14D53685"/>
    <w:multiLevelType w:val="hybridMultilevel"/>
    <w:lvl w:ilvl="0">
      <w:lvlJc w:val="left"/>
      <w:lvlText w:val="%1"/>
      <w:numFmt w:val="decimal"/>
      <w:start w:val="1"/>
    </w:lvl>
    <w:lvl w:ilvl="1">
      <w:lvlJc w:val="left"/>
      <w:lvlText w:val="(%2)"/>
      <w:numFmt w:val="lowerLetter"/>
      <w:start w:val="3"/>
    </w:lvl>
  </w:abstractNum>
  <w:abstractNum w:abstractNumId="141">
    <w:nsid w:val="230F856C"/>
    <w:multiLevelType w:val="hybridMultilevel"/>
    <w:lvl w:ilvl="0">
      <w:lvlJc w:val="left"/>
      <w:lvlText w:val="%1."/>
      <w:numFmt w:val="decimal"/>
      <w:start w:val="3"/>
    </w:lvl>
    <w:lvl w:ilvl="1">
      <w:lvlJc w:val="left"/>
      <w:lvlText w:val="(%2)"/>
      <w:numFmt w:val="lowerLetter"/>
      <w:start w:val="1"/>
    </w:lvl>
  </w:abstractNum>
  <w:abstractNum w:abstractNumId="142">
    <w:nsid w:val="6EAA85FB"/>
    <w:multiLevelType w:val="hybridMultilevel"/>
    <w:lvl w:ilvl="0">
      <w:lvlJc w:val="left"/>
      <w:lvlText w:val="%1."/>
      <w:numFmt w:val="decimal"/>
      <w:start w:val="6"/>
    </w:lvl>
  </w:abstractNum>
  <w:abstractNum w:abstractNumId="143">
    <w:nsid w:val="3F06ECB2"/>
    <w:multiLevelType w:val="hybridMultilevel"/>
    <w:lvl w:ilvl="0">
      <w:lvlJc w:val="left"/>
      <w:lvlText w:val="%1."/>
      <w:numFmt w:val="decimal"/>
      <w:start w:val="13"/>
    </w:lvl>
  </w:abstractNum>
  <w:abstractNum w:abstractNumId="144">
    <w:nsid w:val="3B594807"/>
    <w:multiLevelType w:val="hybridMultilevel"/>
    <w:lvl w:ilvl="0">
      <w:lvlJc w:val="left"/>
      <w:lvlText w:val="%1."/>
      <w:numFmt w:val="decimal"/>
      <w:start w:val="1"/>
    </w:lvl>
    <w:lvl w:ilvl="1">
      <w:lvlJc w:val="left"/>
      <w:lvlText w:val="(%2)"/>
      <w:numFmt w:val="lowerLetter"/>
      <w:start w:val="1"/>
    </w:lvl>
  </w:abstractNum>
  <w:abstractNum w:abstractNumId="145">
    <w:nsid w:val="6CAA2304"/>
    <w:multiLevelType w:val="hybridMultilevel"/>
    <w:lvl w:ilvl="0">
      <w:lvlJc w:val="left"/>
      <w:lvlText w:val="%1."/>
      <w:numFmt w:val="decimal"/>
      <w:start w:val="4"/>
    </w:lvl>
  </w:abstractNum>
  <w:abstractNum w:abstractNumId="146">
    <w:nsid w:val="3F7C2FF4"/>
    <w:multiLevelType w:val="hybridMultilevel"/>
    <w:lvl w:ilvl="0">
      <w:lvlJc w:val="left"/>
      <w:lvlText w:val="%1."/>
      <w:numFmt w:val="decimal"/>
      <w:start w:val="9"/>
    </w:lvl>
  </w:abstractNum>
  <w:abstractNum w:abstractNumId="147">
    <w:nsid w:val="25413BEC"/>
    <w:multiLevelType w:val="hybridMultilevel"/>
    <w:lvl w:ilvl="0">
      <w:lvlJc w:val="left"/>
      <w:lvlText w:val="%1."/>
      <w:numFmt w:val="decimal"/>
      <w:start w:val="16"/>
    </w:lvl>
  </w:abstractNum>
  <w:abstractNum w:abstractNumId="148">
    <w:nsid w:val="17180B0B"/>
    <w:multiLevelType w:val="hybridMultilevel"/>
    <w:lvl w:ilvl="0">
      <w:lvlJc w:val="left"/>
      <w:lvlText w:val="%1."/>
      <w:numFmt w:val="decimal"/>
      <w:start w:val="1"/>
    </w:lvl>
  </w:abstractNum>
  <w:abstractNum w:abstractNumId="149">
    <w:nsid w:val="579328B9"/>
    <w:multiLevelType w:val="hybridMultilevel"/>
    <w:lvl w:ilvl="0">
      <w:lvlJc w:val="left"/>
      <w:lvlText w:val="%1."/>
      <w:numFmt w:val="decimal"/>
      <w:start w:val="3"/>
    </w:lvl>
    <w:lvl w:ilvl="1">
      <w:lvlJc w:val="left"/>
      <w:lvlText w:val="(%2)"/>
      <w:numFmt w:val="lowerLetter"/>
      <w:start w:val="1"/>
    </w:lvl>
  </w:abstractNum>
  <w:abstractNum w:abstractNumId="150">
    <w:nsid w:val="5D205E20"/>
    <w:multiLevelType w:val="hybridMultilevel"/>
    <w:lvl w:ilvl="0">
      <w:lvlJc w:val="left"/>
      <w:lvlText w:val="%1"/>
      <w:numFmt w:val="decimal"/>
      <w:start w:val="1"/>
    </w:lvl>
    <w:lvl w:ilvl="1">
      <w:lvlJc w:val="left"/>
      <w:lvlText w:val="(%2)"/>
      <w:numFmt w:val="lowerLetter"/>
      <w:start w:val="3"/>
    </w:lvl>
  </w:abstractNum>
  <w:abstractNum w:abstractNumId="151">
    <w:nsid w:val="11CCA8BA"/>
    <w:multiLevelType w:val="hybridMultilevel"/>
    <w:lvl w:ilvl="0">
      <w:lvlJc w:val="left"/>
      <w:lvlText w:val="%1."/>
      <w:numFmt w:val="decimal"/>
      <w:start w:val="7"/>
    </w:lvl>
    <w:lvl w:ilvl="1">
      <w:lvlJc w:val="left"/>
      <w:lvlText w:val="%2"/>
      <w:numFmt w:val="lowerLetter"/>
      <w:start w:val="1"/>
    </w:lvl>
  </w:abstractNum>
  <w:abstractNum w:abstractNumId="152">
    <w:nsid w:val="4D32AB86"/>
    <w:multiLevelType w:val="hybridMultilevel"/>
    <w:lvl w:ilvl="0">
      <w:lvlJc w:val="left"/>
      <w:lvlText w:val="%1."/>
      <w:numFmt w:val="decimal"/>
      <w:start w:val="11"/>
    </w:lvl>
  </w:abstractNum>
  <w:abstractNum w:abstractNumId="153">
    <w:nsid w:val="3F07ACC3"/>
    <w:multiLevelType w:val="hybridMultilevel"/>
    <w:lvl w:ilvl="0">
      <w:lvlJc w:val="left"/>
      <w:lvlText w:val="%1."/>
      <w:numFmt w:val="decimal"/>
      <w:start w:val="1"/>
    </w:lvl>
  </w:abstractNum>
  <w:abstractNum w:abstractNumId="154">
    <w:nsid w:val="6B47F63E"/>
    <w:multiLevelType w:val="hybridMultilevel"/>
    <w:lvl w:ilvl="0">
      <w:lvlJc w:val="left"/>
      <w:lvlText w:val="%1."/>
      <w:numFmt w:val="decimal"/>
      <w:start w:val="3"/>
    </w:lvl>
  </w:abstractNum>
  <w:abstractNum w:abstractNumId="155">
    <w:nsid w:val="5CB44A05"/>
    <w:multiLevelType w:val="hybridMultilevel"/>
    <w:lvl w:ilvl="0">
      <w:lvlJc w:val="left"/>
      <w:lvlText w:val="(%1)"/>
      <w:numFmt w:val="lowerLetter"/>
      <w:start w:val="1"/>
    </w:lvl>
  </w:abstractNum>
  <w:abstractNum w:abstractNumId="156">
    <w:nsid w:val="16CF80F1"/>
    <w:multiLevelType w:val="hybridMultilevel"/>
    <w:lvl w:ilvl="0">
      <w:lvlJc w:val="left"/>
      <w:lvlText w:val="%1."/>
      <w:numFmt w:val="decimal"/>
      <w:start w:val="10"/>
    </w:lvl>
  </w:abstractNum>
  <w:abstractNum w:abstractNumId="157">
    <w:nsid w:val="1C695DEC"/>
    <w:multiLevelType w:val="hybridMultilevel"/>
    <w:lvl w:ilvl="0">
      <w:lvlJc w:val="left"/>
      <w:lvlText w:val="%1."/>
      <w:numFmt w:val="decimal"/>
      <w:start w:val="1"/>
    </w:lvl>
  </w:abstractNum>
  <w:abstractNum w:abstractNumId="158">
    <w:nsid w:val="3FCFAED9"/>
    <w:multiLevelType w:val="hybridMultilevel"/>
    <w:lvl w:ilvl="0">
      <w:lvlJc w:val="left"/>
      <w:lvlText w:val="%1."/>
      <w:numFmt w:val="decimal"/>
      <w:start w:val="3"/>
    </w:lvl>
  </w:abstractNum>
  <w:abstractNum w:abstractNumId="159">
    <w:nsid w:val="F856867"/>
    <w:multiLevelType w:val="hybridMultilevel"/>
    <w:lvl w:ilvl="0">
      <w:lvlJc w:val="left"/>
      <w:lvlText w:val="(%1)"/>
      <w:numFmt w:val="lowerRoman"/>
      <w:start w:val="1"/>
    </w:lvl>
  </w:abstractNum>
  <w:abstractNum w:abstractNumId="160">
    <w:nsid w:val="11B1CC33"/>
    <w:multiLevelType w:val="hybridMultilevel"/>
    <w:lvl w:ilvl="0">
      <w:lvlJc w:val="left"/>
      <w:lvlText w:val="%1."/>
      <w:numFmt w:val="decimal"/>
      <w:start w:val="7"/>
    </w:lvl>
  </w:abstractNum>
  <w:abstractNum w:abstractNumId="161">
    <w:nsid w:val="2E22FBB7"/>
    <w:multiLevelType w:val="hybridMultilevel"/>
    <w:lvl w:ilvl="0">
      <w:lvlJc w:val="left"/>
      <w:lvlText w:val="%1."/>
      <w:numFmt w:val="decimal"/>
      <w:start w:val="11"/>
    </w:lvl>
  </w:abstractNum>
  <w:abstractNum w:abstractNumId="162">
    <w:nsid w:val="29934699"/>
    <w:multiLevelType w:val="hybridMultilevel"/>
    <w:lvl w:ilvl="0">
      <w:lvlJc w:val="left"/>
      <w:lvlText w:val="(%1)"/>
      <w:numFmt w:val="decimal"/>
      <w:start w:val="1"/>
    </w:lvl>
  </w:abstractNum>
  <w:abstractNum w:abstractNumId="163">
    <w:nsid w:val="77485850"/>
    <w:multiLevelType w:val="hybridMultilevel"/>
    <w:lvl w:ilvl="0">
      <w:lvlJc w:val="left"/>
      <w:lvlText w:val="%1."/>
      <w:numFmt w:val="decimal"/>
      <w:start w:val="1"/>
    </w:lvl>
    <w:lvl w:ilvl="1">
      <w:lvlJc w:val="left"/>
      <w:lvlText w:val="(%2)"/>
      <w:numFmt w:val="lowerLetter"/>
      <w:start w:val="1"/>
    </w:lvl>
  </w:abstractNum>
  <w:abstractNum w:abstractNumId="164">
    <w:nsid w:val="744939A3"/>
    <w:multiLevelType w:val="hybridMultilevel"/>
    <w:lvl w:ilvl="0">
      <w:lvlJc w:val="left"/>
      <w:lvlText w:val="%1."/>
      <w:numFmt w:val="decimal"/>
      <w:start w:val="1"/>
    </w:lvl>
    <w:lvl w:ilvl="1">
      <w:lvlJc w:val="left"/>
      <w:lvlText w:val="(%2)"/>
      <w:numFmt w:val="lowerLetter"/>
      <w:start w:val="1"/>
    </w:lvl>
  </w:abstractNum>
  <w:abstractNum w:abstractNumId="165">
    <w:nsid w:val="4FA0D2E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411" Type="http://schemas.openxmlformats.org/officeDocument/2006/relationships/image" Target="media/image390.png"/><Relationship Id="rId412" Type="http://schemas.openxmlformats.org/officeDocument/2006/relationships/image" Target="media/image391.png"/><Relationship Id="rId420" Type="http://schemas.openxmlformats.org/officeDocument/2006/relationships/image" Target="media/image392.png"/><Relationship Id="rId421" Type="http://schemas.openxmlformats.org/officeDocument/2006/relationships/image" Target="media/image393.png"/><Relationship Id="rId422" Type="http://schemas.openxmlformats.org/officeDocument/2006/relationships/image" Target="media/image394.png"/><Relationship Id="rId423" Type="http://schemas.openxmlformats.org/officeDocument/2006/relationships/image" Target="media/image395.png"/><Relationship Id="rId424" Type="http://schemas.openxmlformats.org/officeDocument/2006/relationships/image" Target="media/image396.png"/><Relationship Id="rId425" Type="http://schemas.openxmlformats.org/officeDocument/2006/relationships/image" Target="media/image397.png"/><Relationship Id="rId426" Type="http://schemas.openxmlformats.org/officeDocument/2006/relationships/image" Target="media/image398.png"/><Relationship Id="rId427" Type="http://schemas.openxmlformats.org/officeDocument/2006/relationships/image" Target="media/image399.png"/><Relationship Id="rId428" Type="http://schemas.openxmlformats.org/officeDocument/2006/relationships/image" Target="media/image400.png"/><Relationship Id="rId429" Type="http://schemas.openxmlformats.org/officeDocument/2006/relationships/image" Target="media/image401.png"/><Relationship Id="rId430" Type="http://schemas.openxmlformats.org/officeDocument/2006/relationships/image" Target="media/image402.png"/><Relationship Id="rId431" Type="http://schemas.openxmlformats.org/officeDocument/2006/relationships/image" Target="media/image403.png"/><Relationship Id="rId432" Type="http://schemas.openxmlformats.org/officeDocument/2006/relationships/image" Target="media/image404.png"/><Relationship Id="rId433" Type="http://schemas.openxmlformats.org/officeDocument/2006/relationships/image" Target="media/image405.png"/><Relationship Id="rId434" Type="http://schemas.openxmlformats.org/officeDocument/2006/relationships/image" Target="media/image406.png"/><Relationship Id="rId435" Type="http://schemas.openxmlformats.org/officeDocument/2006/relationships/image" Target="media/image407.png"/><Relationship Id="rId436" Type="http://schemas.openxmlformats.org/officeDocument/2006/relationships/image" Target="media/image408.png"/><Relationship Id="rId437" Type="http://schemas.openxmlformats.org/officeDocument/2006/relationships/image" Target="media/image409.png"/><Relationship Id="rId438" Type="http://schemas.openxmlformats.org/officeDocument/2006/relationships/image" Target="media/image410.png"/><Relationship Id="rId439" Type="http://schemas.openxmlformats.org/officeDocument/2006/relationships/image" Target="media/image411.png"/><Relationship Id="rId440" Type="http://schemas.openxmlformats.org/officeDocument/2006/relationships/image" Target="media/image412.png"/><Relationship Id="rId441" Type="http://schemas.openxmlformats.org/officeDocument/2006/relationships/image" Target="media/image413.png"/><Relationship Id="rId442" Type="http://schemas.openxmlformats.org/officeDocument/2006/relationships/image" Target="media/image414.png"/><Relationship Id="rId443" Type="http://schemas.openxmlformats.org/officeDocument/2006/relationships/image" Target="media/image415.png"/><Relationship Id="rId444" Type="http://schemas.openxmlformats.org/officeDocument/2006/relationships/image" Target="media/image416.png"/><Relationship Id="rId445" Type="http://schemas.openxmlformats.org/officeDocument/2006/relationships/image" Target="media/image417.png"/><Relationship Id="rId446" Type="http://schemas.openxmlformats.org/officeDocument/2006/relationships/image" Target="media/image418.png"/><Relationship Id="rId447" Type="http://schemas.openxmlformats.org/officeDocument/2006/relationships/image" Target="media/image419.png"/><Relationship Id="rId448" Type="http://schemas.openxmlformats.org/officeDocument/2006/relationships/image" Target="media/image420.png"/><Relationship Id="rId449" Type="http://schemas.openxmlformats.org/officeDocument/2006/relationships/image" Target="media/image421.png"/><Relationship Id="rId450" Type="http://schemas.openxmlformats.org/officeDocument/2006/relationships/image" Target="media/image422.png"/><Relationship Id="rId451" Type="http://schemas.openxmlformats.org/officeDocument/2006/relationships/image" Target="media/image423.png"/><Relationship Id="rId452" Type="http://schemas.openxmlformats.org/officeDocument/2006/relationships/image" Target="media/image424.png"/><Relationship Id="rId453" Type="http://schemas.openxmlformats.org/officeDocument/2006/relationships/image" Target="media/image425.png"/><Relationship Id="rId454" Type="http://schemas.openxmlformats.org/officeDocument/2006/relationships/image" Target="media/image426.png"/><Relationship Id="rId455" Type="http://schemas.openxmlformats.org/officeDocument/2006/relationships/image" Target="media/image427.png"/><Relationship Id="rId456" Type="http://schemas.openxmlformats.org/officeDocument/2006/relationships/image" Target="media/image428.png"/><Relationship Id="rId457" Type="http://schemas.openxmlformats.org/officeDocument/2006/relationships/image" Target="media/image429.png"/><Relationship Id="rId458" Type="http://schemas.openxmlformats.org/officeDocument/2006/relationships/image" Target="media/image430.png"/><Relationship Id="rId459" Type="http://schemas.openxmlformats.org/officeDocument/2006/relationships/image" Target="media/image431.png"/><Relationship Id="rId460" Type="http://schemas.openxmlformats.org/officeDocument/2006/relationships/image" Target="media/image432.png"/><Relationship Id="rId461" Type="http://schemas.openxmlformats.org/officeDocument/2006/relationships/image" Target="media/image433.png"/><Relationship Id="rId462" Type="http://schemas.openxmlformats.org/officeDocument/2006/relationships/image" Target="media/image434.png"/><Relationship Id="rId463" Type="http://schemas.openxmlformats.org/officeDocument/2006/relationships/image" Target="media/image435.png"/><Relationship Id="rId464" Type="http://schemas.openxmlformats.org/officeDocument/2006/relationships/image" Target="media/image436.png"/><Relationship Id="rId465" Type="http://schemas.openxmlformats.org/officeDocument/2006/relationships/image" Target="media/image437.png"/><Relationship Id="rId466" Type="http://schemas.openxmlformats.org/officeDocument/2006/relationships/image" Target="media/image438.png"/><Relationship Id="rId467" Type="http://schemas.openxmlformats.org/officeDocument/2006/relationships/image" Target="media/image439.png"/><Relationship Id="rId468" Type="http://schemas.openxmlformats.org/officeDocument/2006/relationships/image" Target="media/image440.png"/><Relationship Id="rId469" Type="http://schemas.openxmlformats.org/officeDocument/2006/relationships/image" Target="media/image441.png"/><Relationship Id="rId470" Type="http://schemas.openxmlformats.org/officeDocument/2006/relationships/image" Target="media/image442.png"/><Relationship Id="rId471" Type="http://schemas.openxmlformats.org/officeDocument/2006/relationships/image" Target="media/image443.png"/><Relationship Id="rId472" Type="http://schemas.openxmlformats.org/officeDocument/2006/relationships/image" Target="media/image444.png"/><Relationship Id="rId473" Type="http://schemas.openxmlformats.org/officeDocument/2006/relationships/image" Target="media/image445.png"/><Relationship Id="rId474" Type="http://schemas.openxmlformats.org/officeDocument/2006/relationships/image" Target="media/image446.png"/><Relationship Id="rId475" Type="http://schemas.openxmlformats.org/officeDocument/2006/relationships/image" Target="media/image447.png"/><Relationship Id="rId476" Type="http://schemas.openxmlformats.org/officeDocument/2006/relationships/image" Target="media/image448.png"/><Relationship Id="rId477" Type="http://schemas.openxmlformats.org/officeDocument/2006/relationships/image" Target="media/image449.png"/><Relationship Id="rId478" Type="http://schemas.openxmlformats.org/officeDocument/2006/relationships/image" Target="media/image450.png"/><Relationship Id="rId479" Type="http://schemas.openxmlformats.org/officeDocument/2006/relationships/image" Target="media/image451.png"/><Relationship Id="rId480" Type="http://schemas.openxmlformats.org/officeDocument/2006/relationships/image" Target="media/image452.png"/><Relationship Id="rId481" Type="http://schemas.openxmlformats.org/officeDocument/2006/relationships/image" Target="media/image453.png"/><Relationship Id="rId482" Type="http://schemas.openxmlformats.org/officeDocument/2006/relationships/image" Target="media/image454.png"/><Relationship Id="rId483" Type="http://schemas.openxmlformats.org/officeDocument/2006/relationships/image" Target="media/image455.png"/><Relationship Id="rId484" Type="http://schemas.openxmlformats.org/officeDocument/2006/relationships/image" Target="media/image456.png"/><Relationship Id="rId485" Type="http://schemas.openxmlformats.org/officeDocument/2006/relationships/image" Target="media/image457.png"/><Relationship Id="rId486" Type="http://schemas.openxmlformats.org/officeDocument/2006/relationships/image" Target="media/image458.png"/><Relationship Id="rId487" Type="http://schemas.openxmlformats.org/officeDocument/2006/relationships/image" Target="media/image459.png"/><Relationship Id="rId488" Type="http://schemas.openxmlformats.org/officeDocument/2006/relationships/image" Target="media/image460.png"/><Relationship Id="rId489" Type="http://schemas.openxmlformats.org/officeDocument/2006/relationships/image" Target="media/image461.png"/><Relationship Id="rId490" Type="http://schemas.openxmlformats.org/officeDocument/2006/relationships/image" Target="media/image462.png"/><Relationship Id="rId491" Type="http://schemas.openxmlformats.org/officeDocument/2006/relationships/image" Target="media/image463.png"/><Relationship Id="rId492" Type="http://schemas.openxmlformats.org/officeDocument/2006/relationships/image" Target="media/image464.png"/><Relationship Id="rId493" Type="http://schemas.openxmlformats.org/officeDocument/2006/relationships/image" Target="media/image465.png"/><Relationship Id="rId494" Type="http://schemas.openxmlformats.org/officeDocument/2006/relationships/image" Target="media/image466.png"/><Relationship Id="rId495" Type="http://schemas.openxmlformats.org/officeDocument/2006/relationships/image" Target="media/image467.png"/><Relationship Id="rId496" Type="http://schemas.openxmlformats.org/officeDocument/2006/relationships/image" Target="media/image468.png"/><Relationship Id="rId497" Type="http://schemas.openxmlformats.org/officeDocument/2006/relationships/image" Target="media/image469.png"/><Relationship Id="rId498" Type="http://schemas.openxmlformats.org/officeDocument/2006/relationships/image" Target="media/image470.png"/><Relationship Id="rId499" Type="http://schemas.openxmlformats.org/officeDocument/2006/relationships/image" Target="media/image471.png"/><Relationship Id="rId500" Type="http://schemas.openxmlformats.org/officeDocument/2006/relationships/image" Target="media/image472.png"/><Relationship Id="rId501" Type="http://schemas.openxmlformats.org/officeDocument/2006/relationships/image" Target="media/image473.png"/><Relationship Id="rId502" Type="http://schemas.openxmlformats.org/officeDocument/2006/relationships/image" Target="media/image474.png"/><Relationship Id="rId503" Type="http://schemas.openxmlformats.org/officeDocument/2006/relationships/image" Target="media/image475.png"/><Relationship Id="rId504" Type="http://schemas.openxmlformats.org/officeDocument/2006/relationships/image" Target="media/image476.png"/><Relationship Id="rId505" Type="http://schemas.openxmlformats.org/officeDocument/2006/relationships/image" Target="media/image477.png"/><Relationship Id="rId506" Type="http://schemas.openxmlformats.org/officeDocument/2006/relationships/image" Target="media/image478.png"/><Relationship Id="rId507" Type="http://schemas.openxmlformats.org/officeDocument/2006/relationships/image" Target="media/image479.png"/><Relationship Id="rId508" Type="http://schemas.openxmlformats.org/officeDocument/2006/relationships/image" Target="media/image480.png"/><Relationship Id="rId509" Type="http://schemas.openxmlformats.org/officeDocument/2006/relationships/image" Target="media/image481.png"/><Relationship Id="rId510" Type="http://schemas.openxmlformats.org/officeDocument/2006/relationships/image" Target="media/image482.png"/><Relationship Id="rId511" Type="http://schemas.openxmlformats.org/officeDocument/2006/relationships/image" Target="media/image483.png"/><Relationship Id="rId512" Type="http://schemas.openxmlformats.org/officeDocument/2006/relationships/image" Target="media/image484.png"/><Relationship Id="rId513" Type="http://schemas.openxmlformats.org/officeDocument/2006/relationships/image" Target="media/image485.png"/><Relationship Id="rId514" Type="http://schemas.openxmlformats.org/officeDocument/2006/relationships/image" Target="media/image486.png"/><Relationship Id="rId515" Type="http://schemas.openxmlformats.org/officeDocument/2006/relationships/image" Target="media/image487.png"/><Relationship Id="rId516" Type="http://schemas.openxmlformats.org/officeDocument/2006/relationships/image" Target="media/image488.png"/><Relationship Id="rId517" Type="http://schemas.openxmlformats.org/officeDocument/2006/relationships/image" Target="media/image489.png"/><Relationship Id="rId518" Type="http://schemas.openxmlformats.org/officeDocument/2006/relationships/image" Target="media/image490.png"/><Relationship Id="rId519" Type="http://schemas.openxmlformats.org/officeDocument/2006/relationships/image" Target="media/image491.png"/><Relationship Id="rId520" Type="http://schemas.openxmlformats.org/officeDocument/2006/relationships/image" Target="media/image492.png"/><Relationship Id="rId521" Type="http://schemas.openxmlformats.org/officeDocument/2006/relationships/image" Target="media/image493.png"/><Relationship Id="rId522" Type="http://schemas.openxmlformats.org/officeDocument/2006/relationships/image" Target="media/image494.png"/><Relationship Id="rId523" Type="http://schemas.openxmlformats.org/officeDocument/2006/relationships/image" Target="media/image495.png"/><Relationship Id="rId524" Type="http://schemas.openxmlformats.org/officeDocument/2006/relationships/image" Target="media/image496.png"/><Relationship Id="rId525" Type="http://schemas.openxmlformats.org/officeDocument/2006/relationships/image" Target="media/image497.png"/><Relationship Id="rId526" Type="http://schemas.openxmlformats.org/officeDocument/2006/relationships/image" Target="media/image498.png"/><Relationship Id="rId527" Type="http://schemas.openxmlformats.org/officeDocument/2006/relationships/image" Target="media/image499.png"/><Relationship Id="rId528" Type="http://schemas.openxmlformats.org/officeDocument/2006/relationships/image" Target="media/image500.png"/><Relationship Id="rId529" Type="http://schemas.openxmlformats.org/officeDocument/2006/relationships/image" Target="media/image501.png"/><Relationship Id="rId530" Type="http://schemas.openxmlformats.org/officeDocument/2006/relationships/image" Target="media/image502.png"/><Relationship Id="rId531" Type="http://schemas.openxmlformats.org/officeDocument/2006/relationships/image" Target="media/image503.png"/><Relationship Id="rId532" Type="http://schemas.openxmlformats.org/officeDocument/2006/relationships/image" Target="media/image504.png"/><Relationship Id="rId533" Type="http://schemas.openxmlformats.org/officeDocument/2006/relationships/image" Target="media/image505.png"/><Relationship Id="rId534" Type="http://schemas.openxmlformats.org/officeDocument/2006/relationships/image" Target="media/image506.png"/><Relationship Id="rId535" Type="http://schemas.openxmlformats.org/officeDocument/2006/relationships/image" Target="media/image507.png"/><Relationship Id="rId536" Type="http://schemas.openxmlformats.org/officeDocument/2006/relationships/image" Target="media/image508.png"/><Relationship Id="rId537" Type="http://schemas.openxmlformats.org/officeDocument/2006/relationships/image" Target="media/image509.png"/><Relationship Id="rId538" Type="http://schemas.openxmlformats.org/officeDocument/2006/relationships/image" Target="media/image510.png"/><Relationship Id="rId539" Type="http://schemas.openxmlformats.org/officeDocument/2006/relationships/image" Target="media/image511.png"/><Relationship Id="rId540" Type="http://schemas.openxmlformats.org/officeDocument/2006/relationships/image" Target="media/image512.png"/><Relationship Id="rId541" Type="http://schemas.openxmlformats.org/officeDocument/2006/relationships/image" Target="media/image513.png"/><Relationship Id="rId542" Type="http://schemas.openxmlformats.org/officeDocument/2006/relationships/image" Target="media/image514.png"/><Relationship Id="rId543" Type="http://schemas.openxmlformats.org/officeDocument/2006/relationships/image" Target="media/image515.png"/><Relationship Id="rId544" Type="http://schemas.openxmlformats.org/officeDocument/2006/relationships/image" Target="media/image516.png"/><Relationship Id="rId545" Type="http://schemas.openxmlformats.org/officeDocument/2006/relationships/image" Target="media/image517.png"/><Relationship Id="rId546" Type="http://schemas.openxmlformats.org/officeDocument/2006/relationships/image" Target="media/image518.png"/><Relationship Id="rId547" Type="http://schemas.openxmlformats.org/officeDocument/2006/relationships/image" Target="media/image519.png"/><Relationship Id="rId548" Type="http://schemas.openxmlformats.org/officeDocument/2006/relationships/image" Target="media/image520.png"/><Relationship Id="rId549" Type="http://schemas.openxmlformats.org/officeDocument/2006/relationships/image" Target="media/image521.png"/><Relationship Id="rId550" Type="http://schemas.openxmlformats.org/officeDocument/2006/relationships/image" Target="media/image522.png"/><Relationship Id="rId551" Type="http://schemas.openxmlformats.org/officeDocument/2006/relationships/image" Target="media/image523.png"/><Relationship Id="rId552" Type="http://schemas.openxmlformats.org/officeDocument/2006/relationships/image" Target="media/image524.png"/><Relationship Id="rId553" Type="http://schemas.openxmlformats.org/officeDocument/2006/relationships/image" Target="media/image525.png"/><Relationship Id="rId554" Type="http://schemas.openxmlformats.org/officeDocument/2006/relationships/image" Target="media/image526.png"/><Relationship Id="rId555" Type="http://schemas.openxmlformats.org/officeDocument/2006/relationships/image" Target="media/image527.png"/><Relationship Id="rId556" Type="http://schemas.openxmlformats.org/officeDocument/2006/relationships/image" Target="media/image528.png"/><Relationship Id="rId557" Type="http://schemas.openxmlformats.org/officeDocument/2006/relationships/image" Target="media/image529.png"/><Relationship Id="rId558" Type="http://schemas.openxmlformats.org/officeDocument/2006/relationships/image" Target="media/image530.png"/><Relationship Id="rId559" Type="http://schemas.openxmlformats.org/officeDocument/2006/relationships/image" Target="media/image531.png"/><Relationship Id="rId560" Type="http://schemas.openxmlformats.org/officeDocument/2006/relationships/image" Target="media/image532.png"/><Relationship Id="rId561" Type="http://schemas.openxmlformats.org/officeDocument/2006/relationships/image" Target="media/image533.png"/><Relationship Id="rId562" Type="http://schemas.openxmlformats.org/officeDocument/2006/relationships/image" Target="media/image534.png"/><Relationship Id="rId563" Type="http://schemas.openxmlformats.org/officeDocument/2006/relationships/image" Target="media/image535.png"/><Relationship Id="rId564" Type="http://schemas.openxmlformats.org/officeDocument/2006/relationships/image" Target="media/image536.png"/><Relationship Id="rId565" Type="http://schemas.openxmlformats.org/officeDocument/2006/relationships/image" Target="media/image537.png"/><Relationship Id="rId566" Type="http://schemas.openxmlformats.org/officeDocument/2006/relationships/image" Target="media/image538.png"/><Relationship Id="rId567" Type="http://schemas.openxmlformats.org/officeDocument/2006/relationships/image" Target="media/image539.png"/><Relationship Id="rId568" Type="http://schemas.openxmlformats.org/officeDocument/2006/relationships/image" Target="media/image540.png"/><Relationship Id="rId569" Type="http://schemas.openxmlformats.org/officeDocument/2006/relationships/image" Target="media/image541.png"/><Relationship Id="rId570" Type="http://schemas.openxmlformats.org/officeDocument/2006/relationships/image" Target="media/image542.png"/><Relationship Id="rId571" Type="http://schemas.openxmlformats.org/officeDocument/2006/relationships/image" Target="media/image543.png"/><Relationship Id="rId397" Type="http://schemas.openxmlformats.org/officeDocument/2006/relationships/hyperlink" Target="https://www.sec.gov/Archives/edgar/data/0001812364/000119312521118438/d110953dex21.htm" TargetMode="External"/><Relationship Id="rId398" Type="http://schemas.openxmlformats.org/officeDocument/2006/relationships/hyperlink" Target="https://www.sec.gov/Archives/edgar/data/0001812364/000119312520196383/d29076dex31.htm" TargetMode="External"/><Relationship Id="rId399" Type="http://schemas.openxmlformats.org/officeDocument/2006/relationships/hyperlink" Target="https://www.sec.gov/Archives/edgar/data/0001812364/000119312520196383/d29076dex32.htm" TargetMode="External"/><Relationship Id="rId400" Type="http://schemas.openxmlformats.org/officeDocument/2006/relationships/hyperlink" Target="https://www.sec.gov/Archives/edgar/data/0001812364/000119312520190069/d924757dex41.htm" TargetMode="External"/><Relationship Id="rId401" Type="http://schemas.openxmlformats.org/officeDocument/2006/relationships/hyperlink" Target="https://www.sec.gov/Archives/edgar/data/1812364/000156459021015518/rlay-ex43_903.htm" TargetMode="External"/><Relationship Id="rId402" Type="http://schemas.openxmlformats.org/officeDocument/2006/relationships/hyperlink" Target="https://www.sec.gov/Archives/edgar/data/0001812364/000119312520177746/d924757dex101.htm" TargetMode="External"/><Relationship Id="rId403" Type="http://schemas.openxmlformats.org/officeDocument/2006/relationships/hyperlink" Target="https://www.sec.gov/Archives/edgar/data/0001812364/000119312520190069/d924757dex103.htm" TargetMode="External"/><Relationship Id="rId404" Type="http://schemas.openxmlformats.org/officeDocument/2006/relationships/hyperlink" Target="https://www.sec.gov/Archives/edgar/data/0001812364/000119312520177746/d924757dex104.htm" TargetMode="External"/><Relationship Id="rId405" Type="http://schemas.openxmlformats.org/officeDocument/2006/relationships/hyperlink" Target="https://www.sec.gov/Archives/edgar/data/0001812364/000119312521137130/d132252dex105.htm" TargetMode="External"/><Relationship Id="rId406" Type="http://schemas.openxmlformats.org/officeDocument/2006/relationships/hyperlink" Target="https://www.sec.gov/Archives/edgar/data/0001812364/000119312520177746/d924757dex106.htm" TargetMode="External"/><Relationship Id="rId407" Type="http://schemas.openxmlformats.org/officeDocument/2006/relationships/hyperlink" Target="https://www.sec.gov/Archives/edgar/data/0001812364/000119312520190069/d924757dex108.htm" TargetMode="External"/><Relationship Id="rId408" Type="http://schemas.openxmlformats.org/officeDocument/2006/relationships/hyperlink" Target="https://www.sec.gov/Archives/edgar/data/0001812364/000119312520177746/d924757dex109.htm" TargetMode="External"/><Relationship Id="rId409" Type="http://schemas.openxmlformats.org/officeDocument/2006/relationships/hyperlink" Target="https://www.sec.gov/Archives/edgar/data/0001812364/000156459021043999/rlay-ex102_8.htm" TargetMode="External"/><Relationship Id="rId410" Type="http://schemas.openxmlformats.org/officeDocument/2006/relationships/hyperlink" Target="https://www.sec.gov/Archives/edgar/data/0001812364/000119312520177746/d924757dex1010.htm" TargetMode="External"/><Relationship Id="rId413" Type="http://schemas.openxmlformats.org/officeDocument/2006/relationships/hyperlink" Target="https://www.sec.gov/Archives/edgar/data/0001812364/000119312521137130/d132252dex1010.htm" TargetMode="External"/><Relationship Id="rId414" Type="http://schemas.openxmlformats.org/officeDocument/2006/relationships/hyperlink" Target="https://www.sec.gov/Archives/edgar/data/0001812364/000156459021027601/rlay-ex104_188.htm" TargetMode="External"/><Relationship Id="rId415" Type="http://schemas.openxmlformats.org/officeDocument/2006/relationships/hyperlink" Target="https://www.sec.gov/Archives/edgar/data/1812364/000156459021015518/rlay-ex1010_1012.htm" TargetMode="External"/><Relationship Id="rId416" Type="http://schemas.openxmlformats.org/officeDocument/2006/relationships/hyperlink" Target="https://www.sec.gov/Archives/edgar/data/0001812364/000119312521137130/d132252dex1014.htm" TargetMode="External"/><Relationship Id="rId417" Type="http://schemas.openxmlformats.org/officeDocument/2006/relationships/hyperlink" Target="https://www.sec.gov/Archives/edgar/data/0001812364/000119312520177746/d924757dex107.htm" TargetMode="External"/><Relationship Id="rId418" Type="http://schemas.openxmlformats.org/officeDocument/2006/relationships/hyperlink" Target="https://www.sec.gov/Archives/edgar/data/0001812364/000119312520291681/d24902dex107.htm" TargetMode="External"/><Relationship Id="rId419" Type="http://schemas.openxmlformats.org/officeDocument/2006/relationships/hyperlink" Target="https://www.sec.gov/Archives/edgar/data/0001812364/000156459021043999/rlay-ex105_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2022-02-24T15:50:40Z</dcterms:created>
  <dcterms:modified xsi:type="dcterms:W3CDTF">2022-02-24T15:50:40Z</dcterms:modified>
</cp:coreProperties>
</file>