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RELAY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001-39385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47-3923475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60 Hampshire Street</w:t>
      </w:r>
    </w:p>
    <w:p>
      <w:pPr>
        <w:spacing w:after="0" w:line="3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Cambridge, Massachusetts</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02139</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370-8837</w:t>
      </w:r>
    </w:p>
    <w:p>
      <w:pPr>
        <w:spacing w:after="0" w:line="1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213360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0"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RLAY</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 Global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May 20, 2026, Relay Therapeutics, Inc. (the “Company”) entered into an Underwriting Agreement (the “Underwriting Agreement”) with Jefferies LLC and TD Securities (USA) LLC, as representatives of the several underwriters listed on Schedule 1 thereto (collectively, the “Underwriters”), relating to an underwritten public offering (the “Offering”) of 22,916,667 shares of the Company’s common stock, $0.001 par value per share (the “Common Stock”), at a price to the public of $12.00 per share. The Company granted the Underwriters a 30-day option to purchase, at the public offering price less underwriting discounts and commissions, up to an additional 3,437,500 shares of Common Stock which the Underwriters exercised in full on May 21, 2026. The Company estimates net proceeds from the Offering, after deducting the underwriting discounts and commissions and other estimated offering expenses payable by the Company, will be approximately $296.8 million. The Offering is expected to close on May 22, 2026, subject to customary closing conditions.</w:t>
      </w:r>
    </w:p>
    <w:p>
      <w:pPr>
        <w:spacing w:after="0" w:line="19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 made customary representations, warranties and covenants concerning the Company and the registration statement in the Underwriting Agreement and also agreed to indemnify the Underwriters against certain liabilities, including liabilities under the Securities Act of 1933, as amended (the “Securities Act”). The Offering was made pursuant to the Company’s effective shelf registration statement on Form S-3ASR (File No. 333-281308), including the prospectus dated August 6, 2024, as supplemented by a prospectus supplement dated May 20, 2026. This Current Report on Form 8-K does not constitute an offer to sell or the solicitation of an offer to buy any of the shares of Common Stock.</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foregoing description of certain terms of the Underwriting Agreement and the transactions contemplated thereby does not purport to be complete and is subject to, and qualified in its entirety by, the full text of the Underwriting Agreement, which is attached as Exhibit 1.1 to this Current Report on Form 8-K and is incorporated herein by reference. The legal opinion of Goodwin Procter LLP relating to the legality of the issuance and sale of the shares in this Offering is filed as Exhibit 5.1 to this Current Report on Form 8-K and incorporated herein by reference.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Current Report on Form 8-K and certain of the materials filed herewith contain forward-looking statements within the meaning of the Private Securities Litigation Reform Act of 1995, as amended, including, without limitation, statements regarding the Offering. The words “may,” “might,” “will,” “could,” “would,” “should,” “expect,” “plan,” “anticipate,” “intend,” “believe,” “estimate,” “seek,” “predict,” “future,” “project,” “potential,” “continue,” “target” and similar words or expressions are intended to identify forward-looking statements, although not all forward-looking statements contain these identifying words. Any forward-looking statements, such as those related to the anticipated closing of the Offering, are subject to a number of risks, uncertainties and important factors that may cause actual events or results to differ materially from those expressed or implied by any forward-looking statements contained in this Current Report on Form 8-K or the materials furnished or filed herewith, including, without limitation, uncertainties related to market conditions and the completion of the Offering on the anticipated terms or at all. These and other risks and uncertainties are described in greater detail in the section entitled “Risk Factors” in the Company’s Annual Report on Form 10-K for the year ended December 31, 2025 and the Company’s Quarterly Report on Form 10-Q for the quarter ended March 31, 2026, as well as any subsequent filings with the Securities and Exchange Commission. In addition, any forward-looking statements represent the Company’s views only as of today and should not be relied upon as representing its views as of any subsequent date. The Company explicitly disclaims any obligation to update any forward-looking statements. No representations or warranties (expressed or implied) are made about the accuracy of any such forward-looking statements.</w:t>
      </w:r>
    </w:p>
    <w:p>
      <w:pPr>
        <w:sectPr>
          <w:pgSz w:w="11900" w:h="16838" w:orient="portrait"/>
          <w:cols w:equalWidth="0" w:num="1">
            <w:col w:w="11000"/>
          </w:cols>
          <w:pgMar w:left="440" w:top="293" w:right="459" w:bottom="1440" w:gutter="0" w:footer="0" w:header="0"/>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ind w:left="660" w:hanging="660"/>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u w:val="single" w:color="auto"/>
          <w:color w:val="0000EE"/>
        </w:rPr>
        <w:t>Underwriting Agreement, dated as of May 20, 2026, by and among the Company, Jefferies LLC and TD Securities (USA) LLC, as representatives of the several Underwriters listed on Schedule 1 thereto.</w:t>
      </w:r>
    </w:p>
    <w:p>
      <w:pPr>
        <w:spacing w:after="0" w:line="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0000EE"/>
        </w:rPr>
        <w:t>Opinion of Goodwin Procter LLP regarding the issue of Common Stock being registered.</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Goodwin Procter LLP (included in Exhibit 5.1).</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Inline XBRL document).</w:t>
      </w:r>
    </w:p>
    <w:p>
      <w:pPr>
        <w:sectPr>
          <w:pgSz w:w="11900" w:h="16838" w:orient="portrait"/>
          <w:cols w:equalWidth="0" w:num="1">
            <w:col w:w="10080"/>
          </w:cols>
          <w:pgMar w:left="440" w:top="293" w:right="137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RELAY THERAPEUTICS,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21,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Soo-Yeun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Soo-Yeun Lim</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General Counsel</w:t>
      </w:r>
    </w:p>
    <w:p>
      <w:pPr>
        <w:sectPr>
          <w:pgSz w:w="11900" w:h="16838" w:orient="portrait"/>
          <w:cols w:equalWidth="0" w:num="1">
            <w:col w:w="10260"/>
          </w:cols>
          <w:pgMar w:left="440" w:top="293"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RELAY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22,916,667 Shares of Common Stock, par value $0.001 per share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Underwriting Agreement</w:t>
      </w:r>
    </w:p>
    <w:p>
      <w:pPr>
        <w:spacing w:after="0" w:line="225"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18"/>
          <w:szCs w:val="18"/>
          <w:color w:val="auto"/>
        </w:rPr>
        <w:t>May 20,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several Underwriters listed</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TD Securities (USA)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Vanderbilt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Relay Therapeutics, Inc., a Delaware corporation (the “Company”), proposes to issue and sell to the several underwriters listed in Schedule 1 hereto (the “Underwriters”), for whom you are acting as representatives (the “Representatives”), an aggregate of 22,916,667 shares of common stock, par value $0.001 per share, of the Company (the “Underwritten Shares”) and, at the option of the Underwriters, up to an additional 3,437,500 shares of common stock of the Company (the “Option Shares”). The Underwritten Shares and the Option Shares are herein referred to as the “Shares”. The shares of common stock of the Company to be outstanding after giving effect to the sale of the Shares are referred to herein as the “Stock”.</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hereby confirms its agreement with the several Underwriters concerning the purchase and sale of the Shares, as follows:</w:t>
      </w:r>
    </w:p>
    <w:p>
      <w:pPr>
        <w:spacing w:after="0" w:line="225" w:lineRule="exact"/>
        <w:rPr>
          <w:sz w:val="20"/>
          <w:szCs w:val="20"/>
          <w:color w:val="auto"/>
        </w:rPr>
      </w:pPr>
    </w:p>
    <w:p>
      <w:pPr>
        <w:ind w:right="140" w:firstLine="436"/>
        <w:spacing w:after="0" w:line="258" w:lineRule="auto"/>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Company has prepared and filed with the Securities and Exchange Commission (the “Commission”) under the Securities Act of 1933, as amended, and the rules and regulations of the Commission thereunder (collectively, the “Securities Act”), a shelf registration statement on Form S-3 (File No. 333-281308), including a prospectus, relating to certain securities of the Company, including the Shares. Such registration statement, as amended at the time it became effective, including the information, if any, deemed pursuant to Rule 430A, 430B or 430C under the Securities Act to be part of the registration statement at the</w:t>
      </w:r>
    </w:p>
    <w:p>
      <w:pPr>
        <w:sectPr>
          <w:pgSz w:w="11900" w:h="16838" w:orient="portrait"/>
          <w:cols w:equalWidth="0" w:num="1">
            <w:col w:w="11020"/>
          </w:cols>
          <w:pgMar w:left="440" w:top="117" w:right="439" w:bottom="1440" w:gutter="0" w:footer="0" w:header="0"/>
        </w:sectPr>
      </w:pPr>
    </w:p>
    <w:bookmarkStart w:id="5" w:name="page6"/>
    <w:bookmarkEnd w:id="5"/>
    <w:p>
      <w:pPr>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time of its effectiveness (“Rule 430 Information”), is referred to herein as the “Registration Statement”; and as used herein, the term “Preliminary Prospectus” means each prospectus included in such registration statement (and any amendments thereto), any prospectus filed with the Commission pursuant to Rule 424(a) under the Securities Act and the prospectus included in the Registration Statement that omits Rule 430 Information, and the term “Prospectus” means the prospectus in the form first used (or made available upon request of purchasers pursuant to Rule 173 under the Securities Act) in connection with confirmation of sales of the Shares. If the Company has filed an abbreviated registration statement pursuant to Rule 462(b) under the Securities Act (the “Rule 462 Registration Statement”), then any reference herein to the term “Registration Statement” shall be deemed to include such Rule 462 Registration Statement. Any reference in this underwriting agreement (this “Agreement”) to the Registration Statement, any Preliminary Prospectus or the Prospectus shall be deemed to refer to and include the documents incorporated by reference therein pursuant to Item 12 of Form S-3 under the Securities Act, as of the effective date of the Registration Statement or the date of such Preliminary Prospectus or the Prospectus, as the case may be, and any reference to “amend”, “amendment” or “supplement” with respect to the Registration Statement, any Preliminary Prospectus or the Prospectus shall be deemed to refer to and include any documents filed after such date under the Securities Exchange Act of 1934, as amended, and the rules and regulations of the Commission thereunder (collectively, the “Exchange Act”) that are deemed to be incorporated by reference therein. Capitalized terms used but not defined herein shall have the meanings given to such terms in the Registration Statement and the Prospectus.</w:t>
      </w:r>
    </w:p>
    <w:p>
      <w:pPr>
        <w:spacing w:after="0" w:line="176"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At or prior to the Applicable Time (as defined below), the Company had prepared the following information (collectively with the pricing information set forth on Annex A, the “Pricing Disclosure Package”): a Preliminary Prospectus dated May 19, 2026 and each “free-writing prospectus” (as defined pursuant to Rule 405 under the Securities Act) listed on Annex A hereto.</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“Applicable Time” means 6:15 P.M., New York City time, on May 20, 2026.</w:t>
      </w:r>
    </w:p>
    <w:p>
      <w:pPr>
        <w:spacing w:after="0" w:line="225" w:lineRule="exact"/>
        <w:rPr>
          <w:sz w:val="20"/>
          <w:szCs w:val="20"/>
          <w:color w:val="auto"/>
        </w:rPr>
      </w:pPr>
    </w:p>
    <w:p>
      <w:pPr>
        <w:ind w:left="620" w:hanging="184"/>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of the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436"/>
        <w:spacing w:after="0" w:line="261" w:lineRule="auto"/>
        <w:tabs>
          <w:tab w:leader="none" w:pos="6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issue and sell the Underwritten Shares to the several Underwriters as provided in this Agreement, and each Underwriter, on the basis of the representations, warranties and agreements set forth herein and subject to the conditions set forth herein, agrees, severally and not jointly, to purchase at a price per share of $11.28 (the “Purchase Price”) from the Company the respective number of Underwritten Shares set forth opposite such Underwriter’s name in Schedule 1 hereto.</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In addition, the Company agrees to issue and sell the Option Shares to the several Underwriters as provided in this Agreement, and the Underwriters, on the basis of the representations, warranties and agreements set forth herein and subject to the conditions set forth herein, shall have the option to purchase, severally and not jointly, from the Company the Option Shares at the Purchase Price less an amount per share equal to any dividends or distributions declared by the Company and payable on the Underwritten Shares but not payable on the Option Shares.</w:t>
      </w:r>
    </w:p>
    <w:p>
      <w:pPr>
        <w:sectPr>
          <w:pgSz w:w="11900" w:h="16838" w:orient="portrait"/>
          <w:cols w:equalWidth="0" w:num="1">
            <w:col w:w="10960"/>
          </w:cols>
          <w:pgMar w:left="440" w:top="270" w:right="499" w:bottom="1440" w:gutter="0" w:footer="0" w:header="0"/>
        </w:sectPr>
      </w:pPr>
    </w:p>
    <w:bookmarkStart w:id="6" w:name="page7"/>
    <w:bookmarkEnd w:id="6"/>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any Option Shares are to be purchased, the number of Option Shares to be purchased by each Underwriter shall be the number of Option Shares which bears the same ratio to the aggregate number of Option Shares being purchased as the number of Underwritten Shares set forth opposite the name of such Underwriter in Schedule 1 hereto (or such number increased as set forth in Section 10 hereof) bears to the aggregate number of Underwritten Shares being purchased from the Company by the several Underwriters, subject, however, to such adjustments to eliminate any fractional Shares as the Representatives in their sole discretion shall make.</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Underwriters may exercise the option to purchase Option Shares at any time in whole, or from time to time in part, on or before the thirtieth day following the date of the Prospectus, by written notice from the Representatives to the Company. Such notice shall set forth the aggregate number of Option Shares as to which the option is being exercised and the date and time when the Option Shares are to be delivered and paid for, which may be the same date and time as the Closing Date (as hereinafter defined) but shall not be earlier than the Closing Date nor later than the tenth full business day (as hereinafter defined) after the date of such notice (unless such time and date are postponed in accordance with the provisions of Section 10 hereof). Any such notice shall be given at least two business days prior to the date and time of delivery specified therein.</w:t>
      </w:r>
    </w:p>
    <w:p>
      <w:pPr>
        <w:spacing w:after="0" w:line="187" w:lineRule="exact"/>
        <w:rPr>
          <w:sz w:val="20"/>
          <w:szCs w:val="20"/>
          <w:color w:val="auto"/>
        </w:rPr>
      </w:pPr>
    </w:p>
    <w:p>
      <w:pPr>
        <w:jc w:val="both"/>
        <w:ind w:right="220" w:firstLine="436"/>
        <w:spacing w:after="0" w:line="266" w:lineRule="auto"/>
        <w:tabs>
          <w:tab w:leader="none" w:pos="6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understands that the Underwriters intend to make a public offering of the Shares, and initially to offer the Shares on the terms set forth in the Pricing Disclosure Package. The Company acknowledges and agrees that the Underwriters may offer and sell Shares to or through any affiliate of an Underwriter.</w:t>
      </w:r>
    </w:p>
    <w:p>
      <w:pPr>
        <w:spacing w:after="0" w:line="17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the Shares shall be made by wire transfer in immediately available funds to the account specified by the Company to the</w:t>
      </w:r>
    </w:p>
    <w:p>
      <w:pPr>
        <w:spacing w:after="0" w:line="27" w:lineRule="exact"/>
        <w:rPr>
          <w:rFonts w:ascii="Times New Roman" w:cs="Times New Roman" w:eastAsia="Times New Roman" w:hAnsi="Times New Roman"/>
          <w:sz w:val="18"/>
          <w:szCs w:val="18"/>
          <w:color w:val="auto"/>
        </w:rPr>
      </w:pPr>
    </w:p>
    <w:p>
      <w:pPr>
        <w:ind w:right="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Representatives in the case of the Underwritten Shares, at the offices of Ropes &amp; Gray LLP, Prudential Tower, 800 Boylston Street, Boston, MA 02199-3600 at 10:00 A.M. New York City time on May 22, 2026, or at such other time or place on the same or such other date, not later than the fifth business day thereafter, as the Representatives and the Company may agree upon in writing or, in the case of the Option Shares, on the date and at the time and place specified by the Representatives in the written notice of the Underwriters’ election to purchase such Option Shares. The time and date of such payment for the Underwritten Shares is referred to herein as the “Closing Date”, and the time and date for such payment for the Option Shares, if other than the Closing Date, is herein referred to as the “Additional Closing Date”.</w:t>
      </w:r>
    </w:p>
    <w:p>
      <w:pPr>
        <w:spacing w:after="0" w:line="190"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Payment for the Shares to be purchased on the Closing Date or the Additional Closing Date, as the case may be, shall be made against delivery to the Representatives for the respective accounts of the several Underwriters of the Shares to be purchased on the Closing Date or the Additional Closing Date, as the case may be, with any transfer taxes payable in connection with the sale of such Shares duly paid by the Company. Delivery of the Shares shall be made through the facilities of The Depository Trust Company (“DTC”) unless the Representatives shall otherwise instruct.</w:t>
      </w:r>
    </w:p>
    <w:p>
      <w:pPr>
        <w:sectPr>
          <w:pgSz w:w="11900" w:h="16838" w:orient="portrait"/>
          <w:cols w:equalWidth="0" w:num="1">
            <w:col w:w="11000"/>
          </w:cols>
          <w:pgMar w:left="440" w:top="270" w:right="459" w:bottom="1440" w:gutter="0" w:footer="0" w:header="0"/>
        </w:sectPr>
      </w:pPr>
    </w:p>
    <w:bookmarkStart w:id="7" w:name="page8"/>
    <w:bookmarkEnd w:id="7"/>
    <w:p>
      <w:pPr>
        <w:ind w:left="-436" w:firstLine="436"/>
        <w:spacing w:after="0" w:line="254" w:lineRule="auto"/>
        <w:tabs>
          <w:tab w:leader="none" w:pos="25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acknowledges and agrees that the Representatives and the other Underwriters are acting solely in the capacity of an arm’s length contractual counterparty to the Company with respect to the offering of Shares contemplated hereby (including in connection with determining the terms of the offering) and not as financial advisors or fiduciaries to, or agents of, the Company or any other person.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neither the Representatives nor the other Underwriters shall have any responsibility or liability to the Company with respect thereto. Any review by the Representatives and the other Underwriters of the Company, the transactions contemplated hereby or other matters relating to such transactions will be performed solely for the benefit of the Underwriters and shall not be on behalf of the Company.</w:t>
      </w:r>
    </w:p>
    <w:p>
      <w:pPr>
        <w:spacing w:after="0" w:line="188" w:lineRule="exact"/>
        <w:rPr>
          <w:sz w:val="20"/>
          <w:szCs w:val="20"/>
          <w:color w:val="auto"/>
        </w:rPr>
      </w:pPr>
    </w:p>
    <w:p>
      <w:pPr>
        <w:ind w:left="184" w:hanging="184"/>
        <w:spacing w:after="0"/>
        <w:tabs>
          <w:tab w:leader="none" w:pos="1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each Underwriter that:</w:t>
      </w:r>
    </w:p>
    <w:p>
      <w:pPr>
        <w:spacing w:after="0" w:line="115" w:lineRule="exact"/>
        <w:rPr>
          <w:rFonts w:ascii="Times New Roman" w:cs="Times New Roman" w:eastAsia="Times New Roman" w:hAnsi="Times New Roman"/>
          <w:sz w:val="18"/>
          <w:szCs w:val="18"/>
          <w:color w:val="auto"/>
        </w:rPr>
      </w:pPr>
    </w:p>
    <w:p>
      <w:pPr>
        <w:ind w:left="4" w:right="80" w:firstLine="419"/>
        <w:spacing w:after="0" w:line="255" w:lineRule="auto"/>
        <w:tabs>
          <w:tab w:leader="none" w:pos="67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Preliminary Prospectus. </w:t>
      </w:r>
      <w:r>
        <w:rPr>
          <w:rFonts w:ascii="Times New Roman" w:cs="Times New Roman" w:eastAsia="Times New Roman" w:hAnsi="Times New Roman"/>
          <w:sz w:val="18"/>
          <w:szCs w:val="18"/>
          <w:color w:val="auto"/>
        </w:rPr>
        <w:t>No order preventing or suspending the use of any Preliminary Prospectus has been issued by the Commission,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each Preliminary Prospectus included in the Pricing Disclosure Package, at the time of filing thereof, complied in all material respects with the applicable requirements of the Securities Act, and no Preliminary Prospectus, at the time of filing thereof, contained any untrue statement of a material fact or omitted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any Preliminary Prospectus, it being understood and agreed that the only such information furnished by any Underwriter consists of the information described as such in Section 7(b) hereof.</w:t>
      </w:r>
    </w:p>
    <w:p>
      <w:pPr>
        <w:spacing w:after="0" w:line="76" w:lineRule="exact"/>
        <w:rPr>
          <w:rFonts w:ascii="Times New Roman" w:cs="Times New Roman" w:eastAsia="Times New Roman" w:hAnsi="Times New Roman"/>
          <w:sz w:val="18"/>
          <w:szCs w:val="18"/>
          <w:color w:val="auto"/>
        </w:rPr>
      </w:pPr>
    </w:p>
    <w:p>
      <w:pPr>
        <w:ind w:left="4" w:right="60" w:firstLine="419"/>
        <w:spacing w:after="0" w:line="254" w:lineRule="auto"/>
        <w:tabs>
          <w:tab w:leader="none" w:pos="68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Pricing Disclosure Package</w:t>
      </w:r>
      <w:r>
        <w:rPr>
          <w:rFonts w:ascii="Times New Roman" w:cs="Times New Roman" w:eastAsia="Times New Roman" w:hAnsi="Times New Roman"/>
          <w:sz w:val="18"/>
          <w:szCs w:val="18"/>
          <w:color w:val="auto"/>
        </w:rPr>
        <w:t>. The Pricing Disclosure Package as of the Applicable Time did not, and as of the Closing Date and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such Pricing Disclosure Package, it being understood and agreed that the only such information furnished by any Underwriter consists of the information described as such in Section 7(b) hereof. No statement of material fact included in the Prospectus has been omitted from the Pricing Disclosure Package and no statement of material fact included in the Pricing Disclosure Package that is required to be included in the Prospectus has been omitted therefrom.</w:t>
      </w:r>
    </w:p>
    <w:p>
      <w:pPr>
        <w:sectPr>
          <w:pgSz w:w="11900" w:h="16838" w:orient="portrait"/>
          <w:cols w:equalWidth="0" w:num="1">
            <w:col w:w="10564"/>
          </w:cols>
          <w:pgMar w:left="876" w:top="270" w:right="459" w:bottom="1440" w:gutter="0" w:footer="0" w:header="0"/>
        </w:sectPr>
      </w:pPr>
    </w:p>
    <w:bookmarkStart w:id="8" w:name="page9"/>
    <w:bookmarkEnd w:id="8"/>
    <w:p>
      <w:pPr>
        <w:ind w:firstLine="419"/>
        <w:spacing w:after="0" w:line="252" w:lineRule="auto"/>
        <w:tabs>
          <w:tab w:leader="none" w:pos="66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Issuer Free Writing Prospectus. </w:t>
      </w:r>
      <w:r>
        <w:rPr>
          <w:rFonts w:ascii="Times New Roman" w:cs="Times New Roman" w:eastAsia="Times New Roman" w:hAnsi="Times New Roman"/>
          <w:sz w:val="18"/>
          <w:szCs w:val="18"/>
          <w:color w:val="auto"/>
        </w:rPr>
        <w:t>Other than the Registration Statement, the Preliminary Prospectus and the Prospectus,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(including its agents and representatives, other than the Underwriters in their capacity as such) has not prepared, made, used, authorized, approved or referred to and will not prepare, make, use, authorize, approve or refer to any “written communication” (as defined in Rule 405 under the Securities Act) that constitutes an offer to sell or solicitation of an offer to buy the Shares (each such communication by the Company or its agents and representatives (other than a communication referred to in clause (i) below) an “Issuer Free Writing Prospectus”) other than (i) any document not constituting a prospectus pursuant to Section 2(a)(10)(a) of the Securities Act or Rule 134 under the Securities Act or (ii) the documents listed on Annex A hereto, each electronic road show and any other written communications approved in writing in advance by the Representatives. Each such Issuer Free Writing Prospectus complied in all material respects with the Securities Act, has been or will be (within the time period specified in Rule 433) filed in accordance with the Securities Act (to the extent required thereby) and does not conflict with the information contained in the Registration Statement or the Pricing Disclosure Package, and, when taken together with the Preliminary Prospectus filed prior to the first use of, such Issuer Free Writing Prospectus,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each such Issuer Free Writing Prospectus or Preliminary Prospectus in reliance upon and in conformity with information relating to any Underwriter furnished to the Company in writing by such Underwriter through the Representatives expressly for use in such Issuer Free Writing Prospectus or Preliminary Prospectus, it being understood and agreed that the only such information furnished by any Underwriter consists of the information described as such in Section 7(b) hereof.</w:t>
      </w:r>
    </w:p>
    <w:p>
      <w:pPr>
        <w:spacing w:after="0" w:line="85" w:lineRule="exact"/>
        <w:rPr>
          <w:rFonts w:ascii="Times New Roman" w:cs="Times New Roman" w:eastAsia="Times New Roman" w:hAnsi="Times New Roman"/>
          <w:sz w:val="18"/>
          <w:szCs w:val="18"/>
          <w:color w:val="auto"/>
        </w:rPr>
      </w:pPr>
    </w:p>
    <w:p>
      <w:pPr>
        <w:ind w:right="40" w:firstLine="419"/>
        <w:spacing w:after="0" w:line="273" w:lineRule="auto"/>
        <w:tabs>
          <w:tab w:leader="none" w:pos="678"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Testing-the-Waters Materials. </w:t>
      </w:r>
      <w:r>
        <w:rPr>
          <w:rFonts w:ascii="Times New Roman" w:cs="Times New Roman" w:eastAsia="Times New Roman" w:hAnsi="Times New Roman"/>
          <w:sz w:val="17"/>
          <w:szCs w:val="17"/>
          <w:color w:val="auto"/>
        </w:rPr>
        <w:t>The Company (i) has not alone engaged in any Testing-the-Waters Communications (as defined below)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other than Testing-the-Waters Communications with the consent of the Representatives (x) with entities that are qualified institutional buyers (“QIBs”) within the meaning of Rule 144A under the Securities Act or institutions that are accredited investors within the meaning of Rule 501(a)</w:t>
      </w:r>
    </w:p>
    <w:p>
      <w:pPr>
        <w:spacing w:after="0" w:line="1" w:lineRule="exact"/>
        <w:rPr>
          <w:rFonts w:ascii="Times New Roman" w:cs="Times New Roman" w:eastAsia="Times New Roman" w:hAnsi="Times New Roman"/>
          <w:sz w:val="17"/>
          <w:szCs w:val="17"/>
          <w:color w:val="auto"/>
        </w:rPr>
      </w:pPr>
    </w:p>
    <w:p>
      <w:pPr>
        <w:ind w:right="4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(a)(2), (a)(3), (a)(7), (a)(8), (a)(9), (a)(12) or (a)(13) under the Securities Act (“IAIs”) and otherwise in compliance with the requirements of Rule 163B under the Securities Act and (ii) has not authorized anyone other than the Representatives to engage in Testing-the-Waters Communications. “Testing-the-Waters Communication” means any oral or written communication with potential investors undertaken in reliance on Rule 163B of the Securities Act. The Company has not distributed or approved for distribution any Written Testing-the-Waters Communications other than those listed on Annex B hereto. “Written Testing-the-Waters Communication” means any Testing-the-Waters Communication that is a written communication within the meaning of Rule 405 under the Securities Act. Any individual Written Testing-the-Waters Communication does not conflict with the information contained in the Registration Statement or the Pricing Disclosure Package, complied in all material respects with the applicable requirements of the Securities Act, and when taken together with the Pricing Disclosure Package as of the Applicable Time,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w:t>
      </w:r>
    </w:p>
    <w:p>
      <w:pPr>
        <w:sectPr>
          <w:pgSz w:w="11900" w:h="16838" w:orient="portrait"/>
          <w:cols w:equalWidth="0" w:num="1">
            <w:col w:w="10560"/>
          </w:cols>
          <w:pgMar w:left="880" w:top="268" w:right="459" w:bottom="1440" w:gutter="0" w:footer="0" w:header="0"/>
        </w:sectPr>
      </w:pPr>
    </w:p>
    <w:bookmarkStart w:id="9" w:name="page10"/>
    <w:bookmarkEnd w:id="9"/>
    <w:p>
      <w:pPr>
        <w:ind w:left="-419" w:firstLine="419"/>
        <w:spacing w:after="0" w:line="252" w:lineRule="auto"/>
        <w:tabs>
          <w:tab w:leader="none" w:pos="24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Registration Statement and Prospectus. </w:t>
      </w:r>
      <w:r>
        <w:rPr>
          <w:rFonts w:ascii="Times New Roman" w:cs="Times New Roman" w:eastAsia="Times New Roman" w:hAnsi="Times New Roman"/>
          <w:sz w:val="18"/>
          <w:szCs w:val="18"/>
          <w:color w:val="auto"/>
        </w:rPr>
        <w:t>The Registration Statement is an “automatic shelf registration statement” as defined under Rule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405 of the Securities Act that has been filed with the Commission not earlier than three years prior to the date hereof; and no notice of objection of the Commission to the use of such registration statement or any post-effective amendment thereto pursuant to Rule 401(g)(2) under the 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of the Shares has been initiated or, to the knowledge of the Company, threatened by the Commission; as of the applicable effective date of the Registration Statement and any post-effective 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will comply in all material respects with the Securities Act and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7(b) hereof.</w:t>
      </w:r>
    </w:p>
    <w:p>
      <w:pPr>
        <w:spacing w:after="0" w:line="86" w:lineRule="exact"/>
        <w:rPr>
          <w:rFonts w:ascii="Times New Roman" w:cs="Times New Roman" w:eastAsia="Times New Roman" w:hAnsi="Times New Roman"/>
          <w:sz w:val="18"/>
          <w:szCs w:val="18"/>
          <w:color w:val="auto"/>
        </w:rPr>
      </w:pPr>
    </w:p>
    <w:p>
      <w:pPr>
        <w:ind w:left="-419" w:right="140" w:firstLine="419"/>
        <w:spacing w:after="0" w:line="273" w:lineRule="auto"/>
        <w:tabs>
          <w:tab w:leader="none" w:pos="228"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Incorporated Documents</w:t>
      </w:r>
      <w:r>
        <w:rPr>
          <w:rFonts w:ascii="Times New Roman" w:cs="Times New Roman" w:eastAsia="Times New Roman" w:hAnsi="Times New Roman"/>
          <w:sz w:val="17"/>
          <w:szCs w:val="17"/>
          <w:color w:val="auto"/>
        </w:rPr>
        <w:t>. The documents incorporated by reference in the Registration Statement, the Prospectus and the Pricing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Disclosure Package, when they were filed with the Commission conformed in all material respects to the requirements of the Exchange Act, and none of such documents contained any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the Prospectus or the Pricing Disclosure Package, when such documents are filed with the Commission, will conform in all material respects to the requirements of the Exchange Act and will not contain any untrue statement of a material fact or omit to state a material fact necessary to make the statements therein, in the light of the circumstances under which they were made, not misleading.</w:t>
      </w:r>
    </w:p>
    <w:p>
      <w:pPr>
        <w:sectPr>
          <w:pgSz w:w="11900" w:h="16838" w:orient="portrait"/>
          <w:cols w:equalWidth="0" w:num="1">
            <w:col w:w="10141"/>
          </w:cols>
          <w:pgMar w:left="1299" w:top="268" w:right="459" w:bottom="1440" w:gutter="0" w:footer="0" w:header="0"/>
        </w:sectPr>
      </w:pPr>
    </w:p>
    <w:bookmarkStart w:id="10" w:name="page11"/>
    <w:bookmarkEnd w:id="10"/>
    <w:p>
      <w:pPr>
        <w:ind w:left="4" w:right="40" w:firstLine="419"/>
        <w:spacing w:after="0" w:line="254" w:lineRule="auto"/>
        <w:tabs>
          <w:tab w:leader="none" w:pos="68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Financial Statements. </w:t>
      </w:r>
      <w:r>
        <w:rPr>
          <w:rFonts w:ascii="Times New Roman" w:cs="Times New Roman" w:eastAsia="Times New Roman" w:hAnsi="Times New Roman"/>
          <w:sz w:val="18"/>
          <w:szCs w:val="18"/>
          <w:color w:val="auto"/>
        </w:rPr>
        <w:t>The financial statements (including the related notes thereto) of the Company and its consolidated subsidiary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or incorporated by reference in the Registration Statement, the Pricing Disclosure Package and the Prospectus comply in all material respects with the applicable requirements of the Securities Act and the Exchange Act, as applicable, and present fairly the financial position of the Company and its consolidated subsidiary as of the dates indicated and the results of their operations and the changes in their cash flows for the periods specified; such financial statements have been prepared in conformity with generally accepted accounting principles (“GAAP”) in the United States applied on a consistent basis throughout the periods covered thereby, and any supporting schedules included or incorporated by reference in the Registration Statement present fairly the information required to be stated therein; and the other financial information included or incorporated by reference in the Registration Statement, the Pricing Disclosure Package and the Prospectus has been derived from the accounting records of the Company and its consolidated subsidiary and presents fairly the information shown thereby.</w:t>
      </w:r>
    </w:p>
    <w:p>
      <w:pPr>
        <w:spacing w:after="0" w:line="80" w:lineRule="exact"/>
        <w:rPr>
          <w:rFonts w:ascii="Times New Roman" w:cs="Times New Roman" w:eastAsia="Times New Roman" w:hAnsi="Times New Roman"/>
          <w:sz w:val="18"/>
          <w:szCs w:val="18"/>
          <w:color w:val="auto"/>
        </w:rPr>
      </w:pPr>
    </w:p>
    <w:p>
      <w:pPr>
        <w:ind w:left="4" w:right="20" w:firstLine="419"/>
        <w:spacing w:after="0" w:line="267" w:lineRule="auto"/>
        <w:tabs>
          <w:tab w:leader="none" w:pos="681"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Material Adverse Change. </w:t>
      </w:r>
      <w:r>
        <w:rPr>
          <w:rFonts w:ascii="Times New Roman" w:cs="Times New Roman" w:eastAsia="Times New Roman" w:hAnsi="Times New Roman"/>
          <w:sz w:val="17"/>
          <w:szCs w:val="17"/>
          <w:color w:val="auto"/>
        </w:rPr>
        <w:t>Since the date of the most recent financial statements of the Company included or incorporated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reference in the Registration Statement, the Pricing Disclosure Package and the Prospectus, (i) there has not been any change in the capital stock (other than the issuance of shares of the Company’s common stock upon (A) sales pursuant to the sales agreement dated as of August 6, 2024 entered into by and between the Company and TD Securities (USA) LLC, (B) exercise of stock options and warrants, and (C) the grant of options, restricted stock units and awards under existing equity incentive plans, in each case as described in the Registration Statement, the Pricing Disclosure Package and the Prospectus), short-term debt or long-term debt of the Company or its subsidiary, or any dividend or distribution of any kind declared, set aside for payment, paid or made by the Company on any class of capital stock, or any material adverse change, or any development that would reasonably be expected to result in a prospective material adverse change, in or affecting the business, properties, management, financial position, stockholders’ equity, results of operations or prospects of the Company and its subsidiary taken as a whole;</w:t>
      </w:r>
    </w:p>
    <w:p>
      <w:pPr>
        <w:spacing w:after="0" w:line="7" w:lineRule="exact"/>
        <w:rPr>
          <w:rFonts w:ascii="Times New Roman" w:cs="Times New Roman" w:eastAsia="Times New Roman" w:hAnsi="Times New Roman"/>
          <w:sz w:val="17"/>
          <w:szCs w:val="17"/>
          <w:color w:val="auto"/>
        </w:rPr>
      </w:pPr>
    </w:p>
    <w:p>
      <w:pPr>
        <w:ind w:left="4" w:hanging="4"/>
        <w:spacing w:after="0" w:line="252" w:lineRule="auto"/>
        <w:tabs>
          <w:tab w:leader="none" w:pos="2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its subsidiary have entered into any transaction or agreement (whether or not in the ordinary course of business) that is material to the Company and its subsidiary taken as a whole or incurred any liability or obligation, direct or contingent, that is material to the Company and its subsidiary taken as a whole; and (iii) neither the Company nor its subsidiary have sustained any loss or interference with its business that is material to the Company and its subsidiary taken as a whole and that is either from fire, explosion, flood or other calamity, whether or not covered by insurance, or from any labor disturbance or dispute or any action, order or decree of any court or arbitrator or governmental or regulatory authority, except in each case as otherwise disclosed in the Registration Statement, the Pricing Disclosure Package and the Prospectus.</w:t>
      </w:r>
    </w:p>
    <w:p>
      <w:pPr>
        <w:spacing w:after="0" w:line="78" w:lineRule="exact"/>
        <w:rPr>
          <w:rFonts w:ascii="Times New Roman" w:cs="Times New Roman" w:eastAsia="Times New Roman" w:hAnsi="Times New Roman"/>
          <w:sz w:val="18"/>
          <w:szCs w:val="18"/>
          <w:color w:val="auto"/>
        </w:rPr>
      </w:pPr>
    </w:p>
    <w:p>
      <w:pPr>
        <w:ind w:left="4" w:right="80" w:firstLine="419"/>
        <w:spacing w:after="0" w:line="258" w:lineRule="auto"/>
        <w:tabs>
          <w:tab w:leader="none" w:pos="64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Organization and Good Standing. </w:t>
      </w:r>
      <w:r>
        <w:rPr>
          <w:rFonts w:ascii="Times New Roman" w:cs="Times New Roman" w:eastAsia="Times New Roman" w:hAnsi="Times New Roman"/>
          <w:sz w:val="18"/>
          <w:szCs w:val="18"/>
          <w:color w:val="auto"/>
        </w:rPr>
        <w:t>The Company and its subsidiary have been duly organized and are validly existing and in good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individually or in the</w:t>
      </w:r>
    </w:p>
    <w:p>
      <w:pPr>
        <w:sectPr>
          <w:pgSz w:w="11900" w:h="16838" w:orient="portrait"/>
          <w:cols w:equalWidth="0" w:num="1">
            <w:col w:w="10564"/>
          </w:cols>
          <w:pgMar w:left="876" w:top="268" w:right="459" w:bottom="1440" w:gutter="0" w:footer="0" w:header="0"/>
        </w:sectPr>
      </w:pPr>
    </w:p>
    <w:bookmarkStart w:id="11" w:name="page12"/>
    <w:bookmarkEnd w:id="11"/>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aggregate, have a material adverse effect on the business, properties, management, financial position, stockholders’ equity, results of operations or prospects of the Company and its subsidiary taken as a whole or on the performance by the Company of its obligations under this Agreement (a “Material Adverse Effect”). The Company does not own or control, directly or indirectly, any corporation, association or other entity other than the subsidiary listed in Exhibit 21.1 to the Company’s Annual Report on Form 10-K for the fiscal year ended December 31, 2025.</w:t>
      </w:r>
    </w:p>
    <w:p>
      <w:pPr>
        <w:spacing w:after="0" w:line="70" w:lineRule="exact"/>
        <w:rPr>
          <w:sz w:val="20"/>
          <w:szCs w:val="20"/>
          <w:color w:val="auto"/>
        </w:rPr>
      </w:pPr>
    </w:p>
    <w:p>
      <w:pPr>
        <w:ind w:firstLine="419"/>
        <w:spacing w:after="0" w:line="253" w:lineRule="auto"/>
        <w:tabs>
          <w:tab w:leader="none" w:pos="63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Capitalization. </w:t>
      </w:r>
      <w:r>
        <w:rPr>
          <w:rFonts w:ascii="Times New Roman" w:cs="Times New Roman" w:eastAsia="Times New Roman" w:hAnsi="Times New Roman"/>
          <w:sz w:val="18"/>
          <w:szCs w:val="18"/>
          <w:color w:val="auto"/>
        </w:rPr>
        <w:t>The Company has an authorized capitalization as set forth in the Registration Statement, the Pricing Disclosure Package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Prospectus; all the outstanding shares of capital stock of the Company have been duly and validly authorized and issued and are fully paid and non-assessable and are not subject to any pre-emptive or similar rights; except as described in or expressly contemplated by the Registration Statement, the Pricing Disclosure Package and the Prospectus, there are no outstanding rights (including, without limitation, pre-emptive rights), warrants or options to acquire, or instruments convertible into or exchangeable for, any shares of capital stock or other equity interest in the Company or its subsidiary, or any contract, commitment, agreement, understanding or arrangement of any kind relating to the issuance of any capital stock of the Company or its subsidiary,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and validly authorized and issued, are fully paid and non-assessable and are owned directly or indirectly by the Company, free and clear of any lien, charge, encumbrance, security interest, restriction on voting or transfer or any other claim of any third party.</w:t>
      </w:r>
    </w:p>
    <w:p>
      <w:pPr>
        <w:spacing w:after="0" w:line="81" w:lineRule="exact"/>
        <w:rPr>
          <w:rFonts w:ascii="Times New Roman" w:cs="Times New Roman" w:eastAsia="Times New Roman" w:hAnsi="Times New Roman"/>
          <w:sz w:val="18"/>
          <w:szCs w:val="18"/>
          <w:color w:val="auto"/>
        </w:rPr>
      </w:pPr>
    </w:p>
    <w:p>
      <w:pPr>
        <w:ind w:firstLine="419"/>
        <w:spacing w:after="0" w:line="253" w:lineRule="auto"/>
        <w:tabs>
          <w:tab w:leader="none" w:pos="6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With respect to the stock options (the “Stock Options”) granted pursuant to the stock-based compensation plans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its subsidiary (the “Company Stock Plans”), (i) each Stock Option intended to qualify as an “incentive stock option” under Section 422 of the Code so qualifies, (ii) each grant of a Stock Option was duly authorized no later than the date on which the grant of such Stock Option was by its terms to be effective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(iii) each such grant was made in accordance with the terms of the Company Stock Plans, the Exchange Act and all other applicable laws and regulatory rules or requirements, including the rules of the Nasdaq Global Market (the “Exchange”) and any other exchange on which Company securities are traded, and (iv) each such grant was properly accounted for in accordance with GAAP in the financial statements (including the related notes) of the Company and disclosed in the Company’s filings with the Commission in accordance with the Exchange Act and all other applicable laws. The Company has not knowingly granted, and there is no and has been no policy or practice of the Company of granting, Stock Options prior to, or otherwise coordinating the grant of Stock Options with, the release or other public announcement of material information regarding the Company or its subsidiary or their results of operations or prospects.</w:t>
      </w:r>
    </w:p>
    <w:p>
      <w:pPr>
        <w:sectPr>
          <w:pgSz w:w="11900" w:h="16838" w:orient="portrait"/>
          <w:cols w:equalWidth="0" w:num="1">
            <w:col w:w="10540"/>
          </w:cols>
          <w:pgMar w:left="880" w:top="270" w:right="479" w:bottom="1440" w:gutter="0" w:footer="0" w:header="0"/>
        </w:sectPr>
      </w:pPr>
    </w:p>
    <w:bookmarkStart w:id="12" w:name="page13"/>
    <w:bookmarkEnd w:id="12"/>
    <w:p>
      <w:pPr>
        <w:ind w:left="-419" w:firstLine="419"/>
        <w:spacing w:after="0" w:line="267" w:lineRule="auto"/>
        <w:tabs>
          <w:tab w:leader="none" w:pos="21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Due Authorization. </w:t>
      </w:r>
      <w:r>
        <w:rPr>
          <w:rFonts w:ascii="Times New Roman" w:cs="Times New Roman" w:eastAsia="Times New Roman" w:hAnsi="Times New Roman"/>
          <w:sz w:val="18"/>
          <w:szCs w:val="18"/>
          <w:color w:val="auto"/>
        </w:rPr>
        <w:t>The Company has full right, power and authority to execute and deliver this Agreement and to perform its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hereunder; and all action required to be taken for the due and proper authorization, execution and delivery by it of this Agreement and the consummation by it of the transactions contemplated hereby has been duly and validly taken.</w:t>
      </w:r>
    </w:p>
    <w:p>
      <w:pPr>
        <w:spacing w:after="0" w:line="65" w:lineRule="exact"/>
        <w:rPr>
          <w:rFonts w:ascii="Times New Roman" w:cs="Times New Roman" w:eastAsia="Times New Roman" w:hAnsi="Times New Roman"/>
          <w:sz w:val="18"/>
          <w:szCs w:val="18"/>
          <w:color w:val="auto"/>
        </w:rPr>
      </w:pPr>
    </w:p>
    <w:p>
      <w:pPr>
        <w:ind w:left="301" w:hanging="301"/>
        <w:spacing w:after="0"/>
        <w:tabs>
          <w:tab w:leader="none" w:pos="30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Underwriting Agreement. </w:t>
      </w:r>
      <w:r>
        <w:rPr>
          <w:rFonts w:ascii="Times New Roman" w:cs="Times New Roman" w:eastAsia="Times New Roman" w:hAnsi="Times New Roman"/>
          <w:sz w:val="18"/>
          <w:szCs w:val="18"/>
          <w:color w:val="auto"/>
        </w:rPr>
        <w:t>This Agreement has been duly authorized, executed and delivered by the Company.</w:t>
      </w:r>
    </w:p>
    <w:p>
      <w:pPr>
        <w:spacing w:after="0" w:line="117" w:lineRule="exact"/>
        <w:rPr>
          <w:rFonts w:ascii="Times New Roman" w:cs="Times New Roman" w:eastAsia="Times New Roman" w:hAnsi="Times New Roman"/>
          <w:sz w:val="18"/>
          <w:szCs w:val="18"/>
          <w:color w:val="auto"/>
        </w:rPr>
      </w:pPr>
    </w:p>
    <w:p>
      <w:pPr>
        <w:ind w:left="-419" w:firstLine="419"/>
        <w:spacing w:after="0" w:line="261" w:lineRule="auto"/>
        <w:tabs>
          <w:tab w:leader="none" w:pos="25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Shares. </w:t>
      </w:r>
      <w:r>
        <w:rPr>
          <w:rFonts w:ascii="Times New Roman" w:cs="Times New Roman" w:eastAsia="Times New Roman" w:hAnsi="Times New Roman"/>
          <w:sz w:val="18"/>
          <w:szCs w:val="18"/>
          <w:color w:val="auto"/>
        </w:rPr>
        <w:t>The Shares to be issued and sold by the Company hereunder have been duly authorized by the Company and, when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delivered and paid for as provided herein, will be duly and validly issued, will be fully paid and non-assessable and will conform to the descriptions thereof in the Registration Statement, the Pricing Disclosure Package and the Prospectus; and the issuance of the Shares is not subject to any preemptive or similar rights that have not been duly waived or satisfied.</w:t>
      </w:r>
    </w:p>
    <w:p>
      <w:pPr>
        <w:spacing w:after="0" w:line="71" w:lineRule="exact"/>
        <w:rPr>
          <w:rFonts w:ascii="Times New Roman" w:cs="Times New Roman" w:eastAsia="Times New Roman" w:hAnsi="Times New Roman"/>
          <w:sz w:val="18"/>
          <w:szCs w:val="18"/>
          <w:color w:val="auto"/>
        </w:rPr>
      </w:pPr>
    </w:p>
    <w:p>
      <w:pPr>
        <w:ind w:left="-419" w:right="40" w:firstLine="419"/>
        <w:spacing w:after="0" w:line="284" w:lineRule="auto"/>
        <w:tabs>
          <w:tab w:leader="none" w:pos="25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Description of the Underwriting Agreement. </w:t>
      </w:r>
      <w:r>
        <w:rPr>
          <w:rFonts w:ascii="Times New Roman" w:cs="Times New Roman" w:eastAsia="Times New Roman" w:hAnsi="Times New Roman"/>
          <w:sz w:val="18"/>
          <w:szCs w:val="18"/>
          <w:color w:val="auto"/>
        </w:rPr>
        <w:t>This Agreement conforms in all material respects to the description thereof contained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the Pricing Disclosure Package and the Prospectus.</w:t>
      </w:r>
    </w:p>
    <w:p>
      <w:pPr>
        <w:spacing w:after="0" w:line="50" w:lineRule="exact"/>
        <w:rPr>
          <w:rFonts w:ascii="Times New Roman" w:cs="Times New Roman" w:eastAsia="Times New Roman" w:hAnsi="Times New Roman"/>
          <w:sz w:val="18"/>
          <w:szCs w:val="18"/>
          <w:color w:val="auto"/>
        </w:rPr>
      </w:pPr>
    </w:p>
    <w:p>
      <w:pPr>
        <w:ind w:left="-419" w:right="60" w:firstLine="419"/>
        <w:spacing w:after="0" w:line="256" w:lineRule="auto"/>
        <w:tabs>
          <w:tab w:leader="none" w:pos="25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Violation or Default. </w:t>
      </w:r>
      <w:r>
        <w:rPr>
          <w:rFonts w:ascii="Times New Roman" w:cs="Times New Roman" w:eastAsia="Times New Roman" w:hAnsi="Times New Roman"/>
          <w:sz w:val="18"/>
          <w:szCs w:val="18"/>
          <w:color w:val="auto"/>
        </w:rPr>
        <w:t>Neither the Company nor its subsidiary are (i) in violation of its charter or by-laws or similar organizational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its subsidiary is a party or by which the Company or its subsidiary is bound or to which any property or asset of the Company or its subsidiary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have a Material Adverse Effect.</w:t>
      </w:r>
    </w:p>
    <w:p>
      <w:pPr>
        <w:spacing w:after="0" w:line="74" w:lineRule="exact"/>
        <w:rPr>
          <w:rFonts w:ascii="Times New Roman" w:cs="Times New Roman" w:eastAsia="Times New Roman" w:hAnsi="Times New Roman"/>
          <w:sz w:val="18"/>
          <w:szCs w:val="18"/>
          <w:color w:val="auto"/>
        </w:rPr>
      </w:pPr>
    </w:p>
    <w:p>
      <w:pPr>
        <w:ind w:left="-419" w:firstLine="419"/>
        <w:spacing w:after="0" w:line="254" w:lineRule="auto"/>
        <w:tabs>
          <w:tab w:leader="none" w:pos="25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t>
      </w:r>
      <w:r>
        <w:rPr>
          <w:rFonts w:ascii="Times New Roman" w:cs="Times New Roman" w:eastAsia="Times New Roman" w:hAnsi="Times New Roman"/>
          <w:sz w:val="18"/>
          <w:szCs w:val="18"/>
          <w:color w:val="auto"/>
        </w:rPr>
        <w:t>The execution, delivery and performance by the Company of this Agreement, the issuance and sale of the Shares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consummation of the transactions contemplated by this Agreement or the Pricing Disclosure Package and the Prospectus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Company or its subsidiary pursuant to, any indenture, mortgage, deed of trust, loan agreement or other agreement or instrument to which the Company or its subsidiary are a party or by which the Company or its subsidiary is bound or to which any property, right or asset of the Company or its subsidiary is subject, (ii) result in any violation of the provisions of the charter or by-laws or similar organizational documents of the Company or its subsidiary or (iii) result in the violation of any law or statute or any judgment, order, rule or regulation of any court or arbitrator or governmental or regulatory authority, except, in the case of clauses (i) and (iii) above, for any such conflict, breach, violation, default, lien, charge or encumbrance that would not, individually or in the aggregate, reasonably be expected to have a Material Adverse Effect.</w:t>
      </w:r>
    </w:p>
    <w:p>
      <w:pPr>
        <w:sectPr>
          <w:pgSz w:w="11900" w:h="16838" w:orient="portrait"/>
          <w:cols w:equalWidth="0" w:num="1">
            <w:col w:w="10121"/>
          </w:cols>
          <w:pgMar w:left="1299" w:top="268" w:right="479" w:bottom="1440" w:gutter="0" w:footer="0" w:header="0"/>
        </w:sectPr>
      </w:pPr>
    </w:p>
    <w:bookmarkStart w:id="13" w:name="page14"/>
    <w:bookmarkEnd w:id="13"/>
    <w:p>
      <w:pPr>
        <w:ind w:left="-419" w:right="20" w:firstLine="419"/>
        <w:spacing w:after="0" w:line="256" w:lineRule="auto"/>
        <w:tabs>
          <w:tab w:leader="none" w:pos="2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Consents Required. </w:t>
      </w:r>
      <w:r>
        <w:rPr>
          <w:rFonts w:ascii="Times New Roman" w:cs="Times New Roman" w:eastAsia="Times New Roman" w:hAnsi="Times New Roman"/>
          <w:sz w:val="18"/>
          <w:szCs w:val="18"/>
          <w:color w:val="auto"/>
        </w:rPr>
        <w:t>No consent, approval, authorization, license, order, registration or qualification of or with any court or arbitrator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governmental or regulatory authority is required for the execution, delivery and performance by the Company of this Agreement, the issuance and sale of the Shares and the consummation of the transactions contemplated by this Agreement, except for the registration of the Shares under the Securities Act and such consents, approvals, authorizations, orders and registrations or qualifications as may be required by the Financial Industry Regulatory Authority, Inc. (“FINRA”) and under applicable state securities laws in connection with the purchase and distribution of the Shares by the Underwriters. The Company qualifies as an “experienced issuer” (within the meaning of FINRA Conduct Rule 5110(j)(6)) for purposes of the exemption from filing under FINRA Conduct Rule 5110(h)(1)(C).</w:t>
      </w:r>
    </w:p>
    <w:p>
      <w:pPr>
        <w:spacing w:after="0" w:line="74" w:lineRule="exact"/>
        <w:rPr>
          <w:rFonts w:ascii="Times New Roman" w:cs="Times New Roman" w:eastAsia="Times New Roman" w:hAnsi="Times New Roman"/>
          <w:sz w:val="18"/>
          <w:szCs w:val="18"/>
          <w:color w:val="auto"/>
        </w:rPr>
      </w:pPr>
    </w:p>
    <w:p>
      <w:pPr>
        <w:ind w:left="-419" w:firstLine="419"/>
        <w:spacing w:after="0" w:line="253" w:lineRule="auto"/>
        <w:tabs>
          <w:tab w:leader="none" w:pos="23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Legal Proceedings. </w:t>
      </w:r>
      <w:r>
        <w:rPr>
          <w:rFonts w:ascii="Times New Roman" w:cs="Times New Roman" w:eastAsia="Times New Roman" w:hAnsi="Times New Roman"/>
          <w:sz w:val="18"/>
          <w:szCs w:val="18"/>
          <w:color w:val="auto"/>
        </w:rPr>
        <w:t>Except as described in the Registration Statement, the Pricing Disclosure Package and the Prospectus, there are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 governmental or regulatory investigations, actions, demands, claims, suits, arbitrations, inquiries or proceedings (“Actions”) pending to which the Company or its subsidiary is or may be a party or to which any property of the Company or its subsidiary is or may be the subject that, individually or in the aggregate, if determined adversely to the Company or its subsidiary, could reasonably be expected to have a Material Adverse Effect; no such Actions are threatened or, to the knowledge of the Company, contemplated by any governmental or regulatory authority or threatened by others; and (i) there are no current or pending Actions that are required under the Securities Act to be described in the Registration Statement, the Pricing Disclosure Package or the Prospectus that are not so described in the Registration Statement, the Pricing Disclosure Package and the Prospectus and (ii) there are no statutes, regulations or contracts or other documents that are required under the Securities Act to be filed as exhibits to the Registration Statement or described in the Registration Statement, the Pricing Disclosure Package or the Prospectus that are not so filed as exhibits to the Registration Statement or described in the Registration Statement, the Pricing Disclosure Package and the Prospectus.</w:t>
      </w:r>
    </w:p>
    <w:p>
      <w:pPr>
        <w:spacing w:after="0" w:line="83" w:lineRule="exact"/>
        <w:rPr>
          <w:rFonts w:ascii="Times New Roman" w:cs="Times New Roman" w:eastAsia="Times New Roman" w:hAnsi="Times New Roman"/>
          <w:sz w:val="18"/>
          <w:szCs w:val="18"/>
          <w:color w:val="auto"/>
        </w:rPr>
      </w:pPr>
    </w:p>
    <w:p>
      <w:pPr>
        <w:ind w:left="-419" w:right="120" w:firstLine="419"/>
        <w:spacing w:after="0" w:line="258" w:lineRule="auto"/>
        <w:tabs>
          <w:tab w:leader="none" w:pos="21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Independent Accountants</w:t>
      </w:r>
      <w:r>
        <w:rPr>
          <w:rFonts w:ascii="Times New Roman" w:cs="Times New Roman" w:eastAsia="Times New Roman" w:hAnsi="Times New Roman"/>
          <w:sz w:val="18"/>
          <w:szCs w:val="18"/>
          <w:color w:val="auto"/>
        </w:rPr>
        <w:t>. Ernst &amp; Young LLP, who have certified certain financial statements of the Company and its subsidiary,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audited the Company’s internal control over financial reporting and management’s assessment thereof as of the dates specified in their reports, is an independent registered public accounting firm with respect to the Company and its subsidiary within the applicable rules and regulations adopted by the Commission and the Public Company Accounting Oversight Board (United States) and as required by the Securities Act.</w:t>
      </w:r>
    </w:p>
    <w:p>
      <w:pPr>
        <w:sectPr>
          <w:pgSz w:w="11900" w:h="16838" w:orient="portrait"/>
          <w:cols w:equalWidth="0" w:num="1">
            <w:col w:w="10021"/>
          </w:cols>
          <w:pgMar w:left="1299" w:top="268" w:right="579" w:bottom="1440" w:gutter="0" w:footer="0" w:header="0"/>
        </w:sectPr>
      </w:pPr>
    </w:p>
    <w:bookmarkStart w:id="14" w:name="page15"/>
    <w:bookmarkEnd w:id="14"/>
    <w:p>
      <w:pPr>
        <w:ind w:left="-419" w:right="20" w:firstLine="419"/>
        <w:spacing w:after="0" w:line="258" w:lineRule="auto"/>
        <w:tabs>
          <w:tab w:leader="none" w:pos="25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Title to Real and Personal Property</w:t>
      </w:r>
      <w:r>
        <w:rPr>
          <w:rFonts w:ascii="Times New Roman" w:cs="Times New Roman" w:eastAsia="Times New Roman" w:hAnsi="Times New Roman"/>
          <w:sz w:val="18"/>
          <w:szCs w:val="18"/>
          <w:color w:val="auto"/>
        </w:rPr>
        <w:t>. The Company and its subsidiary have good and marketable title in fee simple to, or have valid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lease or otherwise use, all items of real and personal property that are material to the respective businesses of the Company and its subsidiary, in each case free and clear of all liens, encumbrances, claims and defects and imperfections of title except those that (i) do not materially interfere with the use made and proposed to be made of such property by the Company and its subsidiary or (ii) could not reasonably be expected, individually or in the aggregate, to have a Material Adverse Effect.</w:t>
      </w:r>
    </w:p>
    <w:p>
      <w:pPr>
        <w:spacing w:after="0" w:line="75" w:lineRule="exact"/>
        <w:rPr>
          <w:rFonts w:ascii="Times New Roman" w:cs="Times New Roman" w:eastAsia="Times New Roman" w:hAnsi="Times New Roman"/>
          <w:sz w:val="18"/>
          <w:szCs w:val="18"/>
          <w:color w:val="auto"/>
        </w:rPr>
      </w:pPr>
    </w:p>
    <w:p>
      <w:pPr>
        <w:ind w:left="-419" w:firstLine="419"/>
        <w:spacing w:after="0" w:line="251" w:lineRule="auto"/>
        <w:tabs>
          <w:tab w:leader="none" w:pos="25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Intellectual Property. </w:t>
      </w:r>
      <w:r>
        <w:rPr>
          <w:rFonts w:ascii="Times New Roman" w:cs="Times New Roman" w:eastAsia="Times New Roman" w:hAnsi="Times New Roman"/>
          <w:sz w:val="18"/>
          <w:szCs w:val="18"/>
          <w:color w:val="auto"/>
        </w:rPr>
        <w:t>Except as otherwise disclosed in the Registration Statement and the Pricing Disclosure Package, the Company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subsidiary own or have valid, binding and enforceable licenses under all patents, patent applications, patent rights, licenses, inventions, copyrights, know how (including trade secrets and other unpatented and/or unpatentable proprietary or confidential information, systems or procedures), trademarks, service marks, trade names and other intellectual property used in or necessary for the conduct of the business of the Company and its subsidiary in the manner described in the Pricing Disclosure Package (collectively, the “Intellectual Property”), except as enforceability of any licenses may be limited by bankruptcy and other similar laws affecting the rights of creditors generally and general principles of equity. The patents, trademarks and copyrights, if any, included within the Intellectual Property are valid, enforceable and subsisting. (i) Other than as disclosed in the Pricing Disclosure Package, neither the Company nor any subsidiary is obligated to pay a material royalty, grant a license to or provide other material consideration to any third party in connection with the Intellectual Property or in connection with the manufacture, use or sale of any of the Company’s product candidates; (ii) neither the Company nor any subsidiary has received any notice of any claim of infringement, misappropriation of or conflict with asserted rights of others with respect to any of the Company’s or any subsidiary’s product candidates, processes or Intellectual Property; (iii) no action, suit, claim or other proceeding that is material to the Company’s business is pending or, to the knowledge of the Company, is threatened, challenging the Company’s or any subsidiary’s rights in or to any Intellectual Property or challenging the validity, enforceability, inventorship, ownership or scope of any Intellectual Property; (iv) to the knowledge of the Company, none of the development, manufacture, sale or use of any of the discoveries, inventions, product candidates or processes of the Company referred to in the Pricing Disclosure Package do or will infringe or violate any right or valid issued patent claim of any third party in any material respect; (v) to the knowledge of the Company, no third party has any ownership right in or to any Intellectual Property that is owned by the Company other than any co-owner of any patent constituting Intellectual Property who is listed on the records of the U.S. Patent and Trademark Office and any co-owner of any patent application constituting Intellectual Property who is named in such patent application; (vi) the Intellectual Property owned by the Company or any subsidiary is free and clear of all liens or encumbrances; (vii) none of the technology employed by the Company or any subsidiary in the conduct of the business in the manner described in the Pricing Disclosure Package has been obtained or is being used by the Company or any subsidiary in violation of any contractual obligation binding on the Company or, to the knowledge of the Company, upon any of its officers, consultants, directors or employees; (viii) the Company has taken reasonable measures to protect its confidential information and trade secrets and to maintain and safeguard the Intellectual Property; (ix) all employees or contractors engaged in the development of Intellectual Property on behalf of the Company or any subsidiary have executed an invention</w:t>
      </w:r>
    </w:p>
    <w:p>
      <w:pPr>
        <w:sectPr>
          <w:pgSz w:w="11900" w:h="16838" w:orient="portrait"/>
          <w:cols w:equalWidth="0" w:num="1">
            <w:col w:w="10161"/>
          </w:cols>
          <w:pgMar w:left="1299" w:top="268" w:right="439" w:bottom="1440" w:gutter="0" w:footer="0" w:header="0"/>
        </w:sectPr>
      </w:pPr>
    </w:p>
    <w:bookmarkStart w:id="15" w:name="page16"/>
    <w:bookmarkEnd w:id="15"/>
    <w:p>
      <w:pPr>
        <w:ind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agreement whereby such employees or contractors presently assign all of their right, title and interest in and to such Intellectual Property to the Company or the applicable subsidiary, and to the Company’s knowledge no such agreement has been breached or violated; (x) to the Company’s knowledge, no third party is infringing, misappropriating or otherwise violating, or has infringed, misappropriated or otherwise violated, any Intellectual Property owned (including co-owned) by or exclusively licensed to the Company or any subsidiary; and (xi) all patent and patent applications owned (including co-owned) by or licensed to the Company or any subsidiary have been duly and properly filed, prosecuted and maintained in all material respects.</w:t>
      </w:r>
    </w:p>
    <w:p>
      <w:pPr>
        <w:spacing w:after="0" w:line="77" w:lineRule="exact"/>
        <w:rPr>
          <w:sz w:val="20"/>
          <w:szCs w:val="20"/>
          <w:color w:val="auto"/>
        </w:rPr>
      </w:pPr>
    </w:p>
    <w:p>
      <w:pPr>
        <w:ind w:right="260" w:firstLine="419"/>
        <w:spacing w:after="0" w:line="261" w:lineRule="auto"/>
        <w:tabs>
          <w:tab w:leader="none" w:pos="71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Undisclosed Relationships</w:t>
      </w:r>
      <w:r>
        <w:rPr>
          <w:rFonts w:ascii="Times New Roman" w:cs="Times New Roman" w:eastAsia="Times New Roman" w:hAnsi="Times New Roman"/>
          <w:sz w:val="18"/>
          <w:szCs w:val="18"/>
          <w:color w:val="auto"/>
        </w:rPr>
        <w:t>. No relationship, direct or indirect, exists between or among the Company or its subsidiary, on the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hand, and the directors, officers, stockholders, customers, suppliers or other affiliates of the Company or its subsidiary, on the other, that is required by the Securities Act to be described in each of the Registration Statement and the Prospectus and that is not so described in such documents and in the Pricing Disclosure Package.</w:t>
      </w:r>
    </w:p>
    <w:p>
      <w:pPr>
        <w:spacing w:after="0" w:line="71" w:lineRule="exact"/>
        <w:rPr>
          <w:rFonts w:ascii="Times New Roman" w:cs="Times New Roman" w:eastAsia="Times New Roman" w:hAnsi="Times New Roman"/>
          <w:sz w:val="18"/>
          <w:szCs w:val="18"/>
          <w:color w:val="auto"/>
        </w:rPr>
      </w:pPr>
    </w:p>
    <w:p>
      <w:pPr>
        <w:ind w:right="80" w:firstLine="419"/>
        <w:spacing w:after="0" w:line="261" w:lineRule="auto"/>
        <w:tabs>
          <w:tab w:leader="none" w:pos="67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The Company is not and, after giving effect to the offering and sale of the Shares and the application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thereof as described in the Registration Statement, the Pricing Disclosure Package and the Prospectus, will not be required to register as an “investment company” or an entity “controlled” by an “investment company” within the meaning of the Investment Company Act of 1940, as amended, and the rules and regulations of the Commission thereunder (collectively, the “Investment Company Act”).</w:t>
      </w:r>
    </w:p>
    <w:p>
      <w:pPr>
        <w:spacing w:after="0" w:line="71" w:lineRule="exact"/>
        <w:rPr>
          <w:rFonts w:ascii="Times New Roman" w:cs="Times New Roman" w:eastAsia="Times New Roman" w:hAnsi="Times New Roman"/>
          <w:sz w:val="18"/>
          <w:szCs w:val="18"/>
          <w:color w:val="auto"/>
        </w:rPr>
      </w:pPr>
    </w:p>
    <w:p>
      <w:pPr>
        <w:ind w:firstLine="419"/>
        <w:spacing w:after="0" w:line="257" w:lineRule="auto"/>
        <w:tabs>
          <w:tab w:leader="none" w:pos="67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Except as would not, individually or in the aggregate, reasonably be expected to have a Material Adverse Effect,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its subsidiary have paid all U.S. federal, state and local and non-U.S. taxes required to be paid and have filed all tax returns required to be filed through the date hereof (taking into account any extensions thereof); and except as otherwise disclosed in each of the Registration Statement, the Pricing Disclosure Package and the Prospectus, there is no tax deficiency that has been, or could reasonably be expected to be, asserted against the Company or its subsidiary or any of their respective properties or assets that would, individually or in the aggregate, reasonably be expected to have a Material Adverse Effect.</w:t>
      </w:r>
    </w:p>
    <w:p>
      <w:pPr>
        <w:spacing w:after="0" w:line="74" w:lineRule="exact"/>
        <w:rPr>
          <w:rFonts w:ascii="Times New Roman" w:cs="Times New Roman" w:eastAsia="Times New Roman" w:hAnsi="Times New Roman"/>
          <w:sz w:val="18"/>
          <w:szCs w:val="18"/>
          <w:color w:val="auto"/>
        </w:rPr>
      </w:pPr>
    </w:p>
    <w:p>
      <w:pPr>
        <w:ind w:right="60" w:firstLine="419"/>
        <w:spacing w:after="0" w:line="254" w:lineRule="auto"/>
        <w:tabs>
          <w:tab w:leader="none" w:pos="66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Licenses and Permits. </w:t>
      </w:r>
      <w:r>
        <w:rPr>
          <w:rFonts w:ascii="Times New Roman" w:cs="Times New Roman" w:eastAsia="Times New Roman" w:hAnsi="Times New Roman"/>
          <w:sz w:val="18"/>
          <w:szCs w:val="18"/>
          <w:color w:val="auto"/>
        </w:rPr>
        <w:t>The Company and its subsidiary possess all licenses, sub-licenses, certificates, permits and other authorizations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each of the Registration Statement, the Pricing Disclosure Package and the Prospectus, except where the failure to possess or make the same would not, individually or in the aggregate, have a Material Adverse Effect; and except as described in each of the Registration Statement, the Pricing Disclosure Package and the Prospectus, neither the Company nor its subsidiary have received written notice of any revocation or modification of any such license, sub-license, certificate, permit or authorization or has any reason to believe that any such license, sub-license, certificate, permit or authorization will not be renewed in the ordinary course, except where such revocation, modification or nonrenewal would not, individually or in the aggregate, reasonably be expected to have a Material Adverse Effect.</w:t>
      </w:r>
    </w:p>
    <w:p>
      <w:pPr>
        <w:sectPr>
          <w:pgSz w:w="11900" w:h="16838" w:orient="portrait"/>
          <w:cols w:equalWidth="0" w:num="1">
            <w:col w:w="10540"/>
          </w:cols>
          <w:pgMar w:left="880" w:top="270" w:right="479" w:bottom="1440" w:gutter="0" w:footer="0" w:header="0"/>
        </w:sectPr>
      </w:pPr>
    </w:p>
    <w:bookmarkStart w:id="16" w:name="page17"/>
    <w:bookmarkEnd w:id="16"/>
    <w:p>
      <w:pPr>
        <w:ind w:left="-419" w:firstLine="419"/>
        <w:spacing w:after="0" w:line="281" w:lineRule="auto"/>
        <w:tabs>
          <w:tab w:leader="none" w:pos="328"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Labor Disputes. </w:t>
      </w:r>
      <w:r>
        <w:rPr>
          <w:rFonts w:ascii="Times New Roman" w:cs="Times New Roman" w:eastAsia="Times New Roman" w:hAnsi="Times New Roman"/>
          <w:sz w:val="17"/>
          <w:szCs w:val="17"/>
          <w:color w:val="auto"/>
        </w:rPr>
        <w:t>No labor disturbance by or dispute with employees of the Company or its subsidiary exists or, to the knowledge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 is contemplated or threatened, and the Company is not aware of any existing or imminent labor disturbance by, or dispute with, the employees of any of its principal suppliers, contractors or customers, except as would not have a Material Adverse Effect. Neither the Company nor its subsidiary have received any notice of cancellation or termination with respect to any collective bargaining agreement to which it is a party.</w:t>
      </w:r>
    </w:p>
    <w:p>
      <w:pPr>
        <w:spacing w:after="0" w:line="56" w:lineRule="exact"/>
        <w:rPr>
          <w:rFonts w:ascii="Times New Roman" w:cs="Times New Roman" w:eastAsia="Times New Roman" w:hAnsi="Times New Roman"/>
          <w:sz w:val="17"/>
          <w:szCs w:val="17"/>
          <w:color w:val="auto"/>
        </w:rPr>
      </w:pPr>
    </w:p>
    <w:p>
      <w:pPr>
        <w:ind w:left="-419" w:right="40" w:firstLine="419"/>
        <w:spacing w:after="0" w:line="252" w:lineRule="auto"/>
        <w:tabs>
          <w:tab w:leader="none" w:pos="3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Environmental Matters</w:t>
      </w:r>
      <w:r>
        <w:rPr>
          <w:rFonts w:ascii="Times New Roman" w:cs="Times New Roman" w:eastAsia="Times New Roman" w:hAnsi="Times New Roman"/>
          <w:sz w:val="18"/>
          <w:szCs w:val="18"/>
          <w:color w:val="auto"/>
        </w:rPr>
        <w:t>. (i) The Company and its subsidiary (x) are in compliance with all, and have not violated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federal, state, local and foreign laws (including common law), rules, regulations, requirements, decisions, judgments, decrees, orders and other legally enforceable requirements relating to pollution or the protection of human health or safety, the environment, natural resources, hazardous or toxic substances or wastes, pollutants or contaminants (collectively, “Environmental Laws”); (y) have received and are in compliance with all, and have not violated any, permits, licenses, certificates or other authorizations or approvals required of them under any Environmental Laws to conduct their respective businesses; and (z) have not received notice of any actual or potential liability or obligation under or relating to, or any actual or potential violation of, any Environmental Laws, including for the investigation or remediation of any disposal or release of hazardous or toxic substances or wastes, pollutants or contaminants, and have no knowledge of any event or condition that would reasonably be expected to result in any such notice; (ii) there are no costs or liabilities associated with Environmental Laws of or relating to the Company or its subsidiary, except in the case of each of (i) and (ii) above, for any such matter as would not, individually or in the aggregate, reasonably be expected to have a Material Adverse Effect; and (iii) except as described in each of the Pricing Disclosure Package and the Prospectus, (x) there is no proceeding that is pending, or that is known to be contemplated, against the Company or its subsidiary under any Environmental Laws in which a governmental entity is also a party, other than such proceeding regarding which it is reasonably believed no monetary sanctions of $100,000 or more will be imposed, (y) the Company and its subsidiary are not aware of any facts or issues regarding compliance with Environmental Laws, or liabilities or other obligations under Environmental Laws or concerning hazardous or toxic substances or wastes, pollutants or contaminants, that could reasonably be expected to have a material effect on the capital expenditures, earnings or competitive position of the Company and its subsidiary, and (z) none of the Company or its subsidiary anticipates material capital expenditures relating to any Environmental Laws.</w:t>
      </w:r>
    </w:p>
    <w:p>
      <w:pPr>
        <w:sectPr>
          <w:pgSz w:w="11900" w:h="16838" w:orient="portrait"/>
          <w:cols w:equalWidth="0" w:num="1">
            <w:col w:w="10141"/>
          </w:cols>
          <w:pgMar w:left="1299" w:top="268" w:right="459" w:bottom="1440" w:gutter="0" w:footer="0" w:header="0"/>
        </w:sectPr>
      </w:pPr>
    </w:p>
    <w:bookmarkStart w:id="17" w:name="page18"/>
    <w:bookmarkEnd w:id="17"/>
    <w:p>
      <w:pPr>
        <w:ind w:left="4" w:right="20" w:firstLine="419"/>
        <w:spacing w:after="0" w:line="252" w:lineRule="auto"/>
        <w:tabs>
          <w:tab w:leader="none" w:pos="75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Regulatory Compliance. </w:t>
      </w:r>
      <w:r>
        <w:rPr>
          <w:rFonts w:ascii="Times New Roman" w:cs="Times New Roman" w:eastAsia="Times New Roman" w:hAnsi="Times New Roman"/>
          <w:sz w:val="18"/>
          <w:szCs w:val="18"/>
          <w:color w:val="auto"/>
        </w:rPr>
        <w:t>To the knowledge of the Company, the Company Products are being and at all times have been manufactured,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imported, processed, developed, distributed, packaged, labeled, and stored in material compliance with all applicable laws, including the Federal Food, Drug, and Cosmetic Act (the “FD&amp;C Act”); the Public Health Service Act (the “PHSA”); and any regulations adopted by regulatory authorities thereunder (including, as applicable, those requirements relating to good laboratory practice, good clinical practice, investigational use, and pre-market approval). As of the date hereof, neither the Company nor, to the knowledge of the Company, any of its affiliates, has received notice of any pending or threatened investigation or action from the U.S. Food and Drug Administration (the “FDA”), the U.S. Department of Justice, or any other federal, state, local, or foreign governmental authority alleging that the Company or any of its affiliates is in violation in any material respect of any applicable law, including the FD&amp;C Act, the PHSA or any similar state or local equivalents to any of the foregoing. “Company Products” means any drug product that the Company is developing under its PI3Kα and NRAS development programs on or before the date of this Agreement or at any time thereafter prior to the Closing Date. Neither the Company nor its affiliates have received any warning letter or untitled letter, report of inspectional observations, including Form FDA 483s, establishment inspection reports, notices of violation, clinical holds, enforcement notices or other documents or written notifications from any regulatory authority or other governmental authority, or any institutional review board, independent ethics committee or similar body, alleging a material lack of compliance with any applicable laws. The Company has not been subject to a corporate integrity agreement, deferred prosecution agreement, consent decree, monitoring agreement, settlement agreement or other similar agreements or orders mandating or prohibiting future or past activities.</w:t>
      </w:r>
    </w:p>
    <w:p>
      <w:pPr>
        <w:spacing w:after="0" w:line="87" w:lineRule="exact"/>
        <w:rPr>
          <w:rFonts w:ascii="Times New Roman" w:cs="Times New Roman" w:eastAsia="Times New Roman" w:hAnsi="Times New Roman"/>
          <w:sz w:val="18"/>
          <w:szCs w:val="18"/>
          <w:color w:val="auto"/>
        </w:rPr>
      </w:pPr>
    </w:p>
    <w:p>
      <w:pPr>
        <w:ind w:left="4" w:right="40" w:firstLine="419"/>
        <w:spacing w:after="0" w:line="254" w:lineRule="auto"/>
        <w:tabs>
          <w:tab w:leader="none" w:pos="77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Preclinical Studies and Clinical Trials</w:t>
      </w:r>
      <w:r>
        <w:rPr>
          <w:rFonts w:ascii="Times New Roman" w:cs="Times New Roman" w:eastAsia="Times New Roman" w:hAnsi="Times New Roman"/>
          <w:sz w:val="18"/>
          <w:szCs w:val="18"/>
          <w:color w:val="auto"/>
        </w:rPr>
        <w:t>. All studies, tests and clinical and non-clinical studies conducted by or, to the knowledge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on behalf of the Company or its affiliates have been and, if still pending, are being conducted in material compliance with research protocols and all applicable laws, including, but not limited to, the FD&amp;C Act, its implementing regulations set forth at 21 C.F.R. Parts 50, 54, 56, 58 and 312. Neither the Company nor its affiliates has received any written notice that any regulatory authority, investigator, or any relevant institutional review board, independent ethics committee or any other similar body has (i) refused to approve any clinical study, or any substantial amendment to a protocol for any clinical study, conducted or proposed to be conducted by or on behalf of the Company or any of its affiliates, or</w:t>
      </w:r>
    </w:p>
    <w:p>
      <w:pPr>
        <w:spacing w:after="0" w:line="1" w:lineRule="exact"/>
        <w:rPr>
          <w:rFonts w:ascii="Times New Roman" w:cs="Times New Roman" w:eastAsia="Times New Roman" w:hAnsi="Times New Roman"/>
          <w:sz w:val="18"/>
          <w:szCs w:val="18"/>
          <w:color w:val="auto"/>
        </w:rPr>
      </w:pPr>
    </w:p>
    <w:p>
      <w:pPr>
        <w:ind w:left="4" w:right="40" w:hanging="4"/>
        <w:spacing w:after="0" w:line="260" w:lineRule="auto"/>
        <w:tabs>
          <w:tab w:leader="none" w:pos="26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or threatened to initiate, any action to suspend any clinical study conducted by or on behalf of the Company or any of its affiliates, or suspend or terminate any investigational new drug sponsored by the Company or any of its affiliates.</w:t>
      </w:r>
    </w:p>
    <w:p>
      <w:pPr>
        <w:spacing w:after="0" w:line="71" w:lineRule="exact"/>
        <w:rPr>
          <w:rFonts w:ascii="Times New Roman" w:cs="Times New Roman" w:eastAsia="Times New Roman" w:hAnsi="Times New Roman"/>
          <w:sz w:val="18"/>
          <w:szCs w:val="18"/>
          <w:color w:val="auto"/>
        </w:rPr>
      </w:pPr>
    </w:p>
    <w:p>
      <w:pPr>
        <w:ind w:left="4" w:firstLine="419"/>
        <w:spacing w:after="0" w:line="255" w:lineRule="auto"/>
        <w:tabs>
          <w:tab w:leader="none" w:pos="75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Fraud. </w:t>
      </w:r>
      <w:r>
        <w:rPr>
          <w:rFonts w:ascii="Times New Roman" w:cs="Times New Roman" w:eastAsia="Times New Roman" w:hAnsi="Times New Roman"/>
          <w:sz w:val="18"/>
          <w:szCs w:val="18"/>
          <w:color w:val="auto"/>
        </w:rPr>
        <w:t>Neither the Company nor its affiliates nor, to the knowledge of the Company, any officer, employee, or agent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has (i) made any materially false statement on, or material omission from, any notifications, applications, approvals, reports and other submission to any governmental authority or in any material legal proceeding; or (ii) committed any act, made any statement or failed to make any statement that would reasonably be expected to provide a basis for the FDA to invoke its policy with respect to “Fraud, Untrue Statements of Material Facts, Bribery, and Illegal Gratuities” or for the FDA or any other governmental authority to invoke any similar policy. Neither the Company nor any of its officers or directors nor, to the knowledge of the Company, any Company personnel has been convicted of any crime or engaged in any conduct that has resulted, or would reasonably be expected to result, in debarment or exclusion under applicable laws, including 21 U.S.C. § 335a and 42 U.S.C. § 1320a-7.</w:t>
      </w:r>
    </w:p>
    <w:p>
      <w:pPr>
        <w:sectPr>
          <w:pgSz w:w="11900" w:h="16838" w:orient="portrait"/>
          <w:cols w:equalWidth="0" w:num="1">
            <w:col w:w="10564"/>
          </w:cols>
          <w:pgMar w:left="876" w:top="268" w:right="459" w:bottom="1440" w:gutter="0" w:footer="0" w:header="0"/>
        </w:sectPr>
      </w:pPr>
    </w:p>
    <w:bookmarkStart w:id="18" w:name="page19"/>
    <w:bookmarkEnd w:id="18"/>
    <w:p>
      <w:pPr>
        <w:ind w:left="4" w:right="36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actions that would reasonably be expected to result in such a debarment or exclusion of the Company or its affiliates are pending or, to the knowledge of the Company, threatened, against the Company or its affiliates or, to the knowledge of the Company, any Company personnel.</w:t>
      </w:r>
    </w:p>
    <w:p>
      <w:pPr>
        <w:spacing w:after="0" w:line="30" w:lineRule="exact"/>
        <w:rPr>
          <w:sz w:val="20"/>
          <w:szCs w:val="20"/>
          <w:color w:val="auto"/>
        </w:rPr>
      </w:pPr>
    </w:p>
    <w:p>
      <w:pPr>
        <w:ind w:left="4" w:firstLine="419"/>
        <w:spacing w:after="0" w:line="267" w:lineRule="auto"/>
        <w:tabs>
          <w:tab w:leader="none" w:pos="708"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Compliance with ERISA</w:t>
      </w:r>
      <w:r>
        <w:rPr>
          <w:rFonts w:ascii="Times New Roman" w:cs="Times New Roman" w:eastAsia="Times New Roman" w:hAnsi="Times New Roman"/>
          <w:sz w:val="17"/>
          <w:szCs w:val="17"/>
          <w:color w:val="auto"/>
        </w:rPr>
        <w:t>. (i) Each employee benefit plan, within the meaning of Section 3(3) of the Employee Retirement Income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Security Act of 1974, as amended (“ERISA”), for which the Company or any member of its “Controlled Group” (defined as any entity, whether or not incorporated, that is under common control with the Company within the meaning of Section 4001(a)(14) of ERISA or any entity that would be regarded as a single employer with the Company under Section 414(b),(c),(m) or (o) of the Internal Revenue Code of 1986, as amended (the “Code”)) would have any liability (each, a “Plan”) has been maintained in compliance with its terms and the requirements of any applicable statutes, orders, rules and regulations, including but not limited to ERISA and the Code, except for noncompliance that would not reasonably be expected to result in material liability to the Company; (ii) no prohibited transaction, within the meaning of Section 406 of ERISA or Section 4975 of the Code, has occurred with respect to any Plan, excluding transactions effected pursuant to a statutory or administrative exemption, except for noncompliance that would not reasonably be expected to result in material liability to the Company; (iii)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(iv)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(v) the fair market value of the assets of each Plan exceeds the present value of all benefits accrued under such Plan (determined based on those assumptions used to fund such Plan); (vi) no “reportable event” (within the meaning of Section 4043(c) of ERISA and the regulations promulgated thereunder) has occurred or is reasonably expected to occur; (vii) each Plan that is intended to be qualified under Section 401(a) of the Code is so qualified, and nothing has occurred, whether by action or by failure to act, which would cause the loss of such qualification; (viii) neither the Company nor any member of the Controlled Group has incurred, nor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(ix) there is no pending audit or investigation by the Internal Revenue Service, the U.S. Department of Labor, the Pension Benefit Guaranty Corporation or any other governmental agency or any foreign regulatory agency with respect to any Plan that could result in a material liability to the Company; and</w:t>
      </w:r>
    </w:p>
    <w:p>
      <w:pPr>
        <w:spacing w:after="0" w:line="205" w:lineRule="exact"/>
        <w:rPr>
          <w:rFonts w:ascii="Times New Roman" w:cs="Times New Roman" w:eastAsia="Times New Roman" w:hAnsi="Times New Roman"/>
          <w:sz w:val="17"/>
          <w:szCs w:val="17"/>
          <w:color w:val="auto"/>
        </w:rPr>
      </w:pPr>
    </w:p>
    <w:p>
      <w:pPr>
        <w:jc w:val="both"/>
        <w:ind w:left="4" w:right="320" w:hanging="4"/>
        <w:spacing w:after="0" w:line="253" w:lineRule="auto"/>
        <w:tabs>
          <w:tab w:leader="none" w:pos="25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following events has occurred or is reasonably likely to occur: (A) 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 (B) a material</w:t>
      </w:r>
    </w:p>
    <w:p>
      <w:pPr>
        <w:sectPr>
          <w:pgSz w:w="11900" w:h="16838" w:orient="portrait"/>
          <w:cols w:equalWidth="0" w:num="1">
            <w:col w:w="10564"/>
          </w:cols>
          <w:pgMar w:left="876" w:top="270" w:right="459" w:bottom="1440" w:gutter="0" w:footer="0" w:header="0"/>
        </w:sectPr>
      </w:pPr>
    </w:p>
    <w:bookmarkStart w:id="19" w:name="page20"/>
    <w:bookmarkEnd w:id="19"/>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increase in the Company and its subsidiary’s “accumulated post-retirement benefit obligations” (within the meaning of Accounting Standards Codification Topic 715-60) compared to the amount of such obligations in the Company and its subsidiary’s most recently completed fiscal year, except in each case with respect to the events or conditions set forth in (i) through (x) hereof, as would not, individually or in the aggregate, have a Material Adverse Effect.</w:t>
      </w:r>
    </w:p>
    <w:p>
      <w:pPr>
        <w:spacing w:after="0" w:line="70" w:lineRule="exact"/>
        <w:rPr>
          <w:sz w:val="20"/>
          <w:szCs w:val="20"/>
          <w:color w:val="auto"/>
        </w:rPr>
      </w:pPr>
    </w:p>
    <w:p>
      <w:pPr>
        <w:ind w:firstLine="419"/>
        <w:spacing w:after="0" w:line="256" w:lineRule="auto"/>
        <w:tabs>
          <w:tab w:leader="none" w:pos="76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Controls</w:t>
      </w:r>
      <w:r>
        <w:rPr>
          <w:rFonts w:ascii="Times New Roman" w:cs="Times New Roman" w:eastAsia="Times New Roman" w:hAnsi="Times New Roman"/>
          <w:sz w:val="18"/>
          <w:szCs w:val="18"/>
          <w:color w:val="auto"/>
        </w:rPr>
        <w:t>. The Company maintains an effective system of “disclosure controls and procedures” (as defined in Rule 13a-15(e)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Exchange Act) that has been designed to comply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has carried out evaluations of the effectiveness of its disclosure controls and procedures as required by Rule 13a-15 of the Exchange Act.</w:t>
      </w:r>
    </w:p>
    <w:p>
      <w:pPr>
        <w:spacing w:after="0" w:line="74" w:lineRule="exact"/>
        <w:rPr>
          <w:rFonts w:ascii="Times New Roman" w:cs="Times New Roman" w:eastAsia="Times New Roman" w:hAnsi="Times New Roman"/>
          <w:sz w:val="18"/>
          <w:szCs w:val="18"/>
          <w:color w:val="auto"/>
        </w:rPr>
      </w:pPr>
    </w:p>
    <w:p>
      <w:pPr>
        <w:ind w:firstLine="419"/>
        <w:spacing w:after="0" w:line="252" w:lineRule="auto"/>
        <w:tabs>
          <w:tab w:leader="none" w:pos="76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Accounting Controls. </w:t>
      </w:r>
      <w:r>
        <w:rPr>
          <w:rFonts w:ascii="Times New Roman" w:cs="Times New Roman" w:eastAsia="Times New Roman" w:hAnsi="Times New Roman"/>
          <w:sz w:val="18"/>
          <w:szCs w:val="18"/>
          <w:color w:val="auto"/>
        </w:rPr>
        <w:t>The Company maintains systems of “internal control over financial reporting” (as defined in Rule 13a-15(f)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that have been designed to comply with the requirements of the Exchange Act and have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GAAP. The Company maintains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interactive data in eXtensible Business Reporting Language included or incorporated by reference in the Registration Statement, the Prospectus and the Pricing Disclosure Package fairly presents the information called for in all material respects and is prepared in accordance with the Commission’s rules and guidelines applicable thereto. There are no material weaknesses in the Company’s internal controls. The Company’s auditors and the Audit Committee of the Board of Directors of the Company have been advised of: (i) all significant deficiencies and material weaknesses, if any,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ectPr>
          <w:pgSz w:w="11900" w:h="16838" w:orient="portrait"/>
          <w:cols w:equalWidth="0" w:num="1">
            <w:col w:w="10560"/>
          </w:cols>
          <w:pgMar w:left="880" w:top="270" w:right="459" w:bottom="1440" w:gutter="0" w:footer="0" w:header="0"/>
        </w:sectPr>
      </w:pPr>
    </w:p>
    <w:bookmarkStart w:id="20" w:name="page21"/>
    <w:bookmarkEnd w:id="20"/>
    <w:p>
      <w:pPr>
        <w:ind w:left="4" w:right="80" w:firstLine="419"/>
        <w:spacing w:after="0" w:line="267" w:lineRule="auto"/>
        <w:tabs>
          <w:tab w:leader="none" w:pos="69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eXtensible Business Reporting Language. </w:t>
      </w:r>
      <w:r>
        <w:rPr>
          <w:rFonts w:ascii="Times New Roman" w:cs="Times New Roman" w:eastAsia="Times New Roman" w:hAnsi="Times New Roman"/>
          <w:sz w:val="18"/>
          <w:szCs w:val="18"/>
          <w:color w:val="auto"/>
        </w:rPr>
        <w:t>The interactive data in eXtensible Business Reporting Language included or incorporated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in the Registration Statement fairly presents the information called for in all material respects and has been prepared in accordance with the Commission’s rules and guidelines applicable thereto.</w:t>
      </w:r>
    </w:p>
    <w:p>
      <w:pPr>
        <w:spacing w:after="0" w:line="65" w:lineRule="exact"/>
        <w:rPr>
          <w:rFonts w:ascii="Times New Roman" w:cs="Times New Roman" w:eastAsia="Times New Roman" w:hAnsi="Times New Roman"/>
          <w:sz w:val="18"/>
          <w:szCs w:val="18"/>
          <w:color w:val="auto"/>
        </w:rPr>
      </w:pPr>
    </w:p>
    <w:p>
      <w:pPr>
        <w:ind w:left="4" w:right="20" w:firstLine="419"/>
        <w:spacing w:after="0" w:line="257" w:lineRule="auto"/>
        <w:tabs>
          <w:tab w:leader="none" w:pos="69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Insurance. </w:t>
      </w:r>
      <w:r>
        <w:rPr>
          <w:rFonts w:ascii="Times New Roman" w:cs="Times New Roman" w:eastAsia="Times New Roman" w:hAnsi="Times New Roman"/>
          <w:sz w:val="18"/>
          <w:szCs w:val="18"/>
          <w:color w:val="auto"/>
        </w:rPr>
        <w:t>The Company has insurance covering its properties, operations, personnel and business, including business interruption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which insurance is in amounts and insures against such losses and risks which the Company reasonably believes are adequate to protect the Company and its business; and the Company has not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w:t>
      </w:r>
    </w:p>
    <w:p>
      <w:pPr>
        <w:spacing w:after="0" w:line="74" w:lineRule="exact"/>
        <w:rPr>
          <w:rFonts w:ascii="Times New Roman" w:cs="Times New Roman" w:eastAsia="Times New Roman" w:hAnsi="Times New Roman"/>
          <w:sz w:val="18"/>
          <w:szCs w:val="18"/>
          <w:color w:val="auto"/>
        </w:rPr>
      </w:pPr>
    </w:p>
    <w:p>
      <w:pPr>
        <w:ind w:left="4" w:firstLine="419"/>
        <w:spacing w:after="0" w:line="269" w:lineRule="auto"/>
        <w:tabs>
          <w:tab w:leader="none" w:pos="771"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Cybersecurity; Data Protection. </w:t>
      </w:r>
      <w:r>
        <w:rPr>
          <w:rFonts w:ascii="Times New Roman" w:cs="Times New Roman" w:eastAsia="Times New Roman" w:hAnsi="Times New Roman"/>
          <w:sz w:val="17"/>
          <w:szCs w:val="17"/>
          <w:color w:val="auto"/>
        </w:rPr>
        <w:t>The Company’s and its subsidiary’s information technology assets and equipment, computers, systems,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networks, hardware, software, websites, applications, and databases (collectively, “IT Systems”) are adequate for, and operate and perform in all material respects as required in connection with the operation of the business of the Company and its subsidiary as currently conducted, free and clear of all material bugs, errors, defects, Trojan horses, time bombs, malware and other corruptants. The Company and its subsidiary have implemented and maintained commercially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(“Personal Data”) used in connection with their businesses, and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subsidiary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70" w:lineRule="exact"/>
        <w:rPr>
          <w:rFonts w:ascii="Times New Roman" w:cs="Times New Roman" w:eastAsia="Times New Roman" w:hAnsi="Times New Roman"/>
          <w:sz w:val="17"/>
          <w:szCs w:val="17"/>
          <w:color w:val="auto"/>
        </w:rPr>
      </w:pPr>
    </w:p>
    <w:p>
      <w:pPr>
        <w:ind w:left="4" w:right="20" w:firstLine="419"/>
        <w:spacing w:after="0" w:line="277" w:lineRule="auto"/>
        <w:tabs>
          <w:tab w:leader="none" w:pos="691"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Unlawful Payments. </w:t>
      </w:r>
      <w:r>
        <w:rPr>
          <w:rFonts w:ascii="Times New Roman" w:cs="Times New Roman" w:eastAsia="Times New Roman" w:hAnsi="Times New Roman"/>
          <w:sz w:val="17"/>
          <w:szCs w:val="17"/>
          <w:color w:val="auto"/>
        </w:rPr>
        <w:t>Neither the Company nor its subsidiary nor any director, officer or employee of the Company or its subsidiary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nor, to the knowledge of the Company, any agent, affiliate or other person associated with or acting on behalf of the Company or its subsidiary has</w:t>
      </w:r>
    </w:p>
    <w:p>
      <w:pPr>
        <w:spacing w:after="0" w:line="1" w:lineRule="exact"/>
        <w:rPr>
          <w:rFonts w:ascii="Times New Roman" w:cs="Times New Roman" w:eastAsia="Times New Roman" w:hAnsi="Times New Roman"/>
          <w:sz w:val="17"/>
          <w:szCs w:val="17"/>
          <w:color w:val="auto"/>
        </w:rPr>
      </w:pPr>
    </w:p>
    <w:p>
      <w:pPr>
        <w:ind w:left="4" w:right="100" w:hanging="4"/>
        <w:spacing w:after="0" w:line="253" w:lineRule="auto"/>
        <w:tabs>
          <w:tab w:leader="none" w:pos="21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w:t>
      </w:r>
    </w:p>
    <w:p>
      <w:pPr>
        <w:sectPr>
          <w:pgSz w:w="11900" w:h="16838" w:orient="portrait"/>
          <w:cols w:equalWidth="0" w:num="1">
            <w:col w:w="10564"/>
          </w:cols>
          <w:pgMar w:left="876" w:top="268" w:right="459" w:bottom="1440" w:gutter="0" w:footer="0" w:header="0"/>
        </w:sectPr>
      </w:pPr>
    </w:p>
    <w:bookmarkStart w:id="21" w:name="page22"/>
    <w:bookmarkEnd w:id="21"/>
    <w:p>
      <w:pPr>
        <w:ind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The Company and its subsidiary have instituted, maintain and enforce, and will continue to maintain and enforce policies and procedures designed to promote and ensure compliance with all applicable anti-bribery and anti-corruption laws.</w:t>
      </w:r>
    </w:p>
    <w:p>
      <w:pPr>
        <w:spacing w:after="0" w:line="79" w:lineRule="exact"/>
        <w:rPr>
          <w:sz w:val="20"/>
          <w:szCs w:val="20"/>
          <w:color w:val="auto"/>
        </w:rPr>
      </w:pPr>
    </w:p>
    <w:p>
      <w:pPr>
        <w:ind w:right="80" w:firstLine="419"/>
        <w:spacing w:after="0" w:line="256" w:lineRule="auto"/>
        <w:tabs>
          <w:tab w:leader="none" w:pos="86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Anti-Money Laundering Laws</w:t>
      </w:r>
      <w:r>
        <w:rPr>
          <w:rFonts w:ascii="Times New Roman" w:cs="Times New Roman" w:eastAsia="Times New Roman" w:hAnsi="Times New Roman"/>
          <w:sz w:val="18"/>
          <w:szCs w:val="18"/>
          <w:color w:val="auto"/>
        </w:rPr>
        <w:t>. The operations of the Company and its subsidiary are and have been conducted at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times in compliance with applicable financial recordkeeping and reporting requirements, including those of the Currency and Foreign Transactions Reporting Act of 1970, as amended, the applicable money laundering statutes of all jurisdictions where the Company or its subsidiary conducts business, the rules and regulations thereunder and any related or similar rules, regulations or guidelines issued, administered or enforced by any governmental agency (collectively, the “Anti-Money Laundering Laws”) and no action, suit or proceeding by or before any court or governmental agency, authority or body or any arbitrator involving the Company or its subsidiary with respect to the Anti-Money Laundering Laws is pending or, to the knowledge of the Company, threatened.</w:t>
      </w:r>
    </w:p>
    <w:p>
      <w:pPr>
        <w:spacing w:after="0" w:line="74" w:lineRule="exact"/>
        <w:rPr>
          <w:rFonts w:ascii="Times New Roman" w:cs="Times New Roman" w:eastAsia="Times New Roman" w:hAnsi="Times New Roman"/>
          <w:sz w:val="18"/>
          <w:szCs w:val="18"/>
          <w:color w:val="auto"/>
        </w:rPr>
      </w:pPr>
    </w:p>
    <w:p>
      <w:pPr>
        <w:ind w:firstLine="419"/>
        <w:spacing w:after="0" w:line="252" w:lineRule="auto"/>
        <w:tabs>
          <w:tab w:leader="none" w:pos="76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with Sanctions Laws. </w:t>
      </w:r>
      <w:r>
        <w:rPr>
          <w:rFonts w:ascii="Times New Roman" w:cs="Times New Roman" w:eastAsia="Times New Roman" w:hAnsi="Times New Roman"/>
          <w:sz w:val="18"/>
          <w:szCs w:val="18"/>
          <w:color w:val="auto"/>
        </w:rPr>
        <w:t>Neither the Company nor its subsidiary, directors, officers, or employees, nor, to the knowledge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any agent, affiliate or other person associated with or acting on behalf of the Company or its subsidiary is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United Nations Security Council (“UNSC”), the European Union, His Majesty’s Treasury (“HMT”) or other relevant sanctions authority (collectively, “Sanctions”), nor is the Company or its subsidiary located, organized or resident in a country or territory that is the subject or target of Sanctions, including, without limitation, Crimea, Cuba, Iran, North Korea, Syria (before July 1, 2025), the non-government controlled areas of the Zaporizhzhia and Kherson Regions and the so-called Donetsk People’s Republic and the so-called Luhansk People’s Republic regions of Ukraine (each, a “Sanctioned Country”);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Since April 24, 2019, the Company and its subsidiary have not knowingly engaged in and are not now knowingly engaged in any dealings or transactions with any person that at the time of the dealing or transaction is or was the subject or the target of Sanctions or with any Sanctioned Country.</w:t>
      </w:r>
    </w:p>
    <w:p>
      <w:pPr>
        <w:sectPr>
          <w:pgSz w:w="11900" w:h="16838" w:orient="portrait"/>
          <w:cols w:equalWidth="0" w:num="1">
            <w:col w:w="10560"/>
          </w:cols>
          <w:pgMar w:left="880" w:top="270" w:right="459" w:bottom="1440" w:gutter="0" w:footer="0" w:header="0"/>
        </w:sectPr>
      </w:pPr>
    </w:p>
    <w:bookmarkStart w:id="22" w:name="page23"/>
    <w:bookmarkEnd w:id="22"/>
    <w:p>
      <w:pPr>
        <w:ind w:left="-419" w:firstLine="419"/>
        <w:spacing w:after="0" w:line="261" w:lineRule="auto"/>
        <w:tabs>
          <w:tab w:leader="none" w:pos="34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Restrictions on Subsidiary</w:t>
      </w:r>
      <w:r>
        <w:rPr>
          <w:rFonts w:ascii="Times New Roman" w:cs="Times New Roman" w:eastAsia="Times New Roman" w:hAnsi="Times New Roman"/>
          <w:sz w:val="18"/>
          <w:szCs w:val="18"/>
          <w:color w:val="auto"/>
        </w:rPr>
        <w:t>. The subsidiary of the Company is not currently prohibited, directly or indirectly, under any agreement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instrument to which it is a party or is subject, from paying any dividends to the Company, from making any other distribution on the subsidiary’s capital stock or similar ownership interest, from repaying to the Company any loans or advances to the subsidiary from the Company or from transferring any of the subsidiary’s properties or assets to the Company.</w:t>
      </w:r>
    </w:p>
    <w:p>
      <w:pPr>
        <w:spacing w:after="0" w:line="71" w:lineRule="exact"/>
        <w:rPr>
          <w:rFonts w:ascii="Times New Roman" w:cs="Times New Roman" w:eastAsia="Times New Roman" w:hAnsi="Times New Roman"/>
          <w:sz w:val="18"/>
          <w:szCs w:val="18"/>
          <w:color w:val="auto"/>
        </w:rPr>
      </w:pPr>
    </w:p>
    <w:p>
      <w:pPr>
        <w:jc w:val="both"/>
        <w:ind w:left="-419" w:right="20" w:firstLine="419"/>
        <w:spacing w:after="0" w:line="267" w:lineRule="auto"/>
        <w:tabs>
          <w:tab w:leader="none" w:pos="34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Broker’s Fees. </w:t>
      </w:r>
      <w:r>
        <w:rPr>
          <w:rFonts w:ascii="Times New Roman" w:cs="Times New Roman" w:eastAsia="Times New Roman" w:hAnsi="Times New Roman"/>
          <w:sz w:val="18"/>
          <w:szCs w:val="18"/>
          <w:color w:val="auto"/>
        </w:rPr>
        <w:t>Neither the Company nor its subsidiary is a party to any contract, agreement or understanding with any person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this Agreement) that would give rise to a valid claim against any of them or any Underwriter for a brokerage commission, finder’s fee or like payment in connection with the offering and sale of the Shares.</w:t>
      </w:r>
    </w:p>
    <w:p>
      <w:pPr>
        <w:spacing w:after="0" w:line="65" w:lineRule="exact"/>
        <w:rPr>
          <w:rFonts w:ascii="Times New Roman" w:cs="Times New Roman" w:eastAsia="Times New Roman" w:hAnsi="Times New Roman"/>
          <w:sz w:val="18"/>
          <w:szCs w:val="18"/>
          <w:color w:val="auto"/>
        </w:rPr>
      </w:pPr>
    </w:p>
    <w:p>
      <w:pPr>
        <w:ind w:left="-419" w:right="200" w:firstLine="419"/>
        <w:spacing w:after="0" w:line="267" w:lineRule="auto"/>
        <w:tabs>
          <w:tab w:leader="none" w:pos="34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Registration Rights</w:t>
      </w:r>
      <w:r>
        <w:rPr>
          <w:rFonts w:ascii="Times New Roman" w:cs="Times New Roman" w:eastAsia="Times New Roman" w:hAnsi="Times New Roman"/>
          <w:sz w:val="18"/>
          <w:szCs w:val="18"/>
          <w:color w:val="auto"/>
        </w:rPr>
        <w:t>. No person has the right to require the Company or its subsidiary to register any securities for sale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Act by reason of the filing of the Registration Statement with the Commission or the issuance and sale of the Shares, other than those that have been validly waived.</w:t>
      </w:r>
    </w:p>
    <w:p>
      <w:pPr>
        <w:spacing w:after="0" w:line="65" w:lineRule="exact"/>
        <w:rPr>
          <w:rFonts w:ascii="Times New Roman" w:cs="Times New Roman" w:eastAsia="Times New Roman" w:hAnsi="Times New Roman"/>
          <w:sz w:val="18"/>
          <w:szCs w:val="18"/>
          <w:color w:val="auto"/>
        </w:rPr>
      </w:pPr>
    </w:p>
    <w:p>
      <w:pPr>
        <w:ind w:left="-419" w:right="300" w:firstLine="419"/>
        <w:spacing w:after="0" w:line="284" w:lineRule="auto"/>
        <w:tabs>
          <w:tab w:leader="none" w:pos="28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Neither the Company nor its subsidiary or affiliates have taken, directly or indirectly, any action designed to or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could reasonably be expected to cause or result in any stabilization or manipulation of the price of the Shares.</w:t>
      </w:r>
    </w:p>
    <w:p>
      <w:pPr>
        <w:spacing w:after="0" w:line="50" w:lineRule="exact"/>
        <w:rPr>
          <w:rFonts w:ascii="Times New Roman" w:cs="Times New Roman" w:eastAsia="Times New Roman" w:hAnsi="Times New Roman"/>
          <w:sz w:val="18"/>
          <w:szCs w:val="18"/>
          <w:color w:val="auto"/>
        </w:rPr>
      </w:pPr>
    </w:p>
    <w:p>
      <w:pPr>
        <w:ind w:left="-419" w:right="40" w:firstLine="419"/>
        <w:spacing w:after="0" w:line="267" w:lineRule="auto"/>
        <w:tabs>
          <w:tab w:leader="none" w:pos="30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Margin Rules</w:t>
      </w:r>
      <w:r>
        <w:rPr>
          <w:rFonts w:ascii="Times New Roman" w:cs="Times New Roman" w:eastAsia="Times New Roman" w:hAnsi="Times New Roman"/>
          <w:sz w:val="18"/>
          <w:szCs w:val="18"/>
          <w:color w:val="auto"/>
        </w:rPr>
        <w:t>. Neither the issuance, sale and delivery of the Shares nor the application of the proceeds thereof by the Company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in each of the Registration Statement, the Pricing Disclosure Package and the Prospectus will violate Regulation T, U or X of the Board of Governors of the Federal Reserve System.</w:t>
      </w:r>
    </w:p>
    <w:p>
      <w:pPr>
        <w:spacing w:after="0" w:line="65" w:lineRule="exact"/>
        <w:rPr>
          <w:rFonts w:ascii="Times New Roman" w:cs="Times New Roman" w:eastAsia="Times New Roman" w:hAnsi="Times New Roman"/>
          <w:sz w:val="18"/>
          <w:szCs w:val="18"/>
          <w:color w:val="auto"/>
        </w:rPr>
      </w:pPr>
    </w:p>
    <w:p>
      <w:pPr>
        <w:ind w:left="-419" w:firstLine="419"/>
        <w:spacing w:after="0" w:line="267" w:lineRule="auto"/>
        <w:tabs>
          <w:tab w:leader="none" w:pos="26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Forward-Looking Statements. </w:t>
      </w:r>
      <w:r>
        <w:rPr>
          <w:rFonts w:ascii="Times New Roman" w:cs="Times New Roman" w:eastAsia="Times New Roman" w:hAnsi="Times New Roman"/>
          <w:sz w:val="18"/>
          <w:szCs w:val="18"/>
          <w:color w:val="auto"/>
        </w:rPr>
        <w:t>No forward-looking statement (within the meaning of Section 27A of the Securities Act and Section 21E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Exchange Act) included or incorporated by reference in any of the Registration Statement, the Pricing Disclosure Package or the Prospectus has been made or reaffirmed without a reasonable basis or has been disclosed other than in good faith.</w:t>
      </w:r>
    </w:p>
    <w:p>
      <w:pPr>
        <w:spacing w:after="0" w:line="65" w:lineRule="exact"/>
        <w:rPr>
          <w:rFonts w:ascii="Times New Roman" w:cs="Times New Roman" w:eastAsia="Times New Roman" w:hAnsi="Times New Roman"/>
          <w:sz w:val="18"/>
          <w:szCs w:val="18"/>
          <w:color w:val="auto"/>
        </w:rPr>
      </w:pPr>
    </w:p>
    <w:p>
      <w:pPr>
        <w:ind w:left="-419" w:right="20" w:firstLine="419"/>
        <w:spacing w:after="0" w:line="267" w:lineRule="auto"/>
        <w:tabs>
          <w:tab w:leader="none" w:pos="34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Statistical and Market Data. </w:t>
      </w:r>
      <w:r>
        <w:rPr>
          <w:rFonts w:ascii="Times New Roman" w:cs="Times New Roman" w:eastAsia="Times New Roman" w:hAnsi="Times New Roman"/>
          <w:sz w:val="18"/>
          <w:szCs w:val="18"/>
          <w:color w:val="auto"/>
        </w:rPr>
        <w:t>Nothing has come to the attention of the Company that has caused the Company to believe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statistical and market-related data included or incorporated by reference in each of the Registration Statement, the Pricing Disclosure Package and the Prospectus is not based on or derived from sources that are reliable and accurate in all material respects.</w:t>
      </w:r>
    </w:p>
    <w:p>
      <w:pPr>
        <w:spacing w:after="0" w:line="65" w:lineRule="exact"/>
        <w:rPr>
          <w:rFonts w:ascii="Times New Roman" w:cs="Times New Roman" w:eastAsia="Times New Roman" w:hAnsi="Times New Roman"/>
          <w:sz w:val="18"/>
          <w:szCs w:val="18"/>
          <w:color w:val="auto"/>
        </w:rPr>
      </w:pPr>
    </w:p>
    <w:p>
      <w:pPr>
        <w:ind w:left="-419" w:right="180" w:firstLine="419"/>
        <w:spacing w:after="0" w:line="261" w:lineRule="auto"/>
        <w:tabs>
          <w:tab w:leader="none" w:pos="34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Sarbanes-Oxley Act</w:t>
      </w:r>
      <w:r>
        <w:rPr>
          <w:rFonts w:ascii="Times New Roman" w:cs="Times New Roman" w:eastAsia="Times New Roman" w:hAnsi="Times New Roman"/>
          <w:sz w:val="18"/>
          <w:szCs w:val="18"/>
          <w:color w:val="auto"/>
        </w:rPr>
        <w:t>. There is and has been no failure on the part of the Company or, to the knowledge of the Company, any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directors or officers, in their capacities as such, to comply with any applicable provision of the Sarbanes-Oxley Act of 2002, as amended, and the rules and regulations promulgated in connection therewith (the “Sarbanes-Oxley Act”), including Section 402 related to loans and Sections 302 and 906 related to certifications.</w:t>
      </w:r>
    </w:p>
    <w:p>
      <w:pPr>
        <w:sectPr>
          <w:pgSz w:w="11900" w:h="16838" w:orient="portrait"/>
          <w:cols w:equalWidth="0" w:num="1">
            <w:col w:w="10121"/>
          </w:cols>
          <w:pgMar w:left="1299" w:top="268" w:right="479" w:bottom="1440" w:gutter="0" w:footer="0" w:header="0"/>
        </w:sectPr>
      </w:pPr>
    </w:p>
    <w:bookmarkStart w:id="23" w:name="page24"/>
    <w:bookmarkEnd w:id="23"/>
    <w:p>
      <w:pPr>
        <w:ind w:left="4" w:right="100" w:firstLine="419"/>
        <w:spacing w:after="0" w:line="257" w:lineRule="auto"/>
        <w:tabs>
          <w:tab w:leader="none" w:pos="85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Outbound Investment Security Program. </w:t>
      </w:r>
      <w:r>
        <w:rPr>
          <w:rFonts w:ascii="Times New Roman" w:cs="Times New Roman" w:eastAsia="Times New Roman" w:hAnsi="Times New Roman"/>
          <w:sz w:val="18"/>
          <w:szCs w:val="18"/>
          <w:color w:val="auto"/>
        </w:rPr>
        <w:t>Neither the Company nor its subsidiary is a “covered foreign person”, as that term is defined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31 C.F.R. § 850.209. Neither the Company nor its subsidiary currently engages, or has plans to engage, directly or indirectly, in a “covered activity”, as that term is defined in 31 C.F.R. § 850.208 (“Covered Activity”). The Company does not have any joint ventures that engage in or plans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w:t>
      </w:r>
    </w:p>
    <w:p>
      <w:pPr>
        <w:spacing w:after="0" w:line="74" w:lineRule="exact"/>
        <w:rPr>
          <w:rFonts w:ascii="Times New Roman" w:cs="Times New Roman" w:eastAsia="Times New Roman" w:hAnsi="Times New Roman"/>
          <w:sz w:val="18"/>
          <w:szCs w:val="18"/>
          <w:color w:val="auto"/>
        </w:rPr>
      </w:pPr>
    </w:p>
    <w:p>
      <w:pPr>
        <w:ind w:left="4" w:right="20" w:firstLine="419"/>
        <w:spacing w:after="0" w:line="257" w:lineRule="auto"/>
        <w:tabs>
          <w:tab w:leader="none" w:pos="77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Status under the Securities Act</w:t>
      </w:r>
      <w:r>
        <w:rPr>
          <w:rFonts w:ascii="Times New Roman" w:cs="Times New Roman" w:eastAsia="Times New Roman" w:hAnsi="Times New Roman"/>
          <w:sz w:val="18"/>
          <w:szCs w:val="18"/>
          <w:color w:val="auto"/>
        </w:rPr>
        <w:t>. At the time of filing the Registration Statement and any post-effective amendment thereto,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earliest time thereafter that the Company or any offering participant made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 (within the meaning of Rule 164(h)(2) under the Securities Act) of the Shares and at the date hereof, the Company was not and is not an “ineligible issuer,” and is a well-known seasoned issuer, in each case as defined in Rule 405 under the Securities Act. The Company has paid the registration fee for this offering pursuant to Rule 456(b)(1) under the Securities Act or will pay such fee within the time period required by such rule (without giving effect to the proviso therein) and in any event prior to the Closing Date.</w:t>
      </w:r>
    </w:p>
    <w:p>
      <w:pPr>
        <w:spacing w:after="0" w:line="74" w:lineRule="exact"/>
        <w:rPr>
          <w:rFonts w:ascii="Times New Roman" w:cs="Times New Roman" w:eastAsia="Times New Roman" w:hAnsi="Times New Roman"/>
          <w:sz w:val="18"/>
          <w:szCs w:val="18"/>
          <w:color w:val="auto"/>
        </w:rPr>
      </w:pPr>
    </w:p>
    <w:p>
      <w:pPr>
        <w:ind w:left="4" w:right="200" w:firstLine="419"/>
        <w:spacing w:after="0" w:line="267" w:lineRule="auto"/>
        <w:tabs>
          <w:tab w:leader="none" w:pos="77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Ratings</w:t>
      </w:r>
      <w:r>
        <w:rPr>
          <w:rFonts w:ascii="Times New Roman" w:cs="Times New Roman" w:eastAsia="Times New Roman" w:hAnsi="Times New Roman"/>
          <w:sz w:val="18"/>
          <w:szCs w:val="18"/>
          <w:color w:val="auto"/>
        </w:rPr>
        <w:t>. There are (and prior to the Closing Date, will be) no debt securities, convertible securities or preferred stock issued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guaranteed by the Company or its subsidiary that are rated by a “nationally recognized statistical rating organization”, as such term is defined in Section 3(a)(62) under the Exchange Act.</w:t>
      </w:r>
    </w:p>
    <w:p>
      <w:pPr>
        <w:spacing w:after="0" w:line="175"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Agreements of the Company</w:t>
      </w:r>
      <w:r>
        <w:rPr>
          <w:rFonts w:ascii="Times New Roman" w:cs="Times New Roman" w:eastAsia="Times New Roman" w:hAnsi="Times New Roman"/>
          <w:sz w:val="18"/>
          <w:szCs w:val="18"/>
          <w:color w:val="auto"/>
        </w:rPr>
        <w:t>. The Company covenants and agrees with each Underwriter that:</w:t>
      </w:r>
    </w:p>
    <w:p>
      <w:pPr>
        <w:spacing w:after="0" w:line="115" w:lineRule="exact"/>
        <w:rPr>
          <w:rFonts w:ascii="Times New Roman" w:cs="Times New Roman" w:eastAsia="Times New Roman" w:hAnsi="Times New Roman"/>
          <w:sz w:val="18"/>
          <w:szCs w:val="18"/>
          <w:color w:val="auto"/>
        </w:rPr>
      </w:pPr>
    </w:p>
    <w:p>
      <w:pPr>
        <w:ind w:left="4" w:firstLine="419"/>
        <w:spacing w:after="0" w:line="254" w:lineRule="auto"/>
        <w:tabs>
          <w:tab w:leader="none" w:pos="67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Required Filings. </w:t>
      </w:r>
      <w:r>
        <w:rPr>
          <w:rFonts w:ascii="Times New Roman" w:cs="Times New Roman" w:eastAsia="Times New Roman" w:hAnsi="Times New Roman"/>
          <w:sz w:val="18"/>
          <w:szCs w:val="18"/>
          <w:color w:val="auto"/>
        </w:rPr>
        <w:t>The Company will file the final Prospectus with the Commission prior to the earlier of (i) the Closing Date and (ii)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latest date within the time periods specified by Rule 424(b) and Rule 430A, 430B or 430C under the Securities Act, will file any Issuer Free Writing Prospectus to the extent required by Rule 433 under the Securities Act; and the Company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Shares; and the Company will furnish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 The Company will pay the registration fee for this offering within the time period required by Rule 456(b)(1) under the Securities Act (without giving effect to the proviso therein) and in any event prior to the Closing Date.</w:t>
      </w:r>
    </w:p>
    <w:p>
      <w:pPr>
        <w:sectPr>
          <w:pgSz w:w="11900" w:h="16838" w:orient="portrait"/>
          <w:cols w:equalWidth="0" w:num="1">
            <w:col w:w="10564"/>
          </w:cols>
          <w:pgMar w:left="876" w:top="268" w:right="459" w:bottom="1440" w:gutter="0" w:footer="0" w:header="0"/>
        </w:sectPr>
      </w:pPr>
    </w:p>
    <w:bookmarkStart w:id="24" w:name="page25"/>
    <w:bookmarkEnd w:id="24"/>
    <w:p>
      <w:pPr>
        <w:ind w:left="-419" w:firstLine="419"/>
        <w:spacing w:after="0" w:line="254" w:lineRule="auto"/>
        <w:tabs>
          <w:tab w:leader="none" w:pos="25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Delivery of Copies. </w:t>
      </w:r>
      <w:r>
        <w:rPr>
          <w:rFonts w:ascii="Times New Roman" w:cs="Times New Roman" w:eastAsia="Times New Roman" w:hAnsi="Times New Roman"/>
          <w:sz w:val="18"/>
          <w:szCs w:val="18"/>
          <w:color w:val="auto"/>
        </w:rPr>
        <w:t>The Company will deliver, without charge, (i) to the Representatives, upon request, four signed copies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as originally filed and each amendment thereto, in each case including all exhibits and consents filed therewith and documents incorporated by reference therein; and (ii) to each Underwriter (A) a conformed copy of the Registration Statement as originally filed and each amendment thereto (without exhibits) and (B) during the Prospectus Delivery Period (as defined below), as many copies of the Prospectus (including all amendments and supplements thereto and documents incorporated by reference therein and each Issuer Free Writing Prospectus) as the Representatives may reasonably request. As used herein, the term “Prospectus Delivery Period” means such period of time after the first date of the public offering of the Shares as in the opinion of counsel for the Underwriters a prospectus relating to the Shares is required by law to be delivered (or required to be delivered but for Rule 172 under the Securities Act) in connection with sales of the Shares by any Underwriter or dealer.</w:t>
      </w:r>
    </w:p>
    <w:p>
      <w:pPr>
        <w:spacing w:after="0" w:line="80" w:lineRule="exact"/>
        <w:rPr>
          <w:rFonts w:ascii="Times New Roman" w:cs="Times New Roman" w:eastAsia="Times New Roman" w:hAnsi="Times New Roman"/>
          <w:sz w:val="18"/>
          <w:szCs w:val="18"/>
          <w:color w:val="auto"/>
        </w:rPr>
      </w:pPr>
    </w:p>
    <w:p>
      <w:pPr>
        <w:ind w:left="-419" w:right="60" w:firstLine="419"/>
        <w:spacing w:after="0" w:line="258" w:lineRule="auto"/>
        <w:tabs>
          <w:tab w:leader="none" w:pos="24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or Supplements, Issuer Free Writing Prospectuses. </w:t>
      </w:r>
      <w:r>
        <w:rPr>
          <w:rFonts w:ascii="Times New Roman" w:cs="Times New Roman" w:eastAsia="Times New Roman" w:hAnsi="Times New Roman"/>
          <w:sz w:val="18"/>
          <w:szCs w:val="18"/>
          <w:color w:val="auto"/>
        </w:rPr>
        <w:t>Before making, preparing, using, authorizing, approving, referring to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filing any Issuer Free Writing Prospectus, and before filing any amendment or supplement to the Registration Statement, the Pricing Disclosure Package or the Prospectus,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w:t>
      </w:r>
    </w:p>
    <w:p>
      <w:pPr>
        <w:spacing w:after="0" w:line="75" w:lineRule="exact"/>
        <w:rPr>
          <w:rFonts w:ascii="Times New Roman" w:cs="Times New Roman" w:eastAsia="Times New Roman" w:hAnsi="Times New Roman"/>
          <w:sz w:val="18"/>
          <w:szCs w:val="18"/>
          <w:color w:val="auto"/>
        </w:rPr>
      </w:pPr>
    </w:p>
    <w:p>
      <w:pPr>
        <w:ind w:left="-419" w:right="100" w:firstLine="419"/>
        <w:spacing w:after="0" w:line="253" w:lineRule="auto"/>
        <w:tabs>
          <w:tab w:leader="none" w:pos="25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to the Representatives. </w:t>
      </w:r>
      <w:r>
        <w:rPr>
          <w:rFonts w:ascii="Times New Roman" w:cs="Times New Roman" w:eastAsia="Times New Roman" w:hAnsi="Times New Roman"/>
          <w:sz w:val="18"/>
          <w:szCs w:val="18"/>
          <w:color w:val="auto"/>
        </w:rPr>
        <w:t>The Company will advise the Representatives promptly, and confirm such advice in writing, (i) when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to the Registration Statement has been filed or becomes effective; (ii) when any supplement to the Pricing Disclosure Package, the Prospectus, any Issuer Free Writing Prospectus or any Written Testing-the-Waters Communication or any amendment to the Prospectus has been filed or distributed;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including, but not limited to, any request for information concerning any Testing-the-Waters Communication; (iv) of the issuance by the Commission or any other governmental or regulatory authority of any order suspending the effectiveness of the Registration Statement or preventing or suspending the use of any Preliminary Prospectus, any of the Pricing Disclosure Package, the Prospectus or any Written Testing-the-Waters Communication or the initiation or threatening of any proceeding for that purpose or pursuant to Section 8A of the Securities Act; (v) of the occurrence of any event or development within the Prospectus Delivery Period as a result of which the Prospectus, any of the Pricing Disclosure Package, any Issuer Free Writing Prospectus or any Written Testing-the-Waters Communication as then amended or supplemented would</w:t>
      </w:r>
    </w:p>
    <w:p>
      <w:pPr>
        <w:sectPr>
          <w:pgSz w:w="11900" w:h="16838" w:orient="portrait"/>
          <w:cols w:equalWidth="0" w:num="1">
            <w:col w:w="10141"/>
          </w:cols>
          <w:pgMar w:left="1299" w:top="268" w:right="459" w:bottom="1440" w:gutter="0" w:footer="0" w:header="0"/>
        </w:sectPr>
      </w:pPr>
    </w:p>
    <w:bookmarkStart w:id="25" w:name="page26"/>
    <w:bookmarkEnd w:id="25"/>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include any untrue statement of a material fact or omit to state a material fact necessary in order to make the statements therein, in the light of the circumstances existing when the Prospectus, the Pricing Disclosure Package, any such Issuer Free Writing Prospectus or any Written Testing-the-Waters Communication is delivered to a purchaser, not misleading; (vi) of the receipt by the Company of any notice of objection of the Commission to the use of the Registration Statement or any post-effective amendment thereto pursuant to Rule 401(g)(2) under the Securities Act; and (vii) of the receipt by the Company of any notice with respect to any suspension of the qualification of the Shares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any of the Pricing Disclosure Package, the Prospectus or any Written Testing-the-Waters Communication or suspending any such qualification of the Shares and, if any such order is issued, will obtain as soon as possible the withdrawal thereof.</w:t>
      </w:r>
    </w:p>
    <w:p>
      <w:pPr>
        <w:spacing w:after="0" w:line="78" w:lineRule="exact"/>
        <w:rPr>
          <w:sz w:val="20"/>
          <w:szCs w:val="20"/>
          <w:color w:val="auto"/>
        </w:rPr>
      </w:pPr>
    </w:p>
    <w:p>
      <w:pPr>
        <w:ind w:firstLine="419"/>
        <w:spacing w:after="0" w:line="252" w:lineRule="auto"/>
        <w:tabs>
          <w:tab w:leader="none" w:pos="66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Ongoing Compliance. </w:t>
      </w:r>
      <w:r>
        <w:rPr>
          <w:rFonts w:ascii="Times New Roman" w:cs="Times New Roman" w:eastAsia="Times New Roman" w:hAnsi="Times New Roman"/>
          <w:sz w:val="18"/>
          <w:szCs w:val="18"/>
          <w:color w:val="auto"/>
        </w:rPr>
        <w:t>(1) If during the Prospectus Delivery Period (i) any event or development shall occur or condition shall exist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applicable law, the Company will promptly notify the Underwriters thereof and forthwith prepare and, subject to paragraph (c) above, file with the Commission and furnish to the Underwriters and to such dealers as the Representatives may designate such amendments or supplements to the Prospectus (or any document to be filed with the Commission and incorporated by reference therein) as may be necessary so that the statements in the Prospectus as so amended or supplemented (or any document to be filed with the Commission and incorporated by reference therein) will not, in the light of the circumstances existing when the Prospectus is delivered to a purchaser, be misleading or so that the Prospectus will comply with applicable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applicable law, the Company will promptly notify the Underwriters thereof and forthwith prepare and, subject to paragraph (c) above, file with the Commission (to the extent required) and furnish to the Underwriters and to such dealers as the Representatives may designate such amendments or supplements to the Pricing Disclosure Package (or any document to be filed with the Commission and incorporated by reference therein)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applicable law.</w:t>
      </w:r>
    </w:p>
    <w:p>
      <w:pPr>
        <w:sectPr>
          <w:pgSz w:w="11900" w:h="16838" w:orient="portrait"/>
          <w:cols w:equalWidth="0" w:num="1">
            <w:col w:w="10540"/>
          </w:cols>
          <w:pgMar w:left="880" w:top="270" w:right="479" w:bottom="1440" w:gutter="0" w:footer="0" w:header="0"/>
        </w:sectPr>
      </w:pPr>
    </w:p>
    <w:bookmarkStart w:id="26" w:name="page27"/>
    <w:bookmarkEnd w:id="26"/>
    <w:p>
      <w:pPr>
        <w:ind w:left="4" w:right="80" w:firstLine="419"/>
        <w:spacing w:after="0" w:line="271" w:lineRule="auto"/>
        <w:tabs>
          <w:tab w:leader="none" w:pos="651"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Blue Sky Compliance. </w:t>
      </w:r>
      <w:r>
        <w:rPr>
          <w:rFonts w:ascii="Times New Roman" w:cs="Times New Roman" w:eastAsia="Times New Roman" w:hAnsi="Times New Roman"/>
          <w:sz w:val="17"/>
          <w:szCs w:val="17"/>
          <w:color w:val="auto"/>
        </w:rPr>
        <w:t>The Company will qualify the Shares for offer and sale under the securities or Blue Sky laws of such jurisdictions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as the Representatives shall reasonably request and will continue such qualifications in effect so long as required for distribution of the Shares;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w:t>
      </w:r>
    </w:p>
    <w:p>
      <w:pPr>
        <w:spacing w:after="0" w:line="1" w:lineRule="exact"/>
        <w:rPr>
          <w:rFonts w:ascii="Times New Roman" w:cs="Times New Roman" w:eastAsia="Times New Roman" w:hAnsi="Times New Roman"/>
          <w:sz w:val="17"/>
          <w:szCs w:val="17"/>
          <w:color w:val="auto"/>
        </w:rPr>
      </w:pPr>
    </w:p>
    <w:p>
      <w:pPr>
        <w:ind w:left="324" w:hanging="324"/>
        <w:spacing w:after="0"/>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itself to taxation in any such jurisdiction if it is not otherwise so subject.</w:t>
      </w:r>
    </w:p>
    <w:p>
      <w:pPr>
        <w:spacing w:after="0" w:line="96" w:lineRule="exact"/>
        <w:rPr>
          <w:rFonts w:ascii="Times New Roman" w:cs="Times New Roman" w:eastAsia="Times New Roman" w:hAnsi="Times New Roman"/>
          <w:sz w:val="18"/>
          <w:szCs w:val="18"/>
          <w:color w:val="auto"/>
        </w:rPr>
      </w:pPr>
    </w:p>
    <w:p>
      <w:pPr>
        <w:ind w:left="4" w:right="80" w:firstLine="419"/>
        <w:spacing w:after="0" w:line="257" w:lineRule="auto"/>
        <w:tabs>
          <w:tab w:leader="none" w:pos="68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Earning Statement. </w:t>
      </w:r>
      <w:r>
        <w:rPr>
          <w:rFonts w:ascii="Times New Roman" w:cs="Times New Roman" w:eastAsia="Times New Roman" w:hAnsi="Times New Roman"/>
          <w:sz w:val="18"/>
          <w:szCs w:val="18"/>
          <w:color w:val="auto"/>
        </w:rPr>
        <w:t>The Company will make generally available to its security holders and the Representatives as soon as practicable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provided that the Company will be deemed to have furnished such statements to its security holders and the Representatives to the extent they are filed on the Commission’s Electronic Data Gathering, Analysis, and Retrieval system (“EDGAR”) or any successor system.</w:t>
      </w:r>
    </w:p>
    <w:p>
      <w:pPr>
        <w:spacing w:after="0" w:line="74" w:lineRule="exact"/>
        <w:rPr>
          <w:rFonts w:ascii="Times New Roman" w:cs="Times New Roman" w:eastAsia="Times New Roman" w:hAnsi="Times New Roman"/>
          <w:sz w:val="18"/>
          <w:szCs w:val="18"/>
          <w:color w:val="auto"/>
        </w:rPr>
      </w:pPr>
    </w:p>
    <w:p>
      <w:pPr>
        <w:ind w:left="4" w:firstLine="419"/>
        <w:spacing w:after="0" w:line="255" w:lineRule="auto"/>
        <w:tabs>
          <w:tab w:leader="none" w:pos="68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Clear Market. </w:t>
      </w:r>
      <w:r>
        <w:rPr>
          <w:rFonts w:ascii="Times New Roman" w:cs="Times New Roman" w:eastAsia="Times New Roman" w:hAnsi="Times New Roman"/>
          <w:sz w:val="18"/>
          <w:szCs w:val="18"/>
          <w:color w:val="auto"/>
        </w:rPr>
        <w:t>For a period of 60 days after the date of the Prospectus, the Company will not (i) offer, pledge, sell, contract to sell, sell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option or contract to purchase, purchase any option or contract to sell, grant any option, right or warrant to purchase, lend, or otherwise transfer or dispose of, directly or indirectly, or submit to, or file with, the Commission a registration statement under the Securities Act relating to, any shares of Stock or any securities convertible into or exercisable or exchangeable for Stock, or publicly disclose the intention to undertake any of the foregoing, or (ii) 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without the prior written consent of Jefferies LLC and TD Securities (USA) LLC, other than the Shares to be sold hereunder.</w:t>
      </w:r>
    </w:p>
    <w:p>
      <w:pPr>
        <w:spacing w:after="0" w:line="79" w:lineRule="exact"/>
        <w:rPr>
          <w:sz w:val="20"/>
          <w:szCs w:val="20"/>
          <w:color w:val="auto"/>
        </w:rPr>
      </w:pPr>
    </w:p>
    <w:p>
      <w:pPr>
        <w:ind w:left="4" w:right="80" w:firstLine="423"/>
        <w:spacing w:after="0" w:line="253" w:lineRule="auto"/>
        <w:rPr>
          <w:sz w:val="20"/>
          <w:szCs w:val="20"/>
          <w:color w:val="auto"/>
        </w:rPr>
      </w:pPr>
      <w:r>
        <w:rPr>
          <w:rFonts w:ascii="Times New Roman" w:cs="Times New Roman" w:eastAsia="Times New Roman" w:hAnsi="Times New Roman"/>
          <w:sz w:val="18"/>
          <w:szCs w:val="18"/>
          <w:color w:val="auto"/>
        </w:rPr>
        <w:t>The restrictions described above do not apply to (i) the issuance of shares of Stock or securities convertible into or exercisable for shares of Stock pursuant to the conversion or exchange of convertible or exchangeable securities or the exercise of warrants or options (including net exercise) or the settlement of restricted stock units (“RSUs”) (including net settlement), in each case outstanding on the date of this Agreement and pursuant to the Company’s equity incentive plans as described in the Prospectus or the documents incorporated by reference; (ii) grants of stock options, stock awards, restricted stock, RSUs, or other equity awards and the issuance of shares of Stock or securities convertible into or exercisable or exchangeable for shares of Stock (whether upon the exercise of stock options or otherwise) to the Company’s employees, officers, directors, advisors, or consultants pursuant to the terms of an equity compensation plan in effect as of the Closing Date and described in the Prospectus or documents incorporated by reference; (iii) the issuance of up to 5.0% of the outstanding shares of Stock, or securities convertible into, exercisable for, or which are otherwise exchangeable for, Stock, immediately following the Closing Date, in acquisitions or other similar strategic transactions, provided that such recipients enter into a lock-up agreement with the Underwriters; or (iv) the filing of any registration statement on Form S-8 relating to securities granted or to be granted pursuant to any plan in effect on the date of this Agreement and described in the Prospectus or any assumed benefit plan pursuant to an acquisition or similar strategic transaction.</w:t>
      </w:r>
    </w:p>
    <w:p>
      <w:pPr>
        <w:sectPr>
          <w:pgSz w:w="11900" w:h="16838" w:orient="portrait"/>
          <w:cols w:equalWidth="0" w:num="1">
            <w:col w:w="10544"/>
          </w:cols>
          <w:pgMar w:left="876" w:top="268" w:right="479" w:bottom="1440" w:gutter="0" w:footer="0" w:header="0"/>
        </w:sectPr>
      </w:pPr>
    </w:p>
    <w:bookmarkStart w:id="27" w:name="page28"/>
    <w:bookmarkEnd w:id="27"/>
    <w:p>
      <w:pPr>
        <w:ind w:left="-419" w:firstLine="419"/>
        <w:spacing w:after="0" w:line="284" w:lineRule="auto"/>
        <w:tabs>
          <w:tab w:leader="none" w:pos="21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Use of Proceeds. </w:t>
      </w:r>
      <w:r>
        <w:rPr>
          <w:rFonts w:ascii="Times New Roman" w:cs="Times New Roman" w:eastAsia="Times New Roman" w:hAnsi="Times New Roman"/>
          <w:sz w:val="18"/>
          <w:szCs w:val="18"/>
          <w:color w:val="auto"/>
        </w:rPr>
        <w:t>The Company will apply the net proceeds from the sale of the Shares as described in each of the Registration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Pricing Disclosure Package and the Prospectus under the heading “Use of proceeds”.</w:t>
      </w:r>
    </w:p>
    <w:p>
      <w:pPr>
        <w:spacing w:after="0" w:line="50" w:lineRule="exact"/>
        <w:rPr>
          <w:rFonts w:ascii="Times New Roman" w:cs="Times New Roman" w:eastAsia="Times New Roman" w:hAnsi="Times New Roman"/>
          <w:sz w:val="18"/>
          <w:szCs w:val="18"/>
          <w:color w:val="auto"/>
        </w:rPr>
      </w:pPr>
    </w:p>
    <w:p>
      <w:pPr>
        <w:ind w:left="-419" w:right="80" w:firstLine="419"/>
        <w:spacing w:after="0" w:line="284" w:lineRule="auto"/>
        <w:tabs>
          <w:tab w:leader="none" w:pos="21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Neither the Company nor its subsidiary or affiliates will take, directly or indirectly, any action designed to or that could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be expected to cause or result in any stabilization or manipulation of the price of the Stock.</w:t>
      </w:r>
    </w:p>
    <w:p>
      <w:pPr>
        <w:spacing w:after="0" w:line="50" w:lineRule="exact"/>
        <w:rPr>
          <w:rFonts w:ascii="Times New Roman" w:cs="Times New Roman" w:eastAsia="Times New Roman" w:hAnsi="Times New Roman"/>
          <w:sz w:val="18"/>
          <w:szCs w:val="18"/>
          <w:color w:val="auto"/>
        </w:rPr>
      </w:pPr>
    </w:p>
    <w:p>
      <w:pPr>
        <w:ind w:left="261" w:hanging="261"/>
        <w:spacing w:after="0"/>
        <w:tabs>
          <w:tab w:leader="none" w:pos="26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Exchange Listing. </w:t>
      </w:r>
      <w:r>
        <w:rPr>
          <w:rFonts w:ascii="Times New Roman" w:cs="Times New Roman" w:eastAsia="Times New Roman" w:hAnsi="Times New Roman"/>
          <w:sz w:val="18"/>
          <w:szCs w:val="18"/>
          <w:color w:val="auto"/>
        </w:rPr>
        <w:t>The Company will use its reasonable best efforts to list, subject to notice of issuance, the Shares on the Exchange.</w:t>
      </w:r>
    </w:p>
    <w:p>
      <w:pPr>
        <w:spacing w:after="0" w:line="117" w:lineRule="exact"/>
        <w:rPr>
          <w:rFonts w:ascii="Times New Roman" w:cs="Times New Roman" w:eastAsia="Times New Roman" w:hAnsi="Times New Roman"/>
          <w:sz w:val="18"/>
          <w:szCs w:val="18"/>
          <w:color w:val="auto"/>
        </w:rPr>
      </w:pPr>
    </w:p>
    <w:p>
      <w:pPr>
        <w:ind w:left="-419" w:right="160" w:firstLine="419"/>
        <w:spacing w:after="0" w:line="258" w:lineRule="auto"/>
        <w:tabs>
          <w:tab w:leader="none" w:pos="21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Reports. </w:t>
      </w:r>
      <w:r>
        <w:rPr>
          <w:rFonts w:ascii="Times New Roman" w:cs="Times New Roman" w:eastAsia="Times New Roman" w:hAnsi="Times New Roman"/>
          <w:sz w:val="18"/>
          <w:szCs w:val="18"/>
          <w:color w:val="auto"/>
        </w:rPr>
        <w:t>For a period of three years following the date of this Agreement, the Company will furnish to the Representatives, as soon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they are available, copies of all reports or other communications (financial or other) furnished to holders of the Shares, and copies of any reports and financial statements furnished to or filed with the Commission or any national securities exchange or automatic quotation system;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 Company will be deemed to have furnished such reports and financial statements to the Representatives to the extent they are filed on the Commission’s EDGAR system or any successor to such system.</w:t>
      </w:r>
    </w:p>
    <w:p>
      <w:pPr>
        <w:spacing w:after="0" w:line="75" w:lineRule="exact"/>
        <w:rPr>
          <w:rFonts w:ascii="Times New Roman" w:cs="Times New Roman" w:eastAsia="Times New Roman" w:hAnsi="Times New Roman"/>
          <w:sz w:val="18"/>
          <w:szCs w:val="18"/>
          <w:color w:val="auto"/>
        </w:rPr>
      </w:pPr>
    </w:p>
    <w:p>
      <w:pPr>
        <w:ind w:left="-419" w:right="440" w:firstLine="419"/>
        <w:spacing w:after="0" w:line="284" w:lineRule="auto"/>
        <w:tabs>
          <w:tab w:leader="none" w:pos="30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Record Retention</w:t>
      </w:r>
      <w:r>
        <w:rPr>
          <w:rFonts w:ascii="Times New Roman" w:cs="Times New Roman" w:eastAsia="Times New Roman" w:hAnsi="Times New Roman"/>
          <w:sz w:val="18"/>
          <w:szCs w:val="18"/>
          <w:color w:val="auto"/>
        </w:rPr>
        <w:t>. The Company will, pursuant to reasonable procedures developed in good faith, retain copies of each Issuer Free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Writing Prospectus that is not filed with the Commission in accordance with Rule 433 under the Securities Act.</w:t>
      </w:r>
    </w:p>
    <w:p>
      <w:pPr>
        <w:spacing w:after="0" w:line="48" w:lineRule="exact"/>
        <w:rPr>
          <w:rFonts w:ascii="Times New Roman" w:cs="Times New Roman" w:eastAsia="Times New Roman" w:hAnsi="Times New Roman"/>
          <w:sz w:val="18"/>
          <w:szCs w:val="18"/>
          <w:color w:val="auto"/>
        </w:rPr>
      </w:pPr>
    </w:p>
    <w:p>
      <w:pPr>
        <w:ind w:left="-419" w:right="60" w:firstLine="419"/>
        <w:spacing w:after="0" w:line="254" w:lineRule="auto"/>
        <w:tabs>
          <w:tab w:leader="none" w:pos="25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Shelf Renewal</w:t>
      </w:r>
      <w:r>
        <w:rPr>
          <w:rFonts w:ascii="Times New Roman" w:cs="Times New Roman" w:eastAsia="Times New Roman" w:hAnsi="Times New Roman"/>
          <w:sz w:val="18"/>
          <w:szCs w:val="18"/>
          <w:color w:val="auto"/>
        </w:rPr>
        <w:t>. If immediately prior to the third anniversary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Renewal Deadline”) of the initial effective date of the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any of the Shares remain unsold by the Underwriters, the Company will, prior to the Renewal Deadline, file, if it has not already done so and is eligible to do so, a new automatic shelf registration statement relating to the Shares, in a form satisfactory to the Representative. If the Company is not eligible to file an automatic shelf registration statement, the Company will, prior to the Renewal Deadline, if it has not already done so, file a new shelf registration statement relating to the Shares, in a form satisfactory to the Representative, and will use its best efforts to cause such registration statement to be declared effective within 180 days after the Renewal Deadline. The Company will take all other action reasonably necessary or appropriate to permit the issuance and sale of the Shares to continue as contemplated in the expired registration statement relating to the Shares. References herein to the Registration Statement shall include such new automatic shelf registration statement or such new shelf registration statement, as the case may be.</w:t>
      </w:r>
    </w:p>
    <w:p>
      <w:pPr>
        <w:sectPr>
          <w:pgSz w:w="11900" w:h="16838" w:orient="portrait"/>
          <w:cols w:equalWidth="0" w:num="1">
            <w:col w:w="10141"/>
          </w:cols>
          <w:pgMar w:left="1299" w:top="268" w:right="459" w:bottom="1440" w:gutter="0" w:footer="0" w:header="0"/>
        </w:sectPr>
      </w:pPr>
    </w:p>
    <w:bookmarkStart w:id="28" w:name="page29"/>
    <w:bookmarkEnd w:id="28"/>
    <w:p>
      <w:pPr>
        <w:ind w:left="684" w:hanging="261"/>
        <w:spacing w:after="0"/>
        <w:tabs>
          <w:tab w:leader="none" w:pos="68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Filings. </w:t>
      </w:r>
      <w:r>
        <w:rPr>
          <w:rFonts w:ascii="Times New Roman" w:cs="Times New Roman" w:eastAsia="Times New Roman" w:hAnsi="Times New Roman"/>
          <w:sz w:val="18"/>
          <w:szCs w:val="18"/>
          <w:color w:val="auto"/>
        </w:rPr>
        <w:t>The Company will file with the Commission such reports as may be required by Rule 463 under the Securities Act.</w:t>
      </w:r>
    </w:p>
    <w:p>
      <w:pPr>
        <w:spacing w:after="0" w:line="22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Agreements of the Underwriters</w:t>
      </w:r>
      <w:r>
        <w:rPr>
          <w:rFonts w:ascii="Times New Roman" w:cs="Times New Roman" w:eastAsia="Times New Roman" w:hAnsi="Times New Roman"/>
          <w:sz w:val="18"/>
          <w:szCs w:val="18"/>
          <w:color w:val="auto"/>
        </w:rPr>
        <w:t>. Each Underwriter hereby represents and agrees that:</w:t>
      </w:r>
    </w:p>
    <w:p>
      <w:pPr>
        <w:spacing w:after="0" w:line="117" w:lineRule="exact"/>
        <w:rPr>
          <w:rFonts w:ascii="Times New Roman" w:cs="Times New Roman" w:eastAsia="Times New Roman" w:hAnsi="Times New Roman"/>
          <w:sz w:val="18"/>
          <w:szCs w:val="18"/>
          <w:color w:val="auto"/>
        </w:rPr>
      </w:pPr>
    </w:p>
    <w:p>
      <w:pPr>
        <w:ind w:left="4" w:right="80" w:firstLine="419"/>
        <w:spacing w:after="0" w:line="254" w:lineRule="auto"/>
        <w:tabs>
          <w:tab w:leader="none" w:pos="67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that was not included (including through incorporation by reference) in the Preliminary Prospectus or a previously filed Issuer Free Writing Prospectus, (ii) any Issuer Free Writing Prospectus listed on Annex A or prepared pursuant to Section 3(c) or Section 4(c) above (including any electronic road show), or (iii) any free writing prospectus prepared by such Underwriter and approved by the Company in advance in writing (each such free writing prospectus referred to in clauses (i) or (iii), an “Underwriter Free Writing Prospectus”).</w:t>
      </w:r>
    </w:p>
    <w:p>
      <w:pPr>
        <w:spacing w:after="0" w:line="83" w:lineRule="exact"/>
        <w:rPr>
          <w:rFonts w:ascii="Times New Roman" w:cs="Times New Roman" w:eastAsia="Times New Roman" w:hAnsi="Times New Roman"/>
          <w:sz w:val="18"/>
          <w:szCs w:val="18"/>
          <w:color w:val="auto"/>
        </w:rPr>
      </w:pPr>
    </w:p>
    <w:p>
      <w:pPr>
        <w:ind w:left="4" w:right="60" w:firstLine="419"/>
        <w:spacing w:after="0" w:line="258" w:lineRule="auto"/>
        <w:tabs>
          <w:tab w:leader="none" w:pos="68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has not and will not, without the prior written consent of the Company, use any free writing prospectus that contains the final terms of the offering of the Shares unless such terms have previously been included in a free writing prospectus filed with the Commission;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Underwriters may use a term sheet substantially in the form of Annex C hereto without the consent of the Company;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any Underwriter using such term sheet shall notify the Company, and provide a copy of such term sheet to the Company, prior to, or substantially concurrently with, the first use of such term sheet.</w:t>
      </w:r>
    </w:p>
    <w:p>
      <w:pPr>
        <w:spacing w:after="0" w:line="75" w:lineRule="exact"/>
        <w:rPr>
          <w:rFonts w:ascii="Times New Roman" w:cs="Times New Roman" w:eastAsia="Times New Roman" w:hAnsi="Times New Roman"/>
          <w:sz w:val="18"/>
          <w:szCs w:val="18"/>
          <w:color w:val="auto"/>
        </w:rPr>
      </w:pPr>
    </w:p>
    <w:p>
      <w:pPr>
        <w:ind w:left="4" w:right="160" w:firstLine="419"/>
        <w:spacing w:after="0" w:line="282" w:lineRule="auto"/>
        <w:tabs>
          <w:tab w:leader="none" w:pos="67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subject to any pending proceeding under Section 8A of the Securities Act with respect to the offering (and will promptly notify the Company if any such proceeding against it is initiated during the Prospectus Delivery Period).</w:t>
      </w:r>
    </w:p>
    <w:p>
      <w:pPr>
        <w:spacing w:after="0" w:line="161" w:lineRule="exact"/>
        <w:rPr>
          <w:rFonts w:ascii="Times New Roman" w:cs="Times New Roman" w:eastAsia="Times New Roman" w:hAnsi="Times New Roman"/>
          <w:sz w:val="18"/>
          <w:szCs w:val="18"/>
          <w:color w:val="auto"/>
        </w:rPr>
      </w:pPr>
    </w:p>
    <w:p>
      <w:pPr>
        <w:ind w:left="-436" w:firstLine="436"/>
        <w:spacing w:after="0" w:line="266" w:lineRule="auto"/>
        <w:tabs>
          <w:tab w:leader="none" w:pos="18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Underwriters’ Obligations.</w:t>
      </w:r>
      <w:r>
        <w:rPr>
          <w:rFonts w:ascii="Times New Roman" w:cs="Times New Roman" w:eastAsia="Times New Roman" w:hAnsi="Times New Roman"/>
          <w:sz w:val="18"/>
          <w:szCs w:val="18"/>
          <w:color w:val="auto"/>
        </w:rPr>
        <w:t xml:space="preserve"> The obligation of each Underwriter to purchase the Underwritten Shares on the Closing Date or the Option Shares on the Additional Closing Date, as the case may be, as provided herein is subject to the performance by the Company of its covenants and other obligations hereunder and to the following additional conditions:</w:t>
      </w:r>
    </w:p>
    <w:p>
      <w:pPr>
        <w:spacing w:after="0" w:line="65" w:lineRule="exact"/>
        <w:rPr>
          <w:rFonts w:ascii="Times New Roman" w:cs="Times New Roman" w:eastAsia="Times New Roman" w:hAnsi="Times New Roman"/>
          <w:sz w:val="18"/>
          <w:szCs w:val="18"/>
          <w:color w:val="auto"/>
        </w:rPr>
      </w:pPr>
    </w:p>
    <w:p>
      <w:pPr>
        <w:ind w:left="4" w:firstLine="419"/>
        <w:spacing w:after="0" w:line="257" w:lineRule="auto"/>
        <w:tabs>
          <w:tab w:leader="none" w:pos="67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Compliance; No Stop Order. </w:t>
      </w:r>
      <w:r>
        <w:rPr>
          <w:rFonts w:ascii="Times New Roman" w:cs="Times New Roman" w:eastAsia="Times New Roman" w:hAnsi="Times New Roman"/>
          <w:sz w:val="18"/>
          <w:szCs w:val="18"/>
          <w:color w:val="auto"/>
        </w:rPr>
        <w:t>No order suspending the effectiveness of the Registration Statement shall be in effect, and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 for such purpose, pursuant to Rule 401(g)(2)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Representatives.</w:t>
      </w:r>
    </w:p>
    <w:p>
      <w:pPr>
        <w:sectPr>
          <w:pgSz w:w="11900" w:h="16838" w:orient="portrait"/>
          <w:cols w:equalWidth="0" w:num="1">
            <w:col w:w="10564"/>
          </w:cols>
          <w:pgMar w:left="876" w:top="268" w:right="459" w:bottom="1440" w:gutter="0" w:footer="0" w:header="0"/>
        </w:sectPr>
      </w:pPr>
    </w:p>
    <w:bookmarkStart w:id="29" w:name="page30"/>
    <w:bookmarkEnd w:id="29"/>
    <w:p>
      <w:pPr>
        <w:ind w:left="-419" w:right="280" w:firstLine="419"/>
        <w:spacing w:after="0" w:line="261" w:lineRule="auto"/>
        <w:tabs>
          <w:tab w:leader="none" w:pos="25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Representations and Warranties. </w:t>
      </w:r>
      <w:r>
        <w:rPr>
          <w:rFonts w:ascii="Times New Roman" w:cs="Times New Roman" w:eastAsia="Times New Roman" w:hAnsi="Times New Roman"/>
          <w:sz w:val="18"/>
          <w:szCs w:val="18"/>
          <w:color w:val="auto"/>
        </w:rPr>
        <w:t>The representations and warranties of the Company contained herein shall be true and correct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hereof and on and as of the Closing Date or the Additional Closing Date, as the case may be, and the statements of the Company and its officers made in any certificates delivered pursuant to this Agreement shall be true and correct on and as of the Closing Date or the Additional Closing Date, as the case may be.</w:t>
      </w:r>
    </w:p>
    <w:p>
      <w:pPr>
        <w:spacing w:after="0" w:line="71" w:lineRule="exact"/>
        <w:rPr>
          <w:rFonts w:ascii="Times New Roman" w:cs="Times New Roman" w:eastAsia="Times New Roman" w:hAnsi="Times New Roman"/>
          <w:sz w:val="18"/>
          <w:szCs w:val="18"/>
          <w:color w:val="auto"/>
        </w:rPr>
      </w:pPr>
    </w:p>
    <w:p>
      <w:pPr>
        <w:ind w:left="-419" w:right="60" w:firstLine="419"/>
        <w:spacing w:after="0" w:line="258" w:lineRule="auto"/>
        <w:tabs>
          <w:tab w:leader="none" w:pos="24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No event or condition of a type described in Section 3(h) hereof shall have occurred or shall exist,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 or condition is not described in the Pricing Disclosure Package (excluding any amendment or supplement thereto) and the Prospectus (excluding any amendment or supplement thereto) and the effect of which in the judgment of the Representatives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75" w:lineRule="exact"/>
        <w:rPr>
          <w:rFonts w:ascii="Times New Roman" w:cs="Times New Roman" w:eastAsia="Times New Roman" w:hAnsi="Times New Roman"/>
          <w:sz w:val="18"/>
          <w:szCs w:val="18"/>
          <w:color w:val="auto"/>
        </w:rPr>
      </w:pPr>
    </w:p>
    <w:p>
      <w:pPr>
        <w:ind w:left="-419" w:firstLine="419"/>
        <w:spacing w:after="0" w:line="256" w:lineRule="auto"/>
        <w:tabs>
          <w:tab w:leader="none" w:pos="25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Officer’s Certificate. </w:t>
      </w:r>
      <w:r>
        <w:rPr>
          <w:rFonts w:ascii="Times New Roman" w:cs="Times New Roman" w:eastAsia="Times New Roman" w:hAnsi="Times New Roman"/>
          <w:sz w:val="18"/>
          <w:szCs w:val="18"/>
          <w:color w:val="auto"/>
        </w:rPr>
        <w:t>The Representatives shall have received on and as of the Closing Date or the Additional Closing Date, as the case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a certificate of the chief financial officer or chief accounting officer of the Company and one additional senior executive officer of the Company who is satisfactory to the Representatives (i) confirming that such officers have carefully reviewed the Registration Statement, the Pricing Disclosure Package and the Prospectus and, to the knowledge of such officers, the representations set forth in Sections 3(b) and 3(e) hereof are true and correct, (ii) confirming that the other representations and warranties of the Company in this Agreement are true and correct and that the Company has complied with all agreements and satisfied all conditions on its part to be performed or satisfied hereunder at or prior to the Closing Date or the Additional Closing Date, as the case may be, and (iii) to the effect set forth in paragraphs (a), (b) and (c) above.</w:t>
      </w:r>
    </w:p>
    <w:p>
      <w:pPr>
        <w:spacing w:after="0" w:line="74" w:lineRule="exact"/>
        <w:rPr>
          <w:rFonts w:ascii="Times New Roman" w:cs="Times New Roman" w:eastAsia="Times New Roman" w:hAnsi="Times New Roman"/>
          <w:sz w:val="18"/>
          <w:szCs w:val="18"/>
          <w:color w:val="auto"/>
        </w:rPr>
      </w:pPr>
    </w:p>
    <w:p>
      <w:pPr>
        <w:ind w:left="-419" w:right="100" w:firstLine="419"/>
        <w:spacing w:after="0" w:line="256" w:lineRule="auto"/>
        <w:tabs>
          <w:tab w:leader="none" w:pos="24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Comfort Letters. </w:t>
      </w:r>
      <w:r>
        <w:rPr>
          <w:rFonts w:ascii="Times New Roman" w:cs="Times New Roman" w:eastAsia="Times New Roman" w:hAnsi="Times New Roman"/>
          <w:sz w:val="18"/>
          <w:szCs w:val="18"/>
          <w:color w:val="auto"/>
        </w:rPr>
        <w:t>On the date of this Agreement and on the Closing Date or the Additional Closing Date, as the case may be, Ernst &amp;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Young LLP shall have furnished to the Representatives, 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or incorporated by reference in each of the Registration Statement, the Pricing Disclosure Package and the Prospectus; provided, that the letter delivered on the Closing Date or the Additional Closing Date, as the case may be, shall use a “cut-off” date no more than two business days prior to such Closing Date or such Additional Closing Date, as the case may be.</w:t>
      </w:r>
    </w:p>
    <w:p>
      <w:pPr>
        <w:sectPr>
          <w:pgSz w:w="11900" w:h="16838" w:orient="portrait"/>
          <w:cols w:equalWidth="0" w:num="1">
            <w:col w:w="10141"/>
          </w:cols>
          <w:pgMar w:left="1299" w:top="268" w:right="459" w:bottom="1440" w:gutter="0" w:footer="0" w:header="0"/>
        </w:sectPr>
      </w:pPr>
    </w:p>
    <w:bookmarkStart w:id="30" w:name="page31"/>
    <w:bookmarkEnd w:id="30"/>
    <w:p>
      <w:pPr>
        <w:ind w:left="-419" w:firstLine="419"/>
        <w:spacing w:after="0" w:line="261" w:lineRule="auto"/>
        <w:tabs>
          <w:tab w:leader="none" w:pos="22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Opinion and 10b-5 Statement of Counsel for the Company. </w:t>
      </w:r>
      <w:r>
        <w:rPr>
          <w:rFonts w:ascii="Times New Roman" w:cs="Times New Roman" w:eastAsia="Times New Roman" w:hAnsi="Times New Roman"/>
          <w:sz w:val="18"/>
          <w:szCs w:val="18"/>
          <w:color w:val="auto"/>
        </w:rPr>
        <w:t>Goodwin Procter LLP, counsel for the Company, shall have furnished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 at the request of the Company, their written opinion and 10b-5 statement, dated the Closing Date or the Additional Closing Date, as the case may be, and addressed to the Underwriters, in form and substance reasonably satisfactory to the Representatives, to the effect set forth in Annex D hereto.</w:t>
      </w:r>
    </w:p>
    <w:p>
      <w:pPr>
        <w:spacing w:after="0" w:line="71" w:lineRule="exact"/>
        <w:rPr>
          <w:rFonts w:ascii="Times New Roman" w:cs="Times New Roman" w:eastAsia="Times New Roman" w:hAnsi="Times New Roman"/>
          <w:sz w:val="18"/>
          <w:szCs w:val="18"/>
          <w:color w:val="auto"/>
        </w:rPr>
      </w:pPr>
    </w:p>
    <w:p>
      <w:pPr>
        <w:ind w:left="-419" w:right="40" w:firstLine="419"/>
        <w:spacing w:after="0" w:line="290" w:lineRule="auto"/>
        <w:tabs>
          <w:tab w:leader="none" w:pos="258"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Opinion of IP Counsel for the Company. </w:t>
      </w:r>
      <w:r>
        <w:rPr>
          <w:rFonts w:ascii="Times New Roman" w:cs="Times New Roman" w:eastAsia="Times New Roman" w:hAnsi="Times New Roman"/>
          <w:sz w:val="17"/>
          <w:szCs w:val="17"/>
          <w:color w:val="auto"/>
        </w:rPr>
        <w:t>Cooley LLP, intellectual property counsel for the Company, shall have furnished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Representatives, at the request of the Company, their written opinion, dated the Closing Date or the Additional Closing Date, as the case may be, and addressed to the Underwriters, in form and substance reasonably satisfactory to the Representatives, to the effect set forth in Annex E hereto.</w:t>
      </w:r>
    </w:p>
    <w:p>
      <w:pPr>
        <w:spacing w:after="0" w:line="47" w:lineRule="exact"/>
        <w:rPr>
          <w:rFonts w:ascii="Times New Roman" w:cs="Times New Roman" w:eastAsia="Times New Roman" w:hAnsi="Times New Roman"/>
          <w:sz w:val="17"/>
          <w:szCs w:val="17"/>
          <w:color w:val="auto"/>
        </w:rPr>
      </w:pPr>
    </w:p>
    <w:p>
      <w:pPr>
        <w:ind w:left="-419" w:firstLine="419"/>
        <w:spacing w:after="0" w:line="261" w:lineRule="auto"/>
        <w:tabs>
          <w:tab w:leader="none" w:pos="25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and 10b-5 Statement of Counsel for the Underwriters. </w:t>
      </w:r>
      <w:r>
        <w:rPr>
          <w:rFonts w:ascii="Times New Roman" w:cs="Times New Roman" w:eastAsia="Times New Roman" w:hAnsi="Times New Roman"/>
          <w:sz w:val="18"/>
          <w:szCs w:val="18"/>
          <w:color w:val="auto"/>
        </w:rPr>
        <w:t>The Representatives shall have received on and as of the Closing Date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Additional Closing Date, as the case may be, an opinion and 10b-5 statement, addressed to the Underwriters, of Ropes &amp; Gray LLP,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71" w:lineRule="exact"/>
        <w:rPr>
          <w:rFonts w:ascii="Times New Roman" w:cs="Times New Roman" w:eastAsia="Times New Roman" w:hAnsi="Times New Roman"/>
          <w:sz w:val="18"/>
          <w:szCs w:val="18"/>
          <w:color w:val="auto"/>
        </w:rPr>
      </w:pPr>
    </w:p>
    <w:p>
      <w:pPr>
        <w:ind w:left="-419" w:right="20" w:firstLine="419"/>
        <w:spacing w:after="0" w:line="258" w:lineRule="auto"/>
        <w:tabs>
          <w:tab w:leader="none" w:pos="2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 Financial Certificate</w:t>
      </w:r>
      <w:r>
        <w:rPr>
          <w:rFonts w:ascii="Times New Roman" w:cs="Times New Roman" w:eastAsia="Times New Roman" w:hAnsi="Times New Roman"/>
          <w:sz w:val="18"/>
          <w:szCs w:val="18"/>
          <w:color w:val="auto"/>
        </w:rPr>
        <w:t>. On the date of this Agreement and on the Closing Date or the Additional Closing Date, as the case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shall have furnished to the Representatives a certificate, dated the respective dates of delivery thereof and addressed to the Underwriters, of its principal financial officer with respect to certain financial data contained in the Pricing Disclosure Package and the Prospectus, providing “management comfort” with respect to such information, in form and substance reasonably satisfactory to the Representatives.</w:t>
      </w:r>
    </w:p>
    <w:p>
      <w:pPr>
        <w:spacing w:after="0" w:line="75" w:lineRule="exact"/>
        <w:rPr>
          <w:rFonts w:ascii="Times New Roman" w:cs="Times New Roman" w:eastAsia="Times New Roman" w:hAnsi="Times New Roman"/>
          <w:sz w:val="18"/>
          <w:szCs w:val="18"/>
          <w:color w:val="auto"/>
        </w:rPr>
      </w:pPr>
    </w:p>
    <w:p>
      <w:pPr>
        <w:ind w:left="-419" w:right="40" w:firstLine="419"/>
        <w:spacing w:after="0" w:line="258" w:lineRule="auto"/>
        <w:tabs>
          <w:tab w:leader="none" w:pos="2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Legal Impediment to Issuance and Sale. </w:t>
      </w:r>
      <w:r>
        <w:rPr>
          <w:rFonts w:ascii="Times New Roman" w:cs="Times New Roman" w:eastAsia="Times New Roman" w:hAnsi="Times New Roman"/>
          <w:sz w:val="18"/>
          <w:szCs w:val="18"/>
          <w:color w:val="auto"/>
        </w:rPr>
        <w:t>No action shall have been taken and no statute, rule, regulation or order shall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enacted, adopted or issued by any federal, state or foreign governmental or regulatory authority that would, as of the Closing Date or the Additional Closing Date, as the case may be, prevent the issuance or sale of the Shares; and no injunction or order of any federal, state or foreign court shall have been issued that would, as of the Closing Date or the Additional Closing Date, as the case may be, prevent the issuance or sale of the Shares.</w:t>
      </w:r>
    </w:p>
    <w:p>
      <w:pPr>
        <w:spacing w:after="0" w:line="75" w:lineRule="exact"/>
        <w:rPr>
          <w:rFonts w:ascii="Times New Roman" w:cs="Times New Roman" w:eastAsia="Times New Roman" w:hAnsi="Times New Roman"/>
          <w:sz w:val="18"/>
          <w:szCs w:val="18"/>
          <w:color w:val="auto"/>
        </w:rPr>
      </w:pPr>
    </w:p>
    <w:p>
      <w:pPr>
        <w:ind w:left="-419" w:right="120" w:firstLine="419"/>
        <w:spacing w:after="0" w:line="261" w:lineRule="auto"/>
        <w:tabs>
          <w:tab w:leader="none" w:pos="25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Good Standing</w:t>
      </w:r>
      <w:r>
        <w:rPr>
          <w:rFonts w:ascii="Times New Roman" w:cs="Times New Roman" w:eastAsia="Times New Roman" w:hAnsi="Times New Roman"/>
          <w:sz w:val="18"/>
          <w:szCs w:val="18"/>
          <w:color w:val="auto"/>
        </w:rPr>
        <w:t>. The Representatives shall have received on and as of the Closing Date or the Additional Closing Date, as the case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satisfactory evidence of the good standing of the Company and its subsidiary in their respective jurisdictions of organization and their good standing in such other jurisdictions as the Representatives may reasonably request, in each case in writing or any standard form of telecommunication from the appropriate governmental authorities of such jurisdictions.</w:t>
      </w:r>
    </w:p>
    <w:p>
      <w:pPr>
        <w:spacing w:after="0" w:line="71" w:lineRule="exact"/>
        <w:rPr>
          <w:rFonts w:ascii="Times New Roman" w:cs="Times New Roman" w:eastAsia="Times New Roman" w:hAnsi="Times New Roman"/>
          <w:sz w:val="18"/>
          <w:szCs w:val="18"/>
          <w:color w:val="auto"/>
        </w:rPr>
      </w:pPr>
    </w:p>
    <w:p>
      <w:pPr>
        <w:ind w:left="-419" w:right="240" w:firstLine="419"/>
        <w:spacing w:after="0" w:line="284" w:lineRule="auto"/>
        <w:tabs>
          <w:tab w:leader="none" w:pos="2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Exchange Listing. </w:t>
      </w:r>
      <w:r>
        <w:rPr>
          <w:rFonts w:ascii="Times New Roman" w:cs="Times New Roman" w:eastAsia="Times New Roman" w:hAnsi="Times New Roman"/>
          <w:sz w:val="18"/>
          <w:szCs w:val="18"/>
          <w:color w:val="auto"/>
        </w:rPr>
        <w:t>The Shares to be delivered on the Closing Date or the Additional Closing Date, as the case may be, shall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approved for listing on the Exchange, subject to official notice of issuance.</w:t>
      </w:r>
    </w:p>
    <w:p>
      <w:pPr>
        <w:sectPr>
          <w:pgSz w:w="11900" w:h="16838" w:orient="portrait"/>
          <w:cols w:equalWidth="0" w:num="1">
            <w:col w:w="10081"/>
          </w:cols>
          <w:pgMar w:left="1299" w:top="268" w:right="519" w:bottom="1440" w:gutter="0" w:footer="0" w:header="0"/>
        </w:sectPr>
      </w:pPr>
    </w:p>
    <w:bookmarkStart w:id="31" w:name="page32"/>
    <w:bookmarkEnd w:id="31"/>
    <w:p>
      <w:pPr>
        <w:ind w:left="444" w:right="40" w:firstLine="419"/>
        <w:spacing w:after="0" w:line="267" w:lineRule="auto"/>
        <w:tabs>
          <w:tab w:leader="none" w:pos="11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Lock-up Agreements</w:t>
      </w:r>
      <w:r>
        <w:rPr>
          <w:rFonts w:ascii="Times New Roman" w:cs="Times New Roman" w:eastAsia="Times New Roman" w:hAnsi="Times New Roman"/>
          <w:sz w:val="18"/>
          <w:szCs w:val="18"/>
          <w:color w:val="auto"/>
        </w:rPr>
        <w:t>. The “lock-up” agreements, each substantially in the form of Exhibit A hereto, between you and directors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officers of the Company relating to sales and certain other dispositions of shares of Stock or certain other securities, delivered to you on or before the date hereof, shall be in full force and effect on the Closing Date or the Additional Closing Date, as the case may be.</w:t>
      </w:r>
    </w:p>
    <w:p>
      <w:pPr>
        <w:spacing w:after="0" w:line="65" w:lineRule="exact"/>
        <w:rPr>
          <w:rFonts w:ascii="Times New Roman" w:cs="Times New Roman" w:eastAsia="Times New Roman" w:hAnsi="Times New Roman"/>
          <w:sz w:val="18"/>
          <w:szCs w:val="18"/>
          <w:color w:val="auto"/>
        </w:rPr>
      </w:pPr>
    </w:p>
    <w:p>
      <w:pPr>
        <w:ind w:left="444" w:right="400" w:firstLine="419"/>
        <w:spacing w:after="0" w:line="284" w:lineRule="auto"/>
        <w:tabs>
          <w:tab w:leader="none" w:pos="112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Documents. </w:t>
      </w:r>
      <w:r>
        <w:rPr>
          <w:rFonts w:ascii="Times New Roman" w:cs="Times New Roman" w:eastAsia="Times New Roman" w:hAnsi="Times New Roman"/>
          <w:sz w:val="18"/>
          <w:szCs w:val="18"/>
          <w:color w:val="auto"/>
        </w:rPr>
        <w:t>On or prior to the Closing Date or the Additional Closing Date, as the case may be, the Company shall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furnished to the Representatives such further certificates and documents as the Representatives may reasonably request.</w:t>
      </w:r>
    </w:p>
    <w:p>
      <w:pPr>
        <w:spacing w:after="0" w:line="160" w:lineRule="exact"/>
        <w:rPr>
          <w:sz w:val="20"/>
          <w:szCs w:val="20"/>
          <w:color w:val="auto"/>
        </w:rPr>
      </w:pPr>
    </w:p>
    <w:p>
      <w:pPr>
        <w:ind w:left="4" w:right="380" w:firstLine="440"/>
        <w:spacing w:after="0" w:line="282" w:lineRule="auto"/>
        <w:rPr>
          <w:sz w:val="20"/>
          <w:szCs w:val="20"/>
          <w:color w:val="auto"/>
        </w:rPr>
      </w:pPr>
      <w:r>
        <w:rPr>
          <w:rFonts w:ascii="Times New Roman" w:cs="Times New Roman" w:eastAsia="Times New Roman" w:hAnsi="Times New Roman"/>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62" w:lineRule="exact"/>
        <w:rPr>
          <w:sz w:val="20"/>
          <w:szCs w:val="20"/>
          <w:color w:val="auto"/>
        </w:rPr>
      </w:pPr>
    </w:p>
    <w:p>
      <w:pPr>
        <w:ind w:left="624" w:hanging="184"/>
        <w:spacing w:after="0"/>
        <w:tabs>
          <w:tab w:leader="none" w:pos="6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 w:right="60" w:firstLine="436"/>
        <w:spacing w:after="0" w:line="254" w:lineRule="auto"/>
        <w:tabs>
          <w:tab w:leader="none" w:pos="68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the Underwriters. </w:t>
      </w:r>
      <w:r>
        <w:rPr>
          <w:rFonts w:ascii="Times New Roman" w:cs="Times New Roman" w:eastAsia="Times New Roman" w:hAnsi="Times New Roman"/>
          <w:sz w:val="18"/>
          <w:szCs w:val="18"/>
          <w:color w:val="auto"/>
        </w:rPr>
        <w:t>The Company agrees to indemnify and hold harmless each Underwriter, its affiliates, directors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and each person, if any, who controls such Underwriter within the meaning of Section 15 of the Securities Act or Section 20 of the Exchange Act, from and against any and all losses, claims, damages and liabilities (including, without limitation, legal fees and other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w:t>
      </w:r>
    </w:p>
    <w:p>
      <w:pPr>
        <w:spacing w:after="0" w:line="1" w:lineRule="exact"/>
        <w:rPr>
          <w:rFonts w:ascii="Times New Roman" w:cs="Times New Roman" w:eastAsia="Times New Roman" w:hAnsi="Times New Roman"/>
          <w:sz w:val="18"/>
          <w:szCs w:val="18"/>
          <w:color w:val="auto"/>
        </w:rPr>
      </w:pPr>
    </w:p>
    <w:p>
      <w:pPr>
        <w:ind w:left="4" w:hanging="4"/>
        <w:spacing w:after="0" w:line="251" w:lineRule="auto"/>
        <w:tabs>
          <w:tab w:leader="none" w:pos="26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Written Testing-the-Waters Communication, any road 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subsection (b) below.</w:t>
      </w:r>
    </w:p>
    <w:p>
      <w:pPr>
        <w:spacing w:after="0" w:line="191" w:lineRule="exact"/>
        <w:rPr>
          <w:rFonts w:ascii="Times New Roman" w:cs="Times New Roman" w:eastAsia="Times New Roman" w:hAnsi="Times New Roman"/>
          <w:sz w:val="18"/>
          <w:szCs w:val="18"/>
          <w:color w:val="auto"/>
        </w:rPr>
      </w:pPr>
    </w:p>
    <w:p>
      <w:pPr>
        <w:ind w:left="4" w:right="60" w:firstLine="436"/>
        <w:spacing w:after="0" w:line="261" w:lineRule="auto"/>
        <w:tabs>
          <w:tab w:leader="none" w:pos="69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the Company. </w:t>
      </w:r>
      <w:r>
        <w:rPr>
          <w:rFonts w:ascii="Times New Roman" w:cs="Times New Roman" w:eastAsia="Times New Roman" w:hAnsi="Times New Roman"/>
          <w:sz w:val="18"/>
          <w:szCs w:val="18"/>
          <w:color w:val="auto"/>
        </w:rPr>
        <w:t>Each Underwriter agrees, severally and not jointly, to indemnify and hold harmless the Company,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its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w:t>
      </w:r>
    </w:p>
    <w:p>
      <w:pPr>
        <w:sectPr>
          <w:pgSz w:w="11900" w:h="16838" w:orient="portrait"/>
          <w:cols w:equalWidth="0" w:num="1">
            <w:col w:w="10984"/>
          </w:cols>
          <w:pgMar w:left="436" w:top="268" w:right="479" w:bottom="1440" w:gutter="0" w:footer="0" w:header="0"/>
        </w:sectPr>
      </w:pPr>
    </w:p>
    <w:bookmarkStart w:id="32" w:name="page33"/>
    <w:bookmarkEnd w:id="32"/>
    <w:p>
      <w:pPr>
        <w:ind w:left="4"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Preliminary Prospectus, any Issuer Free Writing Prospectus, any Written Testing-the-Waters Communication, any road show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the concession and reallowance figures appearing in the fifth paragraph and the information relating to stabilizing transactions and passive market making contained in the tenth and eleventh paragraphs under the caption “Underwriting.”</w:t>
      </w:r>
    </w:p>
    <w:p>
      <w:pPr>
        <w:spacing w:after="0" w:line="190" w:lineRule="exact"/>
        <w:rPr>
          <w:sz w:val="20"/>
          <w:szCs w:val="20"/>
          <w:color w:val="auto"/>
        </w:rPr>
      </w:pPr>
    </w:p>
    <w:p>
      <w:pPr>
        <w:ind w:left="4" w:firstLine="436"/>
        <w:spacing w:after="0" w:line="267" w:lineRule="auto"/>
        <w:tabs>
          <w:tab w:leader="none" w:pos="689"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Notice and Procedures. </w:t>
      </w:r>
      <w:r>
        <w:rPr>
          <w:rFonts w:ascii="Times New Roman" w:cs="Times New Roman" w:eastAsia="Times New Roman" w:hAnsi="Times New Roman"/>
          <w:sz w:val="17"/>
          <w:szCs w:val="17"/>
          <w:color w:val="auto"/>
        </w:rPr>
        <w:t>If any suit, action, proceeding (including any governmental or regulatory investigation), claim or demand shall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brought or asserted against any person in respect of which indemnification may be sought pursuant to the preceding paragraphs of this Section 7, such person (the “Indemnified Person”) shall promptly notify the person against whom such indemnification may be sought (the “Indemnifying Person”) in writing;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failure to notify the Indemnifying Person shall not relieve it from any liability that it may have under the preceding paragraphs of this Section 7 except to the extent that it has been materially prejudiced (through the forfeiture of substantive rights or defenses) by such failure; and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the failure to notify the Indemnifying Person shall not relieve it from any liability that it may have to an Indemnified Person otherwise than under the preceding paragraphs of this Section 7.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that the Indemnifying Person may designate in such proceeding and shall pay the documented fees and expenses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w:t>
      </w:r>
    </w:p>
    <w:p>
      <w:pPr>
        <w:spacing w:after="0" w:line="1" w:lineRule="exact"/>
        <w:rPr>
          <w:rFonts w:ascii="Times New Roman" w:cs="Times New Roman" w:eastAsia="Times New Roman" w:hAnsi="Times New Roman"/>
          <w:sz w:val="17"/>
          <w:szCs w:val="17"/>
          <w:color w:val="auto"/>
        </w:rPr>
      </w:pPr>
    </w:p>
    <w:p>
      <w:pPr>
        <w:ind w:left="4" w:hanging="4"/>
        <w:spacing w:after="0" w:line="251" w:lineRule="auto"/>
        <w:tabs>
          <w:tab w:leader="none" w:pos="26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fees and expenses shall be paid or reimbursed as they are incurred. Any such separate firm for any Underwriter, its affiliates, directors and officers and any control persons of such Underwriter shall be designated in writing by Jefferies LLC and any such separate firm for the Company, its directors, its officers</w:t>
      </w:r>
    </w:p>
    <w:p>
      <w:pPr>
        <w:sectPr>
          <w:pgSz w:w="11900" w:h="16838" w:orient="portrait"/>
          <w:cols w:equalWidth="0" w:num="1">
            <w:col w:w="10984"/>
          </w:cols>
          <w:pgMar w:left="436" w:top="270" w:right="479" w:bottom="1440" w:gutter="0" w:footer="0" w:header="0"/>
        </w:sectPr>
      </w:pPr>
    </w:p>
    <w:bookmarkStart w:id="33" w:name="page34"/>
    <w:bookmarkEnd w:id="3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who signed the Registration Statement and any control persons of the Company shall be designated in writing by the Company. The Indemnifying Person shall not be liable for any settlement of any proceeding effected without its written consent, but if settled with such consent, the Indemnifying Person agrees to indemnify each Indemnified Person from and against any loss or liability by reason of such settlement.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188" w:lineRule="exact"/>
        <w:rPr>
          <w:sz w:val="20"/>
          <w:szCs w:val="20"/>
          <w:color w:val="auto"/>
        </w:rPr>
      </w:pPr>
    </w:p>
    <w:p>
      <w:pPr>
        <w:ind w:right="80" w:firstLine="436"/>
        <w:spacing w:after="0" w:line="253" w:lineRule="auto"/>
        <w:tabs>
          <w:tab w:leader="none" w:pos="6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Contribution. </w:t>
      </w:r>
      <w:r>
        <w:rPr>
          <w:rFonts w:ascii="Times New Roman" w:cs="Times New Roman" w:eastAsia="Times New Roman" w:hAnsi="Times New Roman"/>
          <w:sz w:val="18"/>
          <w:szCs w:val="18"/>
          <w:color w:val="auto"/>
        </w:rPr>
        <w:t>If the indemnification provided for in paragraphs (a) or (b) above is unavailable to an Indemnified Person or insufficient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Shares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Shares and the total underwriting discounts and commissions received by the Underwriters in connection therewith, in each case as set forth in the table on the cover of the Prospectus, bear to the aggregate offering price of the Shares.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ectPr>
          <w:pgSz w:w="11900" w:h="16838" w:orient="portrait"/>
          <w:cols w:equalWidth="0" w:num="1">
            <w:col w:w="11000"/>
          </w:cols>
          <w:pgMar w:left="440" w:top="270" w:right="459" w:bottom="1440" w:gutter="0" w:footer="0" w:header="0"/>
        </w:sectPr>
      </w:pPr>
    </w:p>
    <w:bookmarkStart w:id="34" w:name="page35"/>
    <w:bookmarkEnd w:id="34"/>
    <w:p>
      <w:pPr>
        <w:ind w:left="684" w:hanging="244"/>
        <w:spacing w:after="0"/>
        <w:tabs>
          <w:tab w:leader="none" w:pos="68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Limitation on Liability. </w:t>
      </w:r>
      <w:r>
        <w:rPr>
          <w:rFonts w:ascii="Times New Roman" w:cs="Times New Roman" w:eastAsia="Times New Roman" w:hAnsi="Times New Roman"/>
          <w:sz w:val="18"/>
          <w:szCs w:val="18"/>
          <w:color w:val="auto"/>
        </w:rPr>
        <w:t>The Company and the Underwriters agree that it would not be just and equitable if contribution pursuant to paragraph</w:t>
      </w:r>
    </w:p>
    <w:p>
      <w:pPr>
        <w:spacing w:after="0" w:line="29" w:lineRule="exact"/>
        <w:rPr>
          <w:rFonts w:ascii="Times New Roman" w:cs="Times New Roman" w:eastAsia="Times New Roman" w:hAnsi="Times New Roman"/>
          <w:sz w:val="18"/>
          <w:szCs w:val="18"/>
          <w:color w:val="auto"/>
        </w:rPr>
      </w:pPr>
    </w:p>
    <w:p>
      <w:pPr>
        <w:ind w:left="4" w:right="100" w:hanging="4"/>
        <w:spacing w:after="0" w:line="251" w:lineRule="auto"/>
        <w:tabs>
          <w:tab w:leader="none" w:pos="25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above were determined by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reasonable and documented legal or other expenses incurred by such Indemnified Person in connection with any such action or claim. Notwithstanding the provisions of paragraphs (d) and (e),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(d) and (e) are several in proportion to their respective purchase obligations hereunder and not joint.</w:t>
      </w:r>
    </w:p>
    <w:p>
      <w:pPr>
        <w:spacing w:after="0" w:line="190" w:lineRule="exact"/>
        <w:rPr>
          <w:rFonts w:ascii="Times New Roman" w:cs="Times New Roman" w:eastAsia="Times New Roman" w:hAnsi="Times New Roman"/>
          <w:sz w:val="18"/>
          <w:szCs w:val="18"/>
          <w:color w:val="auto"/>
        </w:rPr>
      </w:pPr>
    </w:p>
    <w:p>
      <w:pPr>
        <w:ind w:left="4" w:right="40" w:firstLine="436"/>
        <w:spacing w:after="0" w:line="284" w:lineRule="auto"/>
        <w:tabs>
          <w:tab w:leader="none" w:pos="66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Non-Exclusive Remedies. </w:t>
      </w:r>
      <w:r>
        <w:rPr>
          <w:rFonts w:ascii="Times New Roman" w:cs="Times New Roman" w:eastAsia="Times New Roman" w:hAnsi="Times New Roman"/>
          <w:sz w:val="18"/>
          <w:szCs w:val="18"/>
          <w:color w:val="auto"/>
        </w:rPr>
        <w:t>The remedies provided for in this Section 7 paragraphs (a) through (e) are not exclusive and shall not limit any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remedies which may otherwise be available to any Indemnified Person at law or in equity.</w:t>
      </w:r>
    </w:p>
    <w:p>
      <w:pPr>
        <w:spacing w:after="0" w:line="160" w:lineRule="exact"/>
        <w:rPr>
          <w:sz w:val="20"/>
          <w:szCs w:val="20"/>
          <w:color w:val="auto"/>
        </w:rPr>
      </w:pPr>
    </w:p>
    <w:p>
      <w:pPr>
        <w:ind w:left="624" w:hanging="184"/>
        <w:spacing w:after="0"/>
        <w:tabs>
          <w:tab w:leader="none" w:pos="62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of Agreement</w:t>
      </w:r>
      <w:r>
        <w:rPr>
          <w:rFonts w:ascii="Times New Roman" w:cs="Times New Roman" w:eastAsia="Times New Roman" w:hAnsi="Times New Roman"/>
          <w:sz w:val="18"/>
          <w:szCs w:val="18"/>
          <w:color w:val="auto"/>
        </w:rPr>
        <w:t>. This Agreement shall become effective as of the date first written above.</w:t>
      </w:r>
    </w:p>
    <w:p>
      <w:pPr>
        <w:spacing w:after="0" w:line="225" w:lineRule="exact"/>
        <w:rPr>
          <w:rFonts w:ascii="Times New Roman" w:cs="Times New Roman" w:eastAsia="Times New Roman" w:hAnsi="Times New Roman"/>
          <w:sz w:val="18"/>
          <w:szCs w:val="18"/>
          <w:color w:val="auto"/>
        </w:rPr>
      </w:pPr>
    </w:p>
    <w:p>
      <w:pPr>
        <w:ind w:left="4" w:right="160" w:firstLine="436"/>
        <w:spacing w:after="0" w:line="276" w:lineRule="auto"/>
        <w:tabs>
          <w:tab w:leader="none" w:pos="624"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This Agreement may be terminated in the absolute discretion of the Representatives, by notice to the Company, if after the execution and delivery of this Agreement and on or prior to the Closing Date or, in the case of the Option Shares, prior to the Additional Closing Date,</w:t>
      </w:r>
    </w:p>
    <w:p>
      <w:pPr>
        <w:ind w:left="4" w:hanging="4"/>
        <w:spacing w:after="0" w:line="252" w:lineRule="auto"/>
        <w:tabs>
          <w:tab w:leader="none" w:pos="21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generally shall have been suspended on or by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188"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Underwriter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56" w:lineRule="auto"/>
        <w:tabs>
          <w:tab w:leader="none" w:pos="68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Closing Date or the Additional Closing Date, as the case may be, any Underwriter defaults on its obligation to purchase the Shares that it has agreed to purchase hereunder on such date, the non-defaulting Underwriters may in their discretion arrange for the purchase of such Shares by other persons satisfactory to the Company on the terms contained in this Agreement. If, within 36 hours after any such default by any Underwriter, the non-defaulting Underwriters do not arrange for the purchase of such Shares, then the Company shall be entitled to a further period of 36 hours within which to procure other persons satisfactory to the non-defaulting Underwriters to purchase such Shares on such terms. If other persons become obligated or agree to purchase the Shares of a defaulting Underwriter, either the non-defaulting</w:t>
      </w:r>
    </w:p>
    <w:p>
      <w:pPr>
        <w:sectPr>
          <w:pgSz w:w="11900" w:h="16838" w:orient="portrait"/>
          <w:cols w:equalWidth="0" w:num="1">
            <w:col w:w="11004"/>
          </w:cols>
          <w:pgMar w:left="436" w:top="268" w:right="459" w:bottom="1440" w:gutter="0" w:footer="0" w:header="0"/>
        </w:sectPr>
      </w:pPr>
    </w:p>
    <w:bookmarkStart w:id="35" w:name="page36"/>
    <w:bookmarkEnd w:id="35"/>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Underwriters or the Company may postpone the Closing Date or the Additional Closing Date, as the case may be, for up to five full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10, purchases Shares that a defaulting Underwriter agreed but failed to purchase.</w:t>
      </w:r>
    </w:p>
    <w:p>
      <w:pPr>
        <w:spacing w:after="0" w:line="187" w:lineRule="exact"/>
        <w:rPr>
          <w:sz w:val="20"/>
          <w:szCs w:val="20"/>
          <w:color w:val="auto"/>
        </w:rPr>
      </w:pPr>
    </w:p>
    <w:p>
      <w:pPr>
        <w:ind w:firstLine="436"/>
        <w:spacing w:after="0" w:line="256" w:lineRule="auto"/>
        <w:tabs>
          <w:tab w:leader="none" w:pos="69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Shares of a defaulting Underwriter or Underwriters by the non-defaulting Underwriters and the Company as provided in paragraph (a) above, the aggregate number of Shares that remain unpurchased on the Closing Date or the Additional Closing Date, as the case may be, does not exceed one-eleventh of the aggregate number of Shares to be purchased on such date, then the Company shall have the right to require each non-defaulting Underwriter to purchase the number of Shares that such Underwriter agreed to purchase hereunder on such date plus such Underwriter’s pro rata share (based on the number of Shares that such Underwriter agreed to purchase on such date) of the Shares of such defaulting Underwriter or Underwriters for which such arrangements have not been made.</w:t>
      </w:r>
    </w:p>
    <w:p>
      <w:pPr>
        <w:spacing w:after="0" w:line="187" w:lineRule="exact"/>
        <w:rPr>
          <w:rFonts w:ascii="Times New Roman" w:cs="Times New Roman" w:eastAsia="Times New Roman" w:hAnsi="Times New Roman"/>
          <w:sz w:val="18"/>
          <w:szCs w:val="18"/>
          <w:color w:val="auto"/>
        </w:rPr>
      </w:pPr>
    </w:p>
    <w:p>
      <w:pPr>
        <w:ind w:right="60" w:firstLine="436"/>
        <w:spacing w:after="0" w:line="254" w:lineRule="auto"/>
        <w:tabs>
          <w:tab w:leader="none" w:pos="68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Shares of a defaulting Underwriter or Underwriters by the non-defaulting Underwriters and the Company as provided in paragraph (a) above, the aggregate number of Shares that remain unpurchased on the Closing Date or the Additional Closing Date, as the case may be, exceeds one-eleventh of the aggregate amount of Shares to be purchased on such date, or if the Company shall not exercise the right described in paragraph (b) above, then this Agreement or, with respect to any Additional Closing Date, the obligation of the Underwriters to purchase Shares on the Additional Closing Date, as the case may be, shall terminate without liability on the part of the non-defaulting Underwriters. Any termination of this Agreement pursuant to this Section 10 shall be without liability on the part of the Company, except that the Company will continue to be liable for the payment of expenses as set forth in Section 11 hereof and except that the provisions of Section 7 hereof shall not terminate and shall remain in effect.</w:t>
      </w:r>
    </w:p>
    <w:p>
      <w:pPr>
        <w:spacing w:after="0" w:line="191" w:lineRule="exact"/>
        <w:rPr>
          <w:rFonts w:ascii="Times New Roman" w:cs="Times New Roman" w:eastAsia="Times New Roman" w:hAnsi="Times New Roman"/>
          <w:sz w:val="18"/>
          <w:szCs w:val="18"/>
          <w:color w:val="auto"/>
        </w:rPr>
      </w:pPr>
    </w:p>
    <w:p>
      <w:pPr>
        <w:ind w:firstLine="436"/>
        <w:spacing w:after="0" w:line="282" w:lineRule="auto"/>
        <w:tabs>
          <w:tab w:leader="none" w:pos="69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herein shall relieve a defaulting Underwriter of any liability it may have to the Company or any non-defaulting Underwriter for damages caused by its default.</w:t>
      </w:r>
    </w:p>
    <w:p>
      <w:pPr>
        <w:spacing w:after="0" w:line="160" w:lineRule="exact"/>
        <w:rPr>
          <w:sz w:val="20"/>
          <w:szCs w:val="20"/>
          <w:color w:val="auto"/>
        </w:rPr>
      </w:pPr>
    </w:p>
    <w:p>
      <w:pPr>
        <w:ind w:left="700" w:hanging="264"/>
        <w:spacing w:after="0"/>
        <w:tabs>
          <w:tab w:leader="none" w:pos="7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right="40" w:firstLine="436"/>
        <w:spacing w:after="0" w:line="277" w:lineRule="auto"/>
        <w:tabs>
          <w:tab w:leader="none" w:pos="685"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Shares and any taxes payable in that connection; (ii) the costs incident to the preparation, printing and filing under the Securities Act of the Registration Statement, the Preliminary Prospectus, any Issuer Free Writing Prospectus, any Pricing Disclosure Package and the Prospectus (including all exhibits, amendments and supplements thereto) and the distribution thereof; (iii) the fees and</w:t>
      </w:r>
    </w:p>
    <w:p>
      <w:pPr>
        <w:sectPr>
          <w:pgSz w:w="11900" w:h="16838" w:orient="portrait"/>
          <w:cols w:equalWidth="0" w:num="1">
            <w:col w:w="10980"/>
          </w:cols>
          <w:pgMar w:left="440" w:top="270" w:right="479" w:bottom="1440" w:gutter="0" w:footer="0" w:header="0"/>
        </w:sectPr>
      </w:pPr>
    </w:p>
    <w:bookmarkStart w:id="36" w:name="page37"/>
    <w:bookmarkEnd w:id="36"/>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expenses of the Company’s counsel and independent accountants; (iv) the fees and expenses incurred in connection with the registration or qualification and determination of eligibility for investment of the Shares under the state or foreign securities or blue sky laws of such jurisdictions as the Representatives may designate and the preparation, printing and distribution of a Blue Sky Memorandum (including the related reasonable fees and expenses of counsel for the Underwriters) provided that the amount payable by the Company pursuant to this clause (iv) shall not exceed $10,000; (v) the cost of preparing stock certificates; (vi) the costs and charges of any transfer agent and any registrar; (vii) all expenses and application fees incurred in connection with any filing with, and clearance of the offering by, FINRA, provided that the related fees and expenses of counsel for the Underwriters pursuant to this clause (vii) shall not exceed $25,000; (viii) all expenses incurred by the Company in connection with any “road show” presentation to potential investors, provided, however, that the Underwriters will pay all of the travel, lodging and other expenses of the Underwriters or any of their employees incurred by them in connection with the “road show;” and (ix) all expenses and application fees related to the listing of the Shares on the Exchange. Notwithstanding the foregoing, it is understood and agreed that except as expressly provided in Section 7 or Section 11 of this Agreement, the Underwriters will pay all of their own costs and expenses described in this Agreement, including without limitation, fees and disbursements of their counsel.</w:t>
      </w:r>
    </w:p>
    <w:p>
      <w:pPr>
        <w:spacing w:after="0" w:line="190" w:lineRule="exact"/>
        <w:rPr>
          <w:sz w:val="20"/>
          <w:szCs w:val="20"/>
          <w:color w:val="auto"/>
        </w:rPr>
      </w:pPr>
    </w:p>
    <w:p>
      <w:pPr>
        <w:ind w:firstLine="436"/>
        <w:spacing w:after="0" w:line="256" w:lineRule="auto"/>
        <w:tabs>
          <w:tab w:leader="none" w:pos="6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this Agreement is terminated pursuant to Section 9, (ii) the Company for any reason fails to tender the Shares for delivery to the Underwriters (other than by reason of a default by any Underwriter) or (iii) the Underwriters decline to purchase the Shares for any reason permitted under this Agreement, the Company agrees to reimburse the Underwriters for all out-of-pocket costs and expenses (including the fees and expenses of their counsel) reasonably incurred by the Underwriters in connection with this Agreement and the offering contemplated hereby. For avoidance of doubt, it is understood that the Company shall not pay or reimburse any costs, fees or expenses incurred by an Underwriter that defaults on its obligations to purchase the Shares.</w:t>
      </w:r>
    </w:p>
    <w:p>
      <w:pPr>
        <w:spacing w:after="0" w:line="187" w:lineRule="exact"/>
        <w:rPr>
          <w:sz w:val="20"/>
          <w:szCs w:val="20"/>
          <w:color w:val="auto"/>
        </w:rPr>
      </w:pPr>
    </w:p>
    <w:p>
      <w:pPr>
        <w:ind w:firstLine="436"/>
        <w:spacing w:after="0" w:line="258" w:lineRule="auto"/>
        <w:tabs>
          <w:tab w:leader="none" w:pos="71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Entitled to Benefit of Agreement</w:t>
      </w:r>
      <w:r>
        <w:rPr>
          <w:rFonts w:ascii="Times New Roman" w:cs="Times New Roman" w:eastAsia="Times New Roman" w:hAnsi="Times New Roman"/>
          <w:sz w:val="18"/>
          <w:szCs w:val="18"/>
          <w:color w:val="auto"/>
        </w:rPr>
        <w:t>. This Agreement shall inure to the benefit of and be binding upon the parties hereto and their respective successors and the officers and directors and any controlling persons referred to herein, and the affiliates of each Underwriter referred to in Section 7 hereof.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w:t>
      </w:r>
    </w:p>
    <w:p>
      <w:pPr>
        <w:spacing w:after="0" w:line="183" w:lineRule="exact"/>
        <w:rPr>
          <w:rFonts w:ascii="Times New Roman" w:cs="Times New Roman" w:eastAsia="Times New Roman" w:hAnsi="Times New Roman"/>
          <w:sz w:val="18"/>
          <w:szCs w:val="18"/>
          <w:color w:val="auto"/>
        </w:rPr>
      </w:pPr>
    </w:p>
    <w:p>
      <w:pPr>
        <w:ind w:right="80" w:firstLine="436"/>
        <w:spacing w:after="0" w:line="261" w:lineRule="auto"/>
        <w:tabs>
          <w:tab w:leader="none" w:pos="71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Shares and shall remain in full force and effect, regardless of any termination of this Agreement or any investigation made by or on behalf of the Company or the Underwriters.</w:t>
      </w:r>
    </w:p>
    <w:p>
      <w:pPr>
        <w:spacing w:after="0" w:line="179" w:lineRule="exact"/>
        <w:rPr>
          <w:rFonts w:ascii="Times New Roman" w:cs="Times New Roman" w:eastAsia="Times New Roman" w:hAnsi="Times New Roman"/>
          <w:sz w:val="18"/>
          <w:szCs w:val="18"/>
          <w:color w:val="auto"/>
        </w:rPr>
      </w:pPr>
    </w:p>
    <w:p>
      <w:pPr>
        <w:jc w:val="both"/>
        <w:ind w:right="180" w:firstLine="436"/>
        <w:spacing w:after="0" w:line="266" w:lineRule="auto"/>
        <w:tabs>
          <w:tab w:leader="none" w:pos="71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w:t>
      </w:r>
    </w:p>
    <w:p>
      <w:pPr>
        <w:sectPr>
          <w:pgSz w:w="11900" w:h="16838" w:orient="portrait"/>
          <w:cols w:equalWidth="0" w:num="1">
            <w:col w:w="11000"/>
          </w:cols>
          <w:pgMar w:left="440" w:top="270" w:right="459" w:bottom="1440" w:gutter="0" w:footer="0" w:header="0"/>
        </w:sectPr>
      </w:pPr>
    </w:p>
    <w:bookmarkStart w:id="37" w:name="page38"/>
    <w:bookmarkEnd w:id="37"/>
    <w:p>
      <w:pPr>
        <w:ind w:firstLine="436"/>
        <w:spacing w:after="0" w:line="261" w:lineRule="auto"/>
        <w:tabs>
          <w:tab w:leader="none" w:pos="71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Compliance with USA Patriot Act</w:t>
      </w:r>
      <w:r>
        <w:rPr>
          <w:rFonts w:ascii="Times New Roman" w:cs="Times New Roman" w:eastAsia="Times New Roman" w:hAnsi="Times New Roman"/>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80" w:hanging="244"/>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Notices. </w:t>
      </w:r>
      <w:r>
        <w:rPr>
          <w:rFonts w:ascii="Times New Roman" w:cs="Times New Roman" w:eastAsia="Times New Roman" w:hAnsi="Times New Roman"/>
          <w:sz w:val="18"/>
          <w:szCs w:val="18"/>
          <w:color w:val="auto"/>
        </w:rPr>
        <w:t>All notices and other communications hereunder shall be in writing and shall be deemed to have been duly given if mailed or</w:t>
      </w:r>
    </w:p>
    <w:p>
      <w:pPr>
        <w:spacing w:after="0" w:line="29" w:lineRule="exact"/>
        <w:rPr>
          <w:rFonts w:ascii="Times New Roman" w:cs="Times New Roman" w:eastAsia="Times New Roman" w:hAnsi="Times New Roman"/>
          <w:sz w:val="18"/>
          <w:szCs w:val="18"/>
          <w:color w:val="auto"/>
        </w:rPr>
      </w:pPr>
    </w:p>
    <w:p>
      <w:pPr>
        <w:ind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transmitted and confirmed by any standard form of telecommunication. Notices to the Underwriters shall be given to the Representatives; Jefferies LLC, 520 Madison Avenue, New York, New York 10022, Attention: General Counsel; c/o TD Securities (USA) LLC, 1 Vanderbilt Avenue, New York, New York 10017, Attention: Head of Equity Capital Markets, with a copy to the General Counsel, with a copy to William Michener, Ropes &amp; Gray LLP, Prudential Tower, 800 Boylston Street, Boston, Massachusetts 02199. Notices to the Company shall be given to it at Relay Therapeutics, Inc., 60 Hampshire Street, Cambridge, Massachusetts 02139; Attention General Counsel, with a copy to William D. Collins and Gabriela Morales-Rivera, Goodwin Procter LLP, 100 Northern Avenue, Boston, Massachusetts 02210 (fax: (617) 321-4422).</w:t>
      </w:r>
    </w:p>
    <w:p>
      <w:pPr>
        <w:spacing w:after="0" w:line="187" w:lineRule="exact"/>
        <w:rPr>
          <w:rFonts w:ascii="Times New Roman" w:cs="Times New Roman" w:eastAsia="Times New Roman" w:hAnsi="Times New Roman"/>
          <w:sz w:val="18"/>
          <w:szCs w:val="18"/>
          <w:color w:val="auto"/>
        </w:rPr>
      </w:pPr>
    </w:p>
    <w:p>
      <w:pPr>
        <w:ind w:right="300" w:firstLine="436"/>
        <w:spacing w:after="0" w:line="284" w:lineRule="auto"/>
        <w:tabs>
          <w:tab w:leader="none" w:pos="69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This Agreement and any claim, controversy or dispute arising under or related to this Agreement shall be governed by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construed in accordance with the laws of the State of New York.</w:t>
      </w:r>
    </w:p>
    <w:p>
      <w:pPr>
        <w:spacing w:after="0" w:line="158" w:lineRule="exact"/>
        <w:rPr>
          <w:rFonts w:ascii="Times New Roman" w:cs="Times New Roman" w:eastAsia="Times New Roman" w:hAnsi="Times New Roman"/>
          <w:sz w:val="18"/>
          <w:szCs w:val="18"/>
          <w:color w:val="auto"/>
        </w:rPr>
      </w:pPr>
    </w:p>
    <w:p>
      <w:pPr>
        <w:ind w:right="280" w:firstLine="436"/>
        <w:spacing w:after="0" w:line="284" w:lineRule="auto"/>
        <w:tabs>
          <w:tab w:leader="none" w:pos="68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Waiver of Jury Trial. </w:t>
      </w:r>
      <w:r>
        <w:rPr>
          <w:rFonts w:ascii="Times New Roman" w:cs="Times New Roman" w:eastAsia="Times New Roman" w:hAnsi="Times New Roman"/>
          <w:sz w:val="18"/>
          <w:szCs w:val="18"/>
          <w:color w:val="auto"/>
        </w:rPr>
        <w:t>Each of the parties hereto hereby waives any right to trial by jury in any suit or proceeding arising out of or relating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w:t>
      </w:r>
    </w:p>
    <w:p>
      <w:pPr>
        <w:spacing w:after="0" w:line="158"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Recognition of the U.S. Special Resolution Regimes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440" w:right="80" w:firstLine="419"/>
        <w:spacing w:after="0" w:line="261" w:lineRule="auto"/>
        <w:tabs>
          <w:tab w:leader="none" w:pos="107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1" w:lineRule="exact"/>
        <w:rPr>
          <w:rFonts w:ascii="Times New Roman" w:cs="Times New Roman" w:eastAsia="Times New Roman" w:hAnsi="Times New Roman"/>
          <w:sz w:val="18"/>
          <w:szCs w:val="18"/>
          <w:color w:val="auto"/>
        </w:rPr>
      </w:pPr>
    </w:p>
    <w:p>
      <w:pPr>
        <w:ind w:left="440" w:right="60" w:firstLine="419"/>
        <w:spacing w:after="0" w:line="261" w:lineRule="auto"/>
        <w:tabs>
          <w:tab w:leader="none" w:pos="112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ectPr>
          <w:pgSz w:w="11900" w:h="16838" w:orient="portrait"/>
          <w:cols w:equalWidth="0" w:num="1">
            <w:col w:w="11000"/>
          </w:cols>
          <w:pgMar w:left="440" w:top="270" w:right="459" w:bottom="1440" w:gutter="0" w:footer="0" w:header="0"/>
        </w:sectPr>
      </w:pPr>
    </w:p>
    <w:bookmarkStart w:id="38" w:name="page39"/>
    <w:bookmarkEnd w:id="38"/>
    <w:p>
      <w:pPr>
        <w:ind w:left="5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used in this Section 16(d):</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“BHC Act Affiliate” has the meaning assigned to the term “affiliate” in, and shall be interpreted in accordance with, 12 U.S.C. § 1841(k).</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“Covered Entity” means any of the following:</w:t>
      </w:r>
    </w:p>
    <w:p>
      <w:pPr>
        <w:spacing w:after="0" w:line="117" w:lineRule="exact"/>
        <w:rPr>
          <w:sz w:val="20"/>
          <w:szCs w:val="20"/>
          <w:color w:val="auto"/>
        </w:rPr>
      </w:pPr>
    </w:p>
    <w:p>
      <w:pPr>
        <w:ind w:left="1204" w:hanging="212"/>
        <w:spacing w:after="0"/>
        <w:tabs>
          <w:tab w:leader="none" w:pos="120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117" w:lineRule="exact"/>
        <w:rPr>
          <w:rFonts w:ascii="Times New Roman" w:cs="Times New Roman" w:eastAsia="Times New Roman" w:hAnsi="Times New Roman"/>
          <w:sz w:val="18"/>
          <w:szCs w:val="18"/>
          <w:color w:val="auto"/>
        </w:rPr>
      </w:pPr>
    </w:p>
    <w:p>
      <w:pPr>
        <w:ind w:left="1264" w:hanging="272"/>
        <w:spacing w:after="0"/>
        <w:tabs>
          <w:tab w:leader="none" w:pos="126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117" w:lineRule="exact"/>
        <w:rPr>
          <w:rFonts w:ascii="Times New Roman" w:cs="Times New Roman" w:eastAsia="Times New Roman" w:hAnsi="Times New Roman"/>
          <w:sz w:val="18"/>
          <w:szCs w:val="18"/>
          <w:color w:val="auto"/>
        </w:rPr>
      </w:pPr>
    </w:p>
    <w:p>
      <w:pPr>
        <w:ind w:left="1304" w:hanging="312"/>
        <w:spacing w:after="0"/>
        <w:tabs>
          <w:tab w:leader="none" w:pos="130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117" w:lineRule="exact"/>
        <w:rPr>
          <w:sz w:val="20"/>
          <w:szCs w:val="20"/>
          <w:color w:val="auto"/>
        </w:rPr>
      </w:pPr>
    </w:p>
    <w:p>
      <w:pPr>
        <w:ind w:left="544" w:right="120"/>
        <w:spacing w:after="0" w:line="282" w:lineRule="auto"/>
        <w:rPr>
          <w:sz w:val="20"/>
          <w:szCs w:val="20"/>
          <w:color w:val="auto"/>
        </w:rPr>
      </w:pPr>
      <w:r>
        <w:rPr>
          <w:rFonts w:ascii="Times New Roman" w:cs="Times New Roman" w:eastAsia="Times New Roman" w:hAnsi="Times New Roman"/>
          <w:sz w:val="18"/>
          <w:szCs w:val="18"/>
          <w:color w:val="auto"/>
        </w:rPr>
        <w:t>“Default Right” has the meaning assigned to that term in, and shall be interpreted in accordance with, 12 C.F.R. §§ 252.81, 47.2 or 382.1, as applicable.</w:t>
      </w:r>
    </w:p>
    <w:p>
      <w:pPr>
        <w:spacing w:after="0" w:line="5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“U.S. Special Resolution Regime” means each of (i) the Federal Deposit Insurance Act and the regulations promulgated thereunder and</w:t>
      </w:r>
    </w:p>
    <w:p>
      <w:pPr>
        <w:spacing w:after="0" w:line="27" w:lineRule="exact"/>
        <w:rPr>
          <w:sz w:val="20"/>
          <w:szCs w:val="20"/>
          <w:color w:val="auto"/>
        </w:rPr>
      </w:pPr>
    </w:p>
    <w:p>
      <w:pPr>
        <w:ind w:left="804" w:hanging="253"/>
        <w:spacing w:after="0"/>
        <w:tabs>
          <w:tab w:leader="none" w:pos="80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II of the Dodd-Frank Wall Street Reform and Consumer Protection Act and the regulations promulgated thereunder.</w:t>
      </w:r>
    </w:p>
    <w:p>
      <w:pPr>
        <w:spacing w:after="0" w:line="204" w:lineRule="exact"/>
        <w:rPr>
          <w:rFonts w:ascii="Times New Roman" w:cs="Times New Roman" w:eastAsia="Times New Roman" w:hAnsi="Times New Roman"/>
          <w:sz w:val="18"/>
          <w:szCs w:val="18"/>
          <w:color w:val="auto"/>
        </w:rPr>
      </w:pPr>
    </w:p>
    <w:p>
      <w:pPr>
        <w:ind w:left="-436" w:right="160" w:firstLine="436"/>
        <w:spacing w:after="0" w:line="257" w:lineRule="auto"/>
        <w:tabs>
          <w:tab w:leader="none" w:pos="24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This Agreement may be signed in counterparts (which may include counterparts delivered by any standard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telecommunication), each of which shall be an original and all of which together shall constitute one and the same instrument.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82" w:lineRule="exact"/>
        <w:rPr>
          <w:rFonts w:ascii="Times New Roman" w:cs="Times New Roman" w:eastAsia="Times New Roman" w:hAnsi="Times New Roman"/>
          <w:sz w:val="18"/>
          <w:szCs w:val="18"/>
          <w:color w:val="auto"/>
        </w:rPr>
      </w:pPr>
    </w:p>
    <w:p>
      <w:pPr>
        <w:ind w:left="-436" w:firstLine="436"/>
        <w:spacing w:after="0" w:line="284" w:lineRule="auto"/>
        <w:tabs>
          <w:tab w:leader="none" w:pos="22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or Waivers. </w:t>
      </w:r>
      <w:r>
        <w:rPr>
          <w:rFonts w:ascii="Times New Roman" w:cs="Times New Roman" w:eastAsia="Times New Roman" w:hAnsi="Times New Roman"/>
          <w:sz w:val="18"/>
          <w:szCs w:val="18"/>
          <w:color w:val="auto"/>
        </w:rPr>
        <w:t>No amendment or waiver of any provision of this Agreement, nor any consent or approval to any departure therefrom,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in any event be effective unless the same shall be in writing and signed by the parties hereto.</w:t>
      </w:r>
    </w:p>
    <w:p>
      <w:pPr>
        <w:spacing w:after="0" w:line="158" w:lineRule="exact"/>
        <w:rPr>
          <w:rFonts w:ascii="Times New Roman" w:cs="Times New Roman" w:eastAsia="Times New Roman" w:hAnsi="Times New Roman"/>
          <w:sz w:val="18"/>
          <w:szCs w:val="18"/>
          <w:color w:val="auto"/>
        </w:rPr>
      </w:pPr>
    </w:p>
    <w:p>
      <w:pPr>
        <w:ind w:left="-436" w:right="240" w:firstLine="436"/>
        <w:spacing w:after="0" w:line="284" w:lineRule="auto"/>
        <w:tabs>
          <w:tab w:leader="none" w:pos="25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Headings. </w:t>
      </w:r>
      <w:r>
        <w:rPr>
          <w:rFonts w:ascii="Times New Roman" w:cs="Times New Roman" w:eastAsia="Times New Roman" w:hAnsi="Times New Roman"/>
          <w:sz w:val="18"/>
          <w:szCs w:val="18"/>
          <w:color w:val="auto"/>
        </w:rPr>
        <w:t>The headings herein are included for convenience of reference only and are not intended to be part of, or to affect the meaning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interpretation of, this Agreement.</w:t>
      </w:r>
    </w:p>
    <w:p>
      <w:pPr>
        <w:sectPr>
          <w:pgSz w:w="11900" w:h="16838" w:orient="portrait"/>
          <w:cols w:equalWidth="0" w:num="1">
            <w:col w:w="10564"/>
          </w:cols>
          <w:pgMar w:left="876" w:top="270" w:right="459" w:bottom="1440" w:gutter="0" w:footer="0" w:header="0"/>
        </w:sectPr>
      </w:pPr>
    </w:p>
    <w:bookmarkStart w:id="39" w:name="page40"/>
    <w:bookmarkEnd w:id="39"/>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your understanding, please indicate your acceptance of this Agreement by signing in the space provided below.</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RELAY THERAPEUTICS,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Sanjiv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Sanjiv Patel</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 first written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itself and on behalf of the several Underwriters listed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Gautham Baliga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itself and on behalf of the several Underwriters listed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Mariel Healy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Authorized Signatory</w:t>
      </w:r>
    </w:p>
    <w:p>
      <w:pPr>
        <w:sectPr>
          <w:pgSz w:w="11900" w:h="16838" w:orient="portrait"/>
          <w:cols w:equalWidth="0" w:num="1">
            <w:col w:w="10660"/>
          </w:cols>
          <w:pgMar w:left="440" w:top="270" w:right="7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Underwriter</w:t>
            </w:r>
          </w:p>
        </w:tc>
        <w:tc>
          <w:tcPr>
            <w:tcW w:w="9180" w:type="dxa"/>
            <w:vAlign w:val="bottom"/>
          </w:tcPr>
          <w:p>
            <w:pPr>
              <w:spacing w:after="0"/>
              <w:rPr>
                <w:sz w:val="16"/>
                <w:szCs w:val="16"/>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Number of Shares</w:t>
            </w:r>
          </w:p>
        </w:tc>
      </w:tr>
      <w:tr>
        <w:trPr>
          <w:trHeight w:val="203"/>
        </w:trPr>
        <w:tc>
          <w:tcPr>
            <w:tcW w:w="99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Jefferies LLC</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7,447,917</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5,729,167</w:t>
            </w:r>
          </w:p>
        </w:tc>
        <w:tc>
          <w:tcPr>
            <w:tcW w:w="40" w:type="dxa"/>
            <w:vAlign w:val="bottom"/>
          </w:tcPr>
          <w:p>
            <w:pPr>
              <w:spacing w:after="0"/>
              <w:rPr>
                <w:sz w:val="18"/>
                <w:szCs w:val="18"/>
                <w:color w:val="auto"/>
              </w:rPr>
            </w:pPr>
          </w:p>
        </w:tc>
      </w:tr>
      <w:tr>
        <w:trPr>
          <w:trHeight w:val="216"/>
        </w:trPr>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4,125,000</w:t>
            </w:r>
          </w:p>
        </w:tc>
        <w:tc>
          <w:tcPr>
            <w:tcW w:w="40" w:type="dxa"/>
            <w:vAlign w:val="bottom"/>
            <w:shd w:val="clear" w:color="auto" w:fill="CCEEFF"/>
          </w:tcPr>
          <w:p>
            <w:pPr>
              <w:spacing w:after="0"/>
              <w:rPr>
                <w:sz w:val="18"/>
                <w:szCs w:val="18"/>
                <w:color w:val="auto"/>
              </w:rPr>
            </w:pPr>
          </w:p>
        </w:tc>
      </w:tr>
      <w:tr>
        <w:trPr>
          <w:trHeight w:val="216"/>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Guggenheim Securities, LLC</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4,125,000</w:t>
            </w:r>
          </w:p>
        </w:tc>
        <w:tc>
          <w:tcPr>
            <w:tcW w:w="40" w:type="dxa"/>
            <w:vAlign w:val="bottom"/>
          </w:tcPr>
          <w:p>
            <w:pPr>
              <w:spacing w:after="0"/>
              <w:rPr>
                <w:sz w:val="18"/>
                <w:szCs w:val="18"/>
                <w:color w:val="auto"/>
              </w:rPr>
            </w:pPr>
          </w:p>
        </w:tc>
      </w:tr>
      <w:tr>
        <w:trPr>
          <w:trHeight w:val="216"/>
        </w:trPr>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1,489,583</w:t>
            </w:r>
          </w:p>
        </w:tc>
        <w:tc>
          <w:tcPr>
            <w:tcW w:w="40" w:type="dxa"/>
            <w:vAlign w:val="bottom"/>
            <w:shd w:val="clear" w:color="auto" w:fill="CCEEFF"/>
          </w:tcPr>
          <w:p>
            <w:pPr>
              <w:spacing w:after="0"/>
              <w:rPr>
                <w:sz w:val="18"/>
                <w:szCs w:val="18"/>
                <w:color w:val="auto"/>
              </w:rPr>
            </w:pPr>
          </w:p>
        </w:tc>
      </w:tr>
      <w:tr>
        <w:trPr>
          <w:trHeight w:val="223"/>
        </w:trPr>
        <w:tc>
          <w:tcPr>
            <w:tcW w:w="9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22,916,667</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7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370" w:lineRule="exact"/>
        <w:rPr>
          <w:sz w:val="20"/>
          <w:szCs w:val="20"/>
          <w:color w:val="auto"/>
        </w:rPr>
      </w:pPr>
    </w:p>
    <w:p>
      <w:pPr>
        <w:ind w:left="444" w:right="8560" w:hanging="444"/>
        <w:spacing w:after="0" w:line="412" w:lineRule="auto"/>
        <w:tabs>
          <w:tab w:leader="none" w:pos="43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Free Writing Prospectuses </w:t>
      </w:r>
      <w:r>
        <w:rPr>
          <w:rFonts w:ascii="Times New Roman" w:cs="Times New Roman" w:eastAsia="Times New Roman" w:hAnsi="Times New Roman"/>
          <w:sz w:val="18"/>
          <w:szCs w:val="18"/>
          <w:color w:val="auto"/>
        </w:rPr>
        <w:t>None.</w:t>
      </w:r>
    </w:p>
    <w:p>
      <w:pPr>
        <w:spacing w:after="0" w:line="193" w:lineRule="exact"/>
        <w:rPr>
          <w:rFonts w:ascii="Times New Roman" w:cs="Times New Roman" w:eastAsia="Times New Roman" w:hAnsi="Times New Roman"/>
          <w:sz w:val="18"/>
          <w:szCs w:val="18"/>
          <w:color w:val="auto"/>
        </w:rPr>
      </w:pPr>
    </w:p>
    <w:p>
      <w:pPr>
        <w:ind w:left="444" w:right="6440" w:hanging="444"/>
        <w:spacing w:after="0" w:line="412" w:lineRule="auto"/>
        <w:tabs>
          <w:tab w:leader="none" w:pos="43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Pricing Information Provided Orally by Underwriters </w:t>
      </w:r>
      <w:r>
        <w:rPr>
          <w:rFonts w:ascii="Times New Roman" w:cs="Times New Roman" w:eastAsia="Times New Roman" w:hAnsi="Times New Roman"/>
          <w:sz w:val="18"/>
          <w:szCs w:val="18"/>
          <w:color w:val="auto"/>
        </w:rPr>
        <w:t>Public Offering Price: $12.00 per Share</w:t>
      </w:r>
    </w:p>
    <w:p>
      <w:pPr>
        <w:spacing w:after="0" w:line="49"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Underwritten Shares: 22,916,667</w:t>
      </w:r>
    </w:p>
    <w:p>
      <w:pPr>
        <w:spacing w:after="0" w:line="225"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Option Shares: 3,437,500</w:t>
      </w:r>
    </w:p>
    <w:p>
      <w:pPr>
        <w:sectPr>
          <w:pgSz w:w="11900" w:h="16838" w:orient="portrait"/>
          <w:cols w:equalWidth="0" w:num="1">
            <w:col w:w="11024"/>
          </w:cols>
          <w:pgMar w:left="436" w:top="270" w:right="4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Written Testing-the-Waters Communications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020"/>
          </w:cols>
          <w:pgMar w:left="440" w:top="270" w:right="4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RELAY THERAPEUTICS, INC.</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u w:val="single" w:color="auto"/>
          <w:color w:val="auto"/>
        </w:rPr>
        <w:t>Pricing Term Sheet</w:t>
      </w:r>
    </w:p>
    <w:p>
      <w:pPr>
        <w:spacing w:after="0" w:line="22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0020"/>
          </w:cols>
          <w:pgMar w:left="1440" w:top="270" w:right="4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D</w:t>
      </w:r>
    </w:p>
    <w:p>
      <w:pPr>
        <w:spacing w:after="0" w:line="22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Form of Opinion of Counsel for the Company</w:t>
      </w:r>
    </w:p>
    <w:p>
      <w:pPr>
        <w:sectPr>
          <w:pgSz w:w="11900" w:h="16838" w:orient="portrait"/>
          <w:cols w:equalWidth="0" w:num="1">
            <w:col w:w="10020"/>
          </w:cols>
          <w:pgMar w:left="1440" w:top="270" w:right="4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E</w:t>
      </w:r>
    </w:p>
    <w:p>
      <w:pPr>
        <w:spacing w:after="0" w:line="22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Form of Opinion of IP Counsel for the Company</w:t>
      </w:r>
    </w:p>
    <w:p>
      <w:pPr>
        <w:sectPr>
          <w:pgSz w:w="11900" w:h="16838" w:orient="portrait"/>
          <w:cols w:equalWidth="0" w:num="1">
            <w:col w:w="10020"/>
          </w:cols>
          <w:pgMar w:left="1440" w:top="270" w:right="4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LOCK-UP AGREEMENT</w:t>
      </w:r>
    </w:p>
    <w:p>
      <w:pPr>
        <w:spacing w:after="0" w:line="225" w:lineRule="exact"/>
        <w:rPr>
          <w:sz w:val="20"/>
          <w:szCs w:val="20"/>
          <w:color w:val="auto"/>
        </w:rPr>
      </w:pPr>
    </w:p>
    <w:p>
      <w:pPr>
        <w:ind w:left="10380"/>
        <w:spacing w:after="0"/>
        <w:rPr>
          <w:sz w:val="20"/>
          <w:szCs w:val="20"/>
          <w:color w:val="auto"/>
        </w:rPr>
      </w:pPr>
      <w:r>
        <w:rPr>
          <w:rFonts w:ascii="Times New Roman" w:cs="Times New Roman" w:eastAsia="Times New Roman" w:hAnsi="Times New Roman"/>
          <w:sz w:val="18"/>
          <w:szCs w:val="18"/>
          <w:color w:val="auto"/>
        </w:rPr>
        <w:t>[•],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several Underwriters listed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 to the Underwriting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referred to below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TD Securities (USA)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Vanderbilt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Relay Therapeutics, Inc. – Public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The undersigned understands that you, as Representatives of the several Underwriters, propose to enter into an underwriting agreement (the “Underwriting Agreement”) with Relay Therapeutics, Inc., a Delaware corporation (the “Company”), providing for the public offering (the “Public Offering”) by the several Underwriters named in Schedule 1 to the Underwriting Agreement (the “Underwriters”), of common stock, par value $0.001 per share, of the Company (the “Securities”). Capitalized terms used herein and not otherwise defined shall have the meanings set forth in the Underwriting Agreement.</w:t>
      </w:r>
    </w:p>
    <w:p>
      <w:pPr>
        <w:spacing w:after="0" w:line="183"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In consideration of the Underwriters’ agreement to purchase and make the Public Offering of the Securities, and for other good and valuable consideration receipt of which is hereby acknowledged, the undersigned hereby agrees that, without the prior written consent of Jefferies LLC and TD Securities (USA) LLC, on behalf of the Underwriters, the undersigned will not, and will not cause any direct or indirect controlled affiliate to, during the period</w:t>
      </w:r>
    </w:p>
    <w:p>
      <w:pPr>
        <w:sectPr>
          <w:pgSz w:w="11900" w:h="16838" w:orient="portrait"/>
          <w:cols w:equalWidth="0" w:num="1">
            <w:col w:w="11020"/>
          </w:cols>
          <w:pgMar w:left="440" w:top="270" w:right="439" w:bottom="1440" w:gutter="0" w:footer="0" w:header="0"/>
        </w:sectPr>
      </w:pPr>
    </w:p>
    <w:bookmarkStart w:id="47" w:name="page48"/>
    <w:bookmarkEnd w:id="47"/>
    <w:p>
      <w:pPr>
        <w:ind w:left="4" w:firstLine="44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beginning on the date of this letter agreement (this “Letter Agreement”) and ending at the close of business 60 days after the date of the final prospectus supplement relating to the Public Offering (the “Prospectus”) (such period, the “Restricted Period”), (1) offer, pledge, sell, contract to sell, sell any option or contract to purchase, purchase any option or contract to sell, grant any option, right or warrant to purchase, lend, or otherwise transfer or dispose of, directly or indirectly, any shares of common stock, $0.001 per share par value, of the Company (the “Common Stock”) or any securities convertible into or exercisable or exchangeable for Common Stock (including without limitation, Common Stock or such other securities which may be deemed to be beneficially owned by the undersigned in accordance with the rules and regulations of the Securities and Exchange Commission and securities which may be issued upon exercise of a stock option or warrant or conversion of restricted stock units) (collectively with the Common Stock,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w:t>
      </w:r>
    </w:p>
    <w:p>
      <w:pPr>
        <w:spacing w:after="0" w:line="4" w:lineRule="exact"/>
        <w:rPr>
          <w:sz w:val="20"/>
          <w:szCs w:val="20"/>
          <w:color w:val="auto"/>
        </w:rPr>
      </w:pPr>
    </w:p>
    <w:p>
      <w:pPr>
        <w:ind w:left="4" w:right="80" w:hanging="4"/>
        <w:spacing w:after="0" w:line="251" w:lineRule="auto"/>
        <w:tabs>
          <w:tab w:leader="none" w:pos="25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disclose the intention to do any of the foregoing. The undersigned acknowledges and agrees that the foregoing precludes the undersigned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undersigned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 The undersigned further confirms that it has furnished the Representatives with the details of any transaction the undersigned, or any of its controlled affiliates, is a party to as of the date hereof, which transaction would have been restricted by this Letter Agreement if it had been entered into by the undersigned during the Restricted Period.</w:t>
      </w:r>
    </w:p>
    <w:p>
      <w:pPr>
        <w:spacing w:after="0" w:line="19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Notwithstanding the foregoing, the undersigned may:</w:t>
      </w:r>
    </w:p>
    <w:p>
      <w:pPr>
        <w:spacing w:after="0" w:line="225" w:lineRule="exact"/>
        <w:rPr>
          <w:sz w:val="20"/>
          <w:szCs w:val="20"/>
          <w:color w:val="auto"/>
        </w:rPr>
      </w:pPr>
    </w:p>
    <w:p>
      <w:pPr>
        <w:ind w:left="684" w:hanging="244"/>
        <w:spacing w:after="0"/>
        <w:tabs>
          <w:tab w:leader="none" w:pos="68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the undersigned’s Lock-Up Securities:</w:t>
      </w:r>
    </w:p>
    <w:p>
      <w:pPr>
        <w:spacing w:after="0" w:line="117" w:lineRule="exact"/>
        <w:rPr>
          <w:rFonts w:ascii="Times New Roman" w:cs="Times New Roman" w:eastAsia="Times New Roman" w:hAnsi="Times New Roman"/>
          <w:sz w:val="18"/>
          <w:szCs w:val="18"/>
          <w:color w:val="auto"/>
        </w:rPr>
      </w:pPr>
    </w:p>
    <w:p>
      <w:pPr>
        <w:ind w:left="1084" w:hanging="221"/>
        <w:spacing w:after="0"/>
        <w:tabs>
          <w:tab w:leader="none" w:pos="108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bona fide gift or gifts, or for bona fide estate planning purposes,</w:t>
      </w:r>
    </w:p>
    <w:p>
      <w:pPr>
        <w:spacing w:after="0" w:line="117"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or intestate succession,</w:t>
      </w:r>
    </w:p>
    <w:p>
      <w:pPr>
        <w:spacing w:after="0" w:line="117" w:lineRule="exact"/>
        <w:rPr>
          <w:rFonts w:ascii="Times New Roman" w:cs="Times New Roman" w:eastAsia="Times New Roman" w:hAnsi="Times New Roman"/>
          <w:sz w:val="18"/>
          <w:szCs w:val="18"/>
          <w:color w:val="auto"/>
        </w:rPr>
      </w:pPr>
    </w:p>
    <w:p>
      <w:pPr>
        <w:ind w:left="444" w:right="160" w:firstLine="419"/>
        <w:spacing w:after="0" w:line="266" w:lineRule="auto"/>
        <w:tabs>
          <w:tab w:leader="none" w:pos="1182"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trust for the direct or indirect benefit of the undersigned or the immediate family of the undersigned, or, if the undersigned is a trust, to a trustor or beneficiary of the trust or to the estate of a beneficiary of such trust (for purposes of this Letter Agreement, “immediate family” shall mean any relationship by blood, current or former marriage, domestic partnership or adoption, not more remote than first cousin),</w:t>
      </w:r>
    </w:p>
    <w:p>
      <w:pPr>
        <w:spacing w:after="0" w:line="67" w:lineRule="exact"/>
        <w:rPr>
          <w:rFonts w:ascii="Times New Roman" w:cs="Times New Roman" w:eastAsia="Times New Roman" w:hAnsi="Times New Roman"/>
          <w:sz w:val="18"/>
          <w:szCs w:val="18"/>
          <w:color w:val="auto"/>
        </w:rPr>
      </w:pPr>
    </w:p>
    <w:p>
      <w:pPr>
        <w:ind w:left="444" w:firstLine="419"/>
        <w:spacing w:after="0" w:line="282" w:lineRule="auto"/>
        <w:tabs>
          <w:tab w:leader="none" w:pos="1172"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partnership, limited liability company or other entity of which the undersigned and the immediate family of the undersigned are the legal and beneficial owner of all of the outstanding equity securities or similar interests,</w:t>
      </w:r>
    </w:p>
    <w:p>
      <w:pPr>
        <w:sectPr>
          <w:pgSz w:w="11900" w:h="16838" w:orient="portrait"/>
          <w:cols w:equalWidth="0" w:num="1">
            <w:col w:w="10924"/>
          </w:cols>
          <w:pgMar w:left="436" w:top="270" w:right="539" w:bottom="1440" w:gutter="0" w:footer="0" w:header="0"/>
        </w:sectPr>
      </w:pPr>
    </w:p>
    <w:bookmarkStart w:id="48" w:name="page49"/>
    <w:bookmarkEnd w:id="48"/>
    <w:p>
      <w:pPr>
        <w:ind w:left="684" w:hanging="261"/>
        <w:spacing w:after="0"/>
        <w:tabs>
          <w:tab w:leader="none" w:pos="68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a nominee or custodian of a person or entity to whom a disposition or transfer would be permissible under clauses (i) through (iv)</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w:t>
      </w:r>
    </w:p>
    <w:p>
      <w:pPr>
        <w:spacing w:after="0" w:line="98" w:lineRule="exact"/>
        <w:rPr>
          <w:rFonts w:ascii="Times New Roman" w:cs="Times New Roman" w:eastAsia="Times New Roman" w:hAnsi="Times New Roman"/>
          <w:sz w:val="18"/>
          <w:szCs w:val="18"/>
          <w:color w:val="auto"/>
        </w:rPr>
      </w:pPr>
    </w:p>
    <w:p>
      <w:pPr>
        <w:ind w:left="4" w:right="160" w:firstLine="419"/>
        <w:spacing w:after="0" w:line="268" w:lineRule="auto"/>
        <w:tabs>
          <w:tab w:leader="none" w:pos="731"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limited partner, managing member, manager, member, employee, officer or director of such entity or any trust for the benefit of any of the foregoing or any affiliate or a successor partnership or fund, or any other funds managed by such partnership), or</w:t>
      </w:r>
    </w:p>
    <w:p>
      <w:pPr>
        <w:spacing w:after="0" w:line="4" w:lineRule="exact"/>
        <w:rPr>
          <w:rFonts w:ascii="Times New Roman" w:cs="Times New Roman" w:eastAsia="Times New Roman" w:hAnsi="Times New Roman"/>
          <w:sz w:val="17"/>
          <w:szCs w:val="17"/>
          <w:color w:val="auto"/>
        </w:rPr>
      </w:pPr>
    </w:p>
    <w:p>
      <w:pPr>
        <w:ind w:left="284" w:hanging="284"/>
        <w:spacing w:after="0"/>
        <w:tabs>
          <w:tab w:leader="none" w:pos="28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a distribution to members or shareholders of the undersigned,</w:t>
      </w:r>
    </w:p>
    <w:p>
      <w:pPr>
        <w:spacing w:after="0" w:line="98" w:lineRule="exact"/>
        <w:rPr>
          <w:rFonts w:ascii="Times New Roman" w:cs="Times New Roman" w:eastAsia="Times New Roman" w:hAnsi="Times New Roman"/>
          <w:sz w:val="18"/>
          <w:szCs w:val="18"/>
          <w:color w:val="auto"/>
        </w:rPr>
      </w:pPr>
    </w:p>
    <w:p>
      <w:pPr>
        <w:ind w:left="4" w:right="200" w:firstLine="419"/>
        <w:spacing w:after="0" w:line="282" w:lineRule="auto"/>
        <w:tabs>
          <w:tab w:leader="none" w:pos="78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or pursuant to a court order, such as pursuant to a qualified domestic order, divorce settlement, divorce decree or separation agreement,</w:t>
      </w:r>
    </w:p>
    <w:p>
      <w:pPr>
        <w:spacing w:after="0" w:line="53" w:lineRule="exact"/>
        <w:rPr>
          <w:rFonts w:ascii="Times New Roman" w:cs="Times New Roman" w:eastAsia="Times New Roman" w:hAnsi="Times New Roman"/>
          <w:sz w:val="18"/>
          <w:szCs w:val="18"/>
          <w:color w:val="auto"/>
        </w:rPr>
      </w:pPr>
    </w:p>
    <w:p>
      <w:pPr>
        <w:ind w:left="824" w:hanging="401"/>
        <w:spacing w:after="0"/>
        <w:tabs>
          <w:tab w:leader="none" w:pos="82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from an employee of the Company upon death, disability or termination of employment, in each case, of such</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w:t>
      </w:r>
    </w:p>
    <w:p>
      <w:pPr>
        <w:spacing w:after="0" w:line="98" w:lineRule="exact"/>
        <w:rPr>
          <w:rFonts w:ascii="Times New Roman" w:cs="Times New Roman" w:eastAsia="Times New Roman" w:hAnsi="Times New Roman"/>
          <w:sz w:val="18"/>
          <w:szCs w:val="18"/>
          <w:color w:val="auto"/>
        </w:rPr>
      </w:pPr>
    </w:p>
    <w:p>
      <w:pPr>
        <w:ind w:left="4" w:right="620" w:firstLine="419"/>
        <w:spacing w:after="0" w:line="282" w:lineRule="auto"/>
        <w:tabs>
          <w:tab w:leader="none" w:pos="73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way of transactions relating to Common Stock or other securities acquired in the Public Offering or acquired in open market transactions after the closing date for the Public Offering,</w:t>
      </w:r>
    </w:p>
    <w:p>
      <w:pPr>
        <w:spacing w:after="0" w:line="53" w:lineRule="exact"/>
        <w:rPr>
          <w:rFonts w:ascii="Times New Roman" w:cs="Times New Roman" w:eastAsia="Times New Roman" w:hAnsi="Times New Roman"/>
          <w:sz w:val="18"/>
          <w:szCs w:val="18"/>
          <w:color w:val="auto"/>
        </w:rPr>
      </w:pPr>
    </w:p>
    <w:p>
      <w:pPr>
        <w:ind w:left="4" w:firstLine="419"/>
        <w:spacing w:after="0" w:line="255" w:lineRule="auto"/>
        <w:tabs>
          <w:tab w:leader="none" w:pos="68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in connection with the vesting, settlement, or exercise of restricted stock units, options or other rights to purchase shares of Common Stock (including, in each case, by way of “net” or “cashless” exercise), including for the payment of exercise price and tax and remittance payments due as a result of the vesting, settlement, or exercise of such restricted stock units, options or rights, provided that any such shares of Common Stock received upon such exercise, vesting or settlement shall be subject to the terms of this Letter Agreement, and provided further that any such restricted stock units, options or rights are held by the undersigned pursuant to an agreement or equity awards granted under a stock incentive plan or other equity award plan, each such agreement or plan which is described in the Registration Statement, the Pricing Disclosure Package and the Prospectus, or</w:t>
      </w:r>
    </w:p>
    <w:p>
      <w:pPr>
        <w:spacing w:after="0" w:line="80" w:lineRule="exact"/>
        <w:rPr>
          <w:rFonts w:ascii="Times New Roman" w:cs="Times New Roman" w:eastAsia="Times New Roman" w:hAnsi="Times New Roman"/>
          <w:sz w:val="18"/>
          <w:szCs w:val="18"/>
          <w:color w:val="auto"/>
        </w:rPr>
      </w:pPr>
    </w:p>
    <w:p>
      <w:pPr>
        <w:ind w:left="4" w:right="40" w:firstLine="419"/>
        <w:spacing w:after="0" w:line="255" w:lineRule="auto"/>
        <w:tabs>
          <w:tab w:leader="none" w:pos="73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a bona fide third-party tender offer, merger, consolidation or other similar transaction that is approved by the Board of Directors of the Company and made to all holders of the Company’s capital stock involving a Change of Control (as defined below)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more than 90% of the outstanding voting securities of the Company (or the surviving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such tender offer, merger, consolidation or other similar transaction is not completed, the undersigned’s Lock-Up Securities shall remain subject to the provisions of this Letter Agreement;</w:t>
      </w:r>
    </w:p>
    <w:p>
      <w:pPr>
        <w:sectPr>
          <w:pgSz w:w="11900" w:h="16838" w:orient="portrait"/>
          <w:cols w:equalWidth="0" w:num="1">
            <w:col w:w="10524"/>
          </w:cols>
          <w:pgMar w:left="876" w:top="270" w:right="499" w:bottom="1440" w:gutter="0" w:footer="0" w:header="0"/>
        </w:sectPr>
      </w:pPr>
    </w:p>
    <w:bookmarkStart w:id="49" w:name="page50"/>
    <w:bookmarkEnd w:id="49"/>
    <w:p>
      <w:pPr>
        <w:ind w:firstLine="440"/>
        <w:spacing w:after="0" w:line="253"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w:t>
      </w:r>
      <w:r>
        <w:rPr>
          <w:rFonts w:ascii="Times New Roman" w:cs="Times New Roman" w:eastAsia="Times New Roman" w:hAnsi="Times New Roman"/>
          <w:sz w:val="18"/>
          <w:szCs w:val="18"/>
          <w:color w:val="auto"/>
        </w:rPr>
        <w:t xml:space="preserve"> that (A) in the case of any transfer or distribution pursuant to clause (a)(i), (ii), (iii), (iv), (v), (vi) and (vii), such transfer shall not involve a disposition for value and each donee, devisee, transferee or distributee shall execute and deliver to the Representatives a lock-up letter in the form of this Letter Agreement, (B) in the case of any transfer or distribution pursuant to clause (a) (ii), (iii), (iv), (v), (vi), (ix) and (x), no filing by any party (donor, donee, devisee, transferor, transferee, distributer or distributee) under the Securities Exchange Act of 1934, as amended (the “Exchange Act”), or other public announcement by any party under Section 16 of the Exchange Act shall be required or shall be made voluntarily in connection with such transfer or distribution (other than a filing on a Form 5 made after the expiration of the Restricted Period referred to above) and (C) in the case of a transfer pursuant to clauses (a)(i) and (vii), no filing by any party (donor, donee, devisee, transferor, transferee, distributer or distributee) under the Exchange Act of 1934, or other public announcement by any party under Section 16 of the Exchange Act shall be made voluntarily in connection with such transfer or distribution and if any such filing, report or announcement shall be legally required during the Restricted Period, any such filing shall clearly indicate in the footnotes therein the circumstances of such transfer;</w:t>
      </w:r>
    </w:p>
    <w:p>
      <w:pPr>
        <w:spacing w:after="0" w:line="194" w:lineRule="exact"/>
        <w:rPr>
          <w:sz w:val="20"/>
          <w:szCs w:val="20"/>
          <w:color w:val="auto"/>
        </w:rPr>
      </w:pPr>
    </w:p>
    <w:p>
      <w:pPr>
        <w:ind w:right="80" w:firstLine="436"/>
        <w:spacing w:after="0" w:line="254" w:lineRule="auto"/>
        <w:tabs>
          <w:tab w:leader="none" w:pos="69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options, settle restricted stock units or other equity awards or exercise warrants outstanding as of the date granted pursuant to plans described in the Registration Statement, the Pricing Disclosure Package and the Prospectus (including by way of “net” or “cashless” exercise, vesting, “sale-to-cover” transactions, or other settlement solely to cover withholding tax obligations in connection with such exercise, vesting or settlement and any transfer to the Company for the payment of taxes as a result of such exercise, vesting or settlement); provided that any Lock-Up Securities received upon such exercise, vesting or settlement shall be subject to the terms of this Letter Agreement; and provided further that in connection with such exercise, vesting or settlement, disclosure required to be made by applicable law or regulation may be made during the Restricted Period, including, without limitation, one or more filings on Form 4, Form 5, Schedule 13G, Schedule 13D, or Form 144, in each case, in accordance with applicable law, and the undersigned shall include a statement in such report to the effect that the filing relates to the conversion, exercise or exchange of securities convertible into or exercisable or exchangeable for shares of Common Stock pursuant to existing employee benefit plans;</w:t>
      </w:r>
    </w:p>
    <w:p>
      <w:pPr>
        <w:spacing w:after="0" w:line="188" w:lineRule="exact"/>
        <w:rPr>
          <w:rFonts w:ascii="Times New Roman" w:cs="Times New Roman" w:eastAsia="Times New Roman" w:hAnsi="Times New Roman"/>
          <w:sz w:val="18"/>
          <w:szCs w:val="18"/>
          <w:color w:val="auto"/>
        </w:rPr>
      </w:pPr>
    </w:p>
    <w:p>
      <w:pPr>
        <w:ind w:right="60" w:firstLine="436"/>
        <w:spacing w:after="0" w:line="258" w:lineRule="auto"/>
        <w:tabs>
          <w:tab w:leader="none" w:pos="68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establish trading plans pursuant to Rule 10b5-1 under the Exchange Act (a “10b5-1 Plan”) for the transfer of shares of Lock-Up Securities and the sale of Lock-Up Securities (including following the exercise of options to purchase Common Stock and the vesting or settlement of restricted stock units) pursuant to such 10b5-1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such plans do not provide for the transfer or sale of Lock-Up Securities during the Restricted Period and (2) no filing by any party under the Exchange Act or other public announcement shall be required or made voluntarily in connection with such trading plan, in each case during the Restricted Period; and</w:t>
      </w:r>
    </w:p>
    <w:p>
      <w:pPr>
        <w:sectPr>
          <w:pgSz w:w="11900" w:h="16838" w:orient="portrait"/>
          <w:cols w:equalWidth="0" w:num="1">
            <w:col w:w="11000"/>
          </w:cols>
          <w:pgMar w:left="440" w:top="270" w:right="459" w:bottom="1440" w:gutter="0" w:footer="0" w:header="0"/>
        </w:sectPr>
      </w:pPr>
    </w:p>
    <w:bookmarkStart w:id="50" w:name="page51"/>
    <w:bookmarkEnd w:id="50"/>
    <w:p>
      <w:pPr>
        <w:ind w:right="40" w:firstLine="436"/>
        <w:spacing w:after="0" w:line="266" w:lineRule="auto"/>
        <w:tabs>
          <w:tab w:leader="none" w:pos="69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sell Lock-Up Securities (including following the exercise of options to purchase Common Stock) pursuant to a 10b5-1 Plan adopted prior to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it shall be a condition to such sale that any public announcement or filing made under Section 16(a) of the Exchange Act by the undersigned or the Company must include a statement that the sale is made pursuant to the undersigned’s 10b5-1 Plan.</w:t>
      </w:r>
    </w:p>
    <w:p>
      <w:pPr>
        <w:spacing w:after="0" w:line="176" w:lineRule="exact"/>
        <w:rPr>
          <w:sz w:val="20"/>
          <w:szCs w:val="20"/>
          <w:color w:val="auto"/>
        </w:rPr>
      </w:pPr>
    </w:p>
    <w:p>
      <w:pPr>
        <w:jc w:val="both"/>
        <w:ind w:right="380" w:firstLine="440"/>
        <w:spacing w:after="0" w:line="266" w:lineRule="auto"/>
        <w:rPr>
          <w:sz w:val="20"/>
          <w:szCs w:val="20"/>
          <w:color w:val="auto"/>
        </w:rPr>
      </w:pPr>
      <w:r>
        <w:rPr>
          <w:rFonts w:ascii="Times New Roman" w:cs="Times New Roman" w:eastAsia="Times New Roman" w:hAnsi="Times New Roman"/>
          <w:sz w:val="18"/>
          <w:szCs w:val="18"/>
          <w:color w:val="auto"/>
        </w:rPr>
        <w:t>If the undersigned is not a natural person, the undersigned represents and warrants that no single natural person, entity or “group” (within the meaning of Section 13(d)(3) of the Exchange Act) beneficially owns, directly or indirectly, 50% or more of the common equity interests, or 50% or more of the voting power, in the undersigned.</w:t>
      </w:r>
    </w:p>
    <w:p>
      <w:pPr>
        <w:spacing w:after="0" w:line="176"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spacing w:after="0" w:line="176" w:lineRule="exact"/>
        <w:rPr>
          <w:sz w:val="20"/>
          <w:szCs w:val="20"/>
          <w:color w:val="auto"/>
        </w:rPr>
      </w:pPr>
    </w:p>
    <w:p>
      <w:pPr>
        <w:ind w:right="500" w:firstLine="440"/>
        <w:spacing w:after="0" w:line="266"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spacing w:after="0" w:line="176"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undersigned acknowledges and agrees that the Underwriters have not provided any recommendation or investment advice nor have the Underwriters solicited any action from the undersigned with respect to the Public Offering of the Securities and the undersigned has consulted their own legal, accounting, financial, regulatory and tax advisors to the extent deemed appropriate. The undersigned further acknowledges and agrees that, although the Underwriters may be required or choose to provide certain Regulation Best Interest and Form CRS disclosures to you in connection with the Public Offering, the Underwriters are not making a recommendation to you to enter into this Agreement, and nothing set forth in such disclosures is intended to suggest that the Underwriters are making such a recommendation.</w:t>
      </w:r>
    </w:p>
    <w:p>
      <w:pPr>
        <w:spacing w:after="0" w:line="18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undersigned understands that, if the Underwriting Agreement does not become effective by June 30, 2026, or if the Underwriting Agreement (other than the provisions thereof which survive termination) shall terminate or be terminated prior to payment for and delivery of the Common Stock to be sold thereunder, the undersigned shall be released from all obligations under this Letter Agreement. The undersigned understands that the Underwriters are entering into the Underwriting Agreement and proceeding with the Public Offering in reliance upon this Letter Agreement.</w:t>
      </w:r>
    </w:p>
    <w:p>
      <w:pPr>
        <w:spacing w:after="0" w:line="180"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This Letter Agreement and any claim, controversy or dispute arising under or related to this Letter Agreement shall be governed by and construed in accordance with the laws of the State of New York.</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OF STOCKHOLDER]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980"/>
          </w:cols>
          <w:pgMar w:left="440" w:top="270" w:right="47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21,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Relay Therapeutics,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 Hampshire Street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11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Securities Registered under Registration Statement on Form S-3</w:t>
      </w:r>
    </w:p>
    <w:p>
      <w:pPr>
        <w:spacing w:after="0" w:line="22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have acted as counsel to you in connection with your filing of a Registration Statement on Form S-3ASR (File No. 333-281308) (as amended or supplemented, the “Registration Statement”) filed on August 6, 2024 with the Securities and Exchange Commission (the “Commission”) pursuant to the Securities Act of 1933, as amended (the “Securities Act”), relating to the registration of the offer by Relay Therapeutics, Inc., a Delaware corporation (the “Company”), of an indeterminate amount of any combination of securities of the types specified therein. The Registration Statement was declared automatically effective by the Commission on August 6, 2024. Reference is made to our opinion letter dated August 6, 2024 and included as Exhibit 5.1 to the Registration Statement. We are delivering this supplemental opinion letter in connection with the prospectus supplement (the “Prospectus Supplement”) filed on May 21, 2026 by the Company with the Commission pursuant to Rule 424 under the Securities Act. The Prospectus Supplement relates to the offering by the Company of up to 26,354,167 shares of the Company’s common stock, par value $0.001 per share (the “Shares”), covered by the Registration Statement. The Shares include an over-allotment option granted to the underwriters of the offering to purchase 3,437,500 Shares. The Shares are being sold to the several underwriters named in, and pursuant to, an underwriting agreement among the Company and such underwriters (the “Underwriting Agreement”).</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set forth below is limited to the Delaware General Corporation Law.</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and, when delivered and paid for in accordance with the terms of the Underwriting Agreement, will be validly issued, fully paid and non-assessable.</w:t>
      </w:r>
    </w:p>
    <w:p>
      <w:pPr>
        <w:spacing w:after="0" w:line="160"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color w:val="auto"/>
        </w:rPr>
        <w:t xml:space="preserve">This opinion letter and the opinion it contains shall be interpreted in accordance with the Core Opinion Principles as published in 74 </w:t>
      </w:r>
      <w:r>
        <w:rPr>
          <w:rFonts w:ascii="Times New Roman" w:cs="Times New Roman" w:eastAsia="Times New Roman" w:hAnsi="Times New Roman"/>
          <w:sz w:val="18"/>
          <w:szCs w:val="18"/>
          <w:i w:val="1"/>
          <w:iCs w:val="1"/>
          <w:color w:val="auto"/>
        </w:rPr>
        <w:t>Business Lawyer</w:t>
      </w:r>
      <w:r>
        <w:rPr>
          <w:rFonts w:ascii="Times New Roman" w:cs="Times New Roman" w:eastAsia="Times New Roman" w:hAnsi="Times New Roman"/>
          <w:sz w:val="18"/>
          <w:szCs w:val="18"/>
          <w:color w:val="auto"/>
        </w:rPr>
        <w:t xml:space="preserve"> 815 (Summer 2019).</w:t>
      </w:r>
    </w:p>
    <w:p>
      <w:pPr>
        <w:sectPr>
          <w:pgSz w:w="11900" w:h="16838" w:orient="portrait"/>
          <w:cols w:equalWidth="0" w:num="1">
            <w:col w:w="11020"/>
          </w:cols>
          <w:pgMar w:left="440" w:top="117"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Relay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21,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inclusion of this opinion as Exhibit 5.1 to this Current Report on Form 8-K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Goodwin Procter 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GOODWIN PROCTER LLP</w:t>
      </w:r>
    </w:p>
    <w:sectPr>
      <w:pgSz w:w="11900" w:h="16838" w:orient="portrait"/>
      <w:cols w:equalWidth="0" w:num="1">
        <w:col w:w="10900"/>
      </w:cols>
      <w:pgMar w:left="440"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1."/>
      <w:numFmt w:val="decimal"/>
      <w:start w:val="1"/>
    </w:lvl>
  </w:abstractNum>
  <w:abstractNum w:abstractNumId="2">
    <w:nsid w:val="419AC241"/>
    <w:multiLevelType w:val="hybridMultilevel"/>
    <w:lvl w:ilvl="0">
      <w:lvlJc w:val="left"/>
      <w:lvlText w:val="%1."/>
      <w:numFmt w:val="decimal"/>
      <w:start w:val="2"/>
    </w:lvl>
  </w:abstractNum>
  <w:abstractNum w:abstractNumId="3">
    <w:nsid w:val="5577F8E1"/>
    <w:multiLevelType w:val="hybridMultilevel"/>
    <w:lvl w:ilvl="0">
      <w:lvlJc w:val="left"/>
      <w:lvlText w:val="(%1)"/>
      <w:numFmt w:val="lowerLetter"/>
      <w:start w:val="1"/>
    </w:lvl>
  </w:abstractNum>
  <w:abstractNum w:abstractNumId="4">
    <w:nsid w:val="440BADFC"/>
    <w:multiLevelType w:val="hybridMultilevel"/>
    <w:lvl w:ilvl="0">
      <w:lvlJc w:val="left"/>
      <w:lvlText w:val="(%1)"/>
      <w:numFmt w:val="lowerLetter"/>
      <w:start w:val="2"/>
    </w:lvl>
  </w:abstractNum>
  <w:abstractNum w:abstractNumId="5">
    <w:nsid w:val="5072367"/>
    <w:multiLevelType w:val="hybridMultilevel"/>
    <w:lvl w:ilvl="0">
      <w:lvlJc w:val="left"/>
      <w:lvlText w:val="(%1)"/>
      <w:numFmt w:val="lowerLetter"/>
      <w:start w:val="4"/>
    </w:lvl>
  </w:abstractNum>
  <w:abstractNum w:abstractNumId="6">
    <w:nsid w:val="3804823E"/>
    <w:multiLevelType w:val="hybridMultilevel"/>
    <w:lvl w:ilvl="0">
      <w:lvlJc w:val="left"/>
      <w:lvlText w:val="%1."/>
      <w:numFmt w:val="decimal"/>
      <w:start w:val="3"/>
    </w:lvl>
    <w:lvl w:ilvl="1">
      <w:lvlJc w:val="left"/>
      <w:lvlText w:val="(%2)"/>
      <w:numFmt w:val="lowerLetter"/>
      <w:start w:val="1"/>
    </w:lvl>
  </w:abstractNum>
  <w:abstractNum w:abstractNumId="7">
    <w:nsid w:val="77465F01"/>
    <w:multiLevelType w:val="hybridMultilevel"/>
    <w:lvl w:ilvl="0">
      <w:lvlJc w:val="left"/>
      <w:lvlText w:val="(%1)"/>
      <w:numFmt w:val="lowerLetter"/>
      <w:start w:val="3"/>
    </w:lvl>
  </w:abstractNum>
  <w:abstractNum w:abstractNumId="8">
    <w:nsid w:val="7724C67E"/>
    <w:multiLevelType w:val="hybridMultilevel"/>
    <w:lvl w:ilvl="0">
      <w:lvlJc w:val="left"/>
      <w:lvlText w:val="(%1)"/>
      <w:numFmt w:val="lowerLetter"/>
      <w:start w:val="5"/>
    </w:lvl>
  </w:abstractNum>
  <w:abstractNum w:abstractNumId="9">
    <w:nsid w:val="5C482A97"/>
    <w:multiLevelType w:val="hybridMultilevel"/>
    <w:lvl w:ilvl="0">
      <w:lvlJc w:val="left"/>
      <w:lvlText w:val="%1"/>
      <w:numFmt w:val="lowerLetter"/>
      <w:start w:val="1"/>
    </w:lvl>
    <w:lvl w:ilvl="1">
      <w:lvlJc w:val="left"/>
      <w:lvlText w:val="(%2)"/>
      <w:numFmt w:val="lowerLetter"/>
      <w:start w:val="7"/>
    </w:lvl>
  </w:abstractNum>
  <w:abstractNum w:abstractNumId="10">
    <w:nsid w:val="2463B9EA"/>
    <w:multiLevelType w:val="hybridMultilevel"/>
    <w:lvl w:ilvl="0">
      <w:lvlJc w:val="left"/>
      <w:lvlText w:val="(%1)"/>
      <w:numFmt w:val="lowerLetter"/>
      <w:start w:val="35"/>
    </w:lvl>
    <w:lvl w:ilvl="1">
      <w:lvlJc w:val="left"/>
      <w:lvlText w:val="(%2)"/>
      <w:numFmt w:val="lowerLetter"/>
      <w:start w:val="9"/>
    </w:lvl>
  </w:abstractNum>
  <w:abstractNum w:abstractNumId="11">
    <w:nsid w:val="5E884ADC"/>
    <w:multiLevelType w:val="hybridMultilevel"/>
    <w:lvl w:ilvl="0">
      <w:lvlJc w:val="left"/>
      <w:lvlText w:val="(%1)"/>
      <w:numFmt w:val="lowerLetter"/>
      <w:start w:val="10"/>
    </w:lvl>
  </w:abstractNum>
  <w:abstractNum w:abstractNumId="12">
    <w:nsid w:val="51EAD36B"/>
    <w:multiLevelType w:val="hybridMultilevel"/>
    <w:lvl w:ilvl="0">
      <w:lvlJc w:val="left"/>
      <w:lvlText w:val="(%1)"/>
      <w:numFmt w:val="lowerLetter"/>
      <w:start w:val="12"/>
    </w:lvl>
  </w:abstractNum>
  <w:abstractNum w:abstractNumId="13">
    <w:nsid w:val="2D517796"/>
    <w:multiLevelType w:val="hybridMultilevel"/>
    <w:lvl w:ilvl="0">
      <w:lvlJc w:val="left"/>
      <w:lvlText w:val="(%1)"/>
      <w:numFmt w:val="lowerLetter"/>
      <w:start w:val="18"/>
    </w:lvl>
  </w:abstractNum>
  <w:abstractNum w:abstractNumId="14">
    <w:nsid w:val="580BD78F"/>
    <w:multiLevelType w:val="hybridMultilevel"/>
    <w:lvl w:ilvl="0">
      <w:lvlJc w:val="left"/>
      <w:lvlText w:val="(%1)"/>
      <w:numFmt w:val="lowerLetter"/>
      <w:start w:val="21"/>
    </w:lvl>
  </w:abstractNum>
  <w:abstractNum w:abstractNumId="15">
    <w:nsid w:val="153EA438"/>
    <w:multiLevelType w:val="hybridMultilevel"/>
    <w:lvl w:ilvl="0">
      <w:lvlJc w:val="left"/>
      <w:lvlText w:val="(%1)"/>
      <w:numFmt w:val="lowerLetter"/>
      <w:start w:val="23"/>
    </w:lvl>
  </w:abstractNum>
  <w:abstractNum w:abstractNumId="16">
    <w:nsid w:val="3855585C"/>
    <w:multiLevelType w:val="hybridMultilevel"/>
    <w:lvl w:ilvl="0">
      <w:lvlJc w:val="left"/>
      <w:lvlText w:val="(%1)"/>
      <w:numFmt w:val="lowerLetter"/>
      <w:start w:val="27"/>
    </w:lvl>
  </w:abstractNum>
  <w:abstractNum w:abstractNumId="17">
    <w:nsid w:val="70A64E2A"/>
    <w:multiLevelType w:val="hybridMultilevel"/>
    <w:lvl w:ilvl="0">
      <w:lvlJc w:val="left"/>
      <w:lvlText w:val="%1"/>
      <w:numFmt w:val="lowerLetter"/>
      <w:start w:val="1"/>
    </w:lvl>
    <w:lvl w:ilvl="1">
      <w:lvlJc w:val="left"/>
      <w:lvlText w:val="(%2)"/>
      <w:numFmt w:val="lowerLetter"/>
      <w:start w:val="29"/>
    </w:lvl>
  </w:abstractNum>
  <w:abstractNum w:abstractNumId="18">
    <w:nsid w:val="6A2342EC"/>
    <w:multiLevelType w:val="hybridMultilevel"/>
    <w:lvl w:ilvl="0">
      <w:lvlJc w:val="left"/>
      <w:lvlText w:val="(%1)"/>
      <w:numFmt w:val="lowerLetter"/>
      <w:start w:val="35"/>
    </w:lvl>
    <w:lvl w:ilvl="1">
      <w:lvlJc w:val="left"/>
      <w:lvlText w:val="(%2)"/>
      <w:numFmt w:val="lowerLetter"/>
      <w:start w:val="31"/>
    </w:lvl>
  </w:abstractNum>
  <w:abstractNum w:abstractNumId="19">
    <w:nsid w:val="2A487CB0"/>
    <w:multiLevelType w:val="hybridMultilevel"/>
    <w:lvl w:ilvl="0">
      <w:lvlJc w:val="left"/>
      <w:lvlText w:val="%1"/>
      <w:numFmt w:val="lowerLetter"/>
      <w:start w:val="1"/>
    </w:lvl>
    <w:lvl w:ilvl="1">
      <w:lvlJc w:val="left"/>
      <w:lvlText w:val="(%2)"/>
      <w:numFmt w:val="lowerLetter"/>
      <w:start w:val="32"/>
    </w:lvl>
  </w:abstractNum>
  <w:abstractNum w:abstractNumId="20">
    <w:nsid w:val="1D4ED43B"/>
    <w:multiLevelType w:val="hybridMultilevel"/>
    <w:lvl w:ilvl="0">
      <w:lvlJc w:val="left"/>
      <w:lvlText w:val="(%1)"/>
      <w:numFmt w:val="lowerLetter"/>
      <w:start w:val="24"/>
    </w:lvl>
    <w:lvl w:ilvl="1">
      <w:lvlJc w:val="left"/>
      <w:lvlText w:val="%2"/>
      <w:numFmt w:val="lowerLetter"/>
      <w:start w:val="1"/>
    </w:lvl>
  </w:abstractNum>
  <w:abstractNum w:abstractNumId="21">
    <w:nsid w:val="725A06FB"/>
    <w:multiLevelType w:val="hybridMultilevel"/>
    <w:lvl w:ilvl="0">
      <w:lvlJc w:val="left"/>
      <w:lvlText w:val="(%1)"/>
      <w:numFmt w:val="lowerLetter"/>
      <w:start w:val="33"/>
    </w:lvl>
  </w:abstractNum>
  <w:abstractNum w:abstractNumId="22">
    <w:nsid w:val="2CD89A32"/>
    <w:multiLevelType w:val="hybridMultilevel"/>
    <w:lvl w:ilvl="0">
      <w:lvlJc w:val="left"/>
      <w:lvlText w:val="%1"/>
      <w:numFmt w:val="lowerLetter"/>
      <w:start w:val="1"/>
    </w:lvl>
    <w:lvl w:ilvl="1">
      <w:lvlJc w:val="left"/>
      <w:lvlText w:val="(%2)"/>
      <w:numFmt w:val="lowerLetter"/>
      <w:start w:val="35"/>
    </w:lvl>
  </w:abstractNum>
  <w:abstractNum w:abstractNumId="23">
    <w:nsid w:val="57E4CCAF"/>
    <w:multiLevelType w:val="hybridMultilevel"/>
    <w:lvl w:ilvl="0">
      <w:lvlJc w:val="left"/>
      <w:lvlText w:val="(%1)"/>
      <w:numFmt w:val="lowerLetter"/>
      <w:start w:val="9"/>
    </w:lvl>
    <w:lvl w:ilvl="1">
      <w:lvlJc w:val="left"/>
      <w:lvlText w:val="%2"/>
      <w:numFmt w:val="lowerLetter"/>
      <w:start w:val="1"/>
    </w:lvl>
  </w:abstractNum>
  <w:abstractNum w:abstractNumId="24">
    <w:nsid w:val="7A6D8D3C"/>
    <w:multiLevelType w:val="hybridMultilevel"/>
    <w:lvl w:ilvl="0">
      <w:lvlJc w:val="left"/>
      <w:lvlText w:val="(%1)"/>
      <w:numFmt w:val="lowerLetter"/>
      <w:start w:val="39"/>
    </w:lvl>
  </w:abstractNum>
  <w:abstractNum w:abstractNumId="25">
    <w:nsid w:val="4B588F54"/>
    <w:multiLevelType w:val="hybridMultilevel"/>
    <w:lvl w:ilvl="0">
      <w:lvlJc w:val="left"/>
      <w:lvlText w:val="(%1)"/>
      <w:numFmt w:val="lowerLetter"/>
      <w:start w:val="41"/>
    </w:lvl>
  </w:abstractNum>
  <w:abstractNum w:abstractNumId="26">
    <w:nsid w:val="542289EC"/>
    <w:multiLevelType w:val="hybridMultilevel"/>
    <w:lvl w:ilvl="0">
      <w:lvlJc w:val="left"/>
      <w:lvlText w:val="%1"/>
      <w:numFmt w:val="decimal"/>
      <w:start w:val="1"/>
    </w:lvl>
    <w:lvl w:ilvl="1">
      <w:lvlJc w:val="left"/>
      <w:lvlText w:val="(%2)"/>
      <w:numFmt w:val="lowerLetter"/>
      <w:start w:val="49"/>
    </w:lvl>
  </w:abstractNum>
  <w:abstractNum w:abstractNumId="27">
    <w:nsid w:val="6DE91B18"/>
    <w:multiLevelType w:val="hybridMultilevel"/>
    <w:lvl w:ilvl="0">
      <w:lvlJc w:val="left"/>
      <w:lvlText w:val="%1."/>
      <w:numFmt w:val="decimal"/>
      <w:start w:val="4"/>
    </w:lvl>
    <w:lvl w:ilvl="1">
      <w:lvlJc w:val="left"/>
      <w:lvlText w:val="(%2)"/>
      <w:numFmt w:val="lowerLetter"/>
      <w:start w:val="1"/>
    </w:lvl>
  </w:abstractNum>
  <w:abstractNum w:abstractNumId="28">
    <w:nsid w:val="38437FDB"/>
    <w:multiLevelType w:val="hybridMultilevel"/>
    <w:lvl w:ilvl="0">
      <w:lvlJc w:val="left"/>
      <w:lvlText w:val="(%1)"/>
      <w:numFmt w:val="lowerLetter"/>
      <w:start w:val="2"/>
    </w:lvl>
  </w:abstractNum>
  <w:abstractNum w:abstractNumId="29">
    <w:nsid w:val="7644A45C"/>
    <w:multiLevelType w:val="hybridMultilevel"/>
    <w:lvl w:ilvl="0">
      <w:lvlJc w:val="left"/>
      <w:lvlText w:val="(%1)"/>
      <w:numFmt w:val="lowerLetter"/>
      <w:start w:val="5"/>
    </w:lvl>
  </w:abstractNum>
  <w:abstractNum w:abstractNumId="30">
    <w:nsid w:val="32FFF902"/>
    <w:multiLevelType w:val="hybridMultilevel"/>
    <w:lvl w:ilvl="0">
      <w:lvlJc w:val="left"/>
      <w:lvlText w:val="%1"/>
      <w:numFmt w:val="lowerLetter"/>
      <w:start w:val="1"/>
    </w:lvl>
    <w:lvl w:ilvl="1">
      <w:lvlJc w:val="left"/>
      <w:lvlText w:val="(%2)"/>
      <w:numFmt w:val="lowerLetter"/>
      <w:start w:val="6"/>
    </w:lvl>
  </w:abstractNum>
  <w:abstractNum w:abstractNumId="31">
    <w:nsid w:val="684A481A"/>
    <w:multiLevelType w:val="hybridMultilevel"/>
    <w:lvl w:ilvl="0">
      <w:lvlJc w:val="left"/>
      <w:lvlText w:val="(%1)"/>
      <w:numFmt w:val="lowerLetter"/>
      <w:start w:val="61"/>
    </w:lvl>
    <w:lvl w:ilvl="1">
      <w:lvlJc w:val="left"/>
      <w:lvlText w:val="(%2)"/>
      <w:numFmt w:val="lowerLetter"/>
      <w:start w:val="7"/>
    </w:lvl>
  </w:abstractNum>
  <w:abstractNum w:abstractNumId="32">
    <w:nsid w:val="579478FE"/>
    <w:multiLevelType w:val="hybridMultilevel"/>
    <w:lvl w:ilvl="0">
      <w:lvlJc w:val="left"/>
      <w:lvlText w:val="(%1)"/>
      <w:numFmt w:val="lowerLetter"/>
      <w:start w:val="9"/>
    </w:lvl>
  </w:abstractNum>
  <w:abstractNum w:abstractNumId="33">
    <w:nsid w:val="749ABB43"/>
    <w:multiLevelType w:val="hybridMultilevel"/>
    <w:lvl w:ilvl="0">
      <w:lvlJc w:val="left"/>
      <w:lvlText w:val="%1"/>
      <w:numFmt w:val="decimal"/>
      <w:start w:val="1"/>
    </w:lvl>
    <w:lvl w:ilvl="1">
      <w:lvlJc w:val="left"/>
      <w:lvlText w:val="(%2)"/>
      <w:numFmt w:val="lowerLetter"/>
      <w:start w:val="15"/>
    </w:lvl>
  </w:abstractNum>
  <w:abstractNum w:abstractNumId="34">
    <w:nsid w:val="3DC240FB"/>
    <w:multiLevelType w:val="hybridMultilevel"/>
    <w:lvl w:ilvl="0">
      <w:lvlJc w:val="left"/>
      <w:lvlText w:val="%1."/>
      <w:numFmt w:val="decimal"/>
      <w:start w:val="5"/>
    </w:lvl>
    <w:lvl w:ilvl="1">
      <w:lvlJc w:val="left"/>
      <w:lvlText w:val="(%2)"/>
      <w:numFmt w:val="lowerLetter"/>
      <w:start w:val="1"/>
    </w:lvl>
  </w:abstractNum>
  <w:abstractNum w:abstractNumId="35">
    <w:nsid w:val="1BA026FA"/>
    <w:multiLevelType w:val="hybridMultilevel"/>
    <w:lvl w:ilvl="0">
      <w:lvlJc w:val="left"/>
      <w:lvlText w:val="(%1)"/>
      <w:numFmt w:val="lowerLetter"/>
      <w:start w:val="2"/>
    </w:lvl>
  </w:abstractNum>
  <w:abstractNum w:abstractNumId="36">
    <w:nsid w:val="79A1DEAA"/>
    <w:multiLevelType w:val="hybridMultilevel"/>
    <w:lvl w:ilvl="0">
      <w:lvlJc w:val="left"/>
      <w:lvlText w:val="(%1)"/>
      <w:numFmt w:val="lowerLetter"/>
      <w:start w:val="6"/>
    </w:lvl>
  </w:abstractNum>
  <w:abstractNum w:abstractNumId="37">
    <w:nsid w:val="75C6C33A"/>
    <w:multiLevelType w:val="hybridMultilevel"/>
    <w:lvl w:ilvl="0">
      <w:lvlJc w:val="left"/>
      <w:lvlText w:val="(%1)"/>
      <w:numFmt w:val="lowerLetter"/>
      <w:start w:val="13"/>
    </w:lvl>
  </w:abstractNum>
  <w:abstractNum w:abstractNumId="38">
    <w:nsid w:val="12E685FB"/>
    <w:multiLevelType w:val="hybridMultilevel"/>
    <w:lvl w:ilvl="0">
      <w:lvlJc w:val="left"/>
      <w:lvlText w:val="%1."/>
      <w:numFmt w:val="decimal"/>
      <w:start w:val="7"/>
    </w:lvl>
  </w:abstractNum>
  <w:abstractNum w:abstractNumId="39">
    <w:nsid w:val="70C6A529"/>
    <w:multiLevelType w:val="hybridMultilevel"/>
    <w:lvl w:ilvl="0">
      <w:lvlJc w:val="left"/>
      <w:lvlText w:val="%1"/>
      <w:numFmt w:val="lowerLetter"/>
      <w:start w:val="1"/>
    </w:lvl>
    <w:lvl w:ilvl="1">
      <w:lvlJc w:val="left"/>
      <w:lvlText w:val="(%2)"/>
      <w:numFmt w:val="lowerLetter"/>
      <w:start w:val="1"/>
    </w:lvl>
  </w:abstractNum>
  <w:abstractNum w:abstractNumId="40">
    <w:nsid w:val="520EEDD1"/>
    <w:multiLevelType w:val="hybridMultilevel"/>
    <w:lvl w:ilvl="0">
      <w:lvlJc w:val="left"/>
      <w:lvlText w:val="(%1)"/>
      <w:numFmt w:val="lowerLetter"/>
      <w:start w:val="35"/>
    </w:lvl>
    <w:lvl w:ilvl="1">
      <w:lvlJc w:val="left"/>
      <w:lvlText w:val="(%2)"/>
      <w:numFmt w:val="lowerLetter"/>
      <w:start w:val="2"/>
    </w:lvl>
  </w:abstractNum>
  <w:abstractNum w:abstractNumId="41">
    <w:nsid w:val="374A3FE6"/>
    <w:multiLevelType w:val="hybridMultilevel"/>
    <w:lvl w:ilvl="0">
      <w:lvlJc w:val="left"/>
      <w:lvlText w:val="%1"/>
      <w:numFmt w:val="lowerLetter"/>
      <w:start w:val="1"/>
    </w:lvl>
    <w:lvl w:ilvl="1">
      <w:lvlJc w:val="left"/>
      <w:lvlText w:val="(%2)"/>
      <w:numFmt w:val="lowerLetter"/>
      <w:start w:val="3"/>
    </w:lvl>
  </w:abstractNum>
  <w:abstractNum w:abstractNumId="42">
    <w:nsid w:val="4F4EF005"/>
    <w:multiLevelType w:val="hybridMultilevel"/>
    <w:lvl w:ilvl="0">
      <w:lvlJc w:val="left"/>
      <w:lvlText w:val="(%1)"/>
      <w:numFmt w:val="lowerLetter"/>
      <w:start w:val="35"/>
    </w:lvl>
    <w:lvl w:ilvl="1">
      <w:lvlJc w:val="left"/>
      <w:lvlText w:val="%2"/>
      <w:numFmt w:val="lowerLetter"/>
      <w:start w:val="1"/>
    </w:lvl>
  </w:abstractNum>
  <w:abstractNum w:abstractNumId="43">
    <w:nsid w:val="23F9C13C"/>
    <w:multiLevelType w:val="hybridMultilevel"/>
    <w:lvl w:ilvl="0">
      <w:lvlJc w:val="left"/>
      <w:lvlText w:val="(%1)"/>
      <w:numFmt w:val="lowerLetter"/>
      <w:start w:val="4"/>
    </w:lvl>
  </w:abstractNum>
  <w:abstractNum w:abstractNumId="44">
    <w:nsid w:val="649BB77C"/>
    <w:multiLevelType w:val="hybridMultilevel"/>
    <w:lvl w:ilvl="0">
      <w:lvlJc w:val="left"/>
      <w:lvlText w:val="%1"/>
      <w:numFmt w:val="lowerLetter"/>
      <w:start w:val="1"/>
    </w:lvl>
    <w:lvl w:ilvl="1">
      <w:lvlJc w:val="left"/>
      <w:lvlText w:val="(%2)"/>
      <w:numFmt w:val="lowerLetter"/>
      <w:start w:val="5"/>
    </w:lvl>
  </w:abstractNum>
  <w:abstractNum w:abstractNumId="45">
    <w:nsid w:val="275AC794"/>
    <w:multiLevelType w:val="hybridMultilevel"/>
    <w:lvl w:ilvl="0">
      <w:lvlJc w:val="left"/>
      <w:lvlText w:val="(%1)"/>
      <w:numFmt w:val="lowerLetter"/>
      <w:start w:val="4"/>
    </w:lvl>
    <w:lvl w:ilvl="1">
      <w:lvlJc w:val="left"/>
      <w:lvlText w:val="(%2)"/>
      <w:numFmt w:val="lowerLetter"/>
      <w:start w:val="6"/>
    </w:lvl>
  </w:abstractNum>
  <w:abstractNum w:abstractNumId="46">
    <w:nsid w:val="39386575"/>
    <w:multiLevelType w:val="hybridMultilevel"/>
    <w:lvl w:ilvl="0">
      <w:lvlJc w:val="left"/>
      <w:lvlText w:val="%1"/>
      <w:numFmt w:val="lowerRoman"/>
      <w:start w:val="1"/>
    </w:lvl>
    <w:lvl w:ilvl="1">
      <w:lvlJc w:val="left"/>
      <w:lvlText w:val="%2."/>
      <w:numFmt w:val="decimal"/>
      <w:start w:val="8"/>
    </w:lvl>
  </w:abstractNum>
  <w:abstractNum w:abstractNumId="47">
    <w:nsid w:val="1CF10FD8"/>
    <w:multiLevelType w:val="hybridMultilevel"/>
    <w:lvl w:ilvl="0">
      <w:lvlJc w:val="left"/>
      <w:lvlText w:val="(%1)"/>
      <w:numFmt w:val="lowerRoman"/>
      <w:start w:val="1"/>
    </w:lvl>
    <w:lvl w:ilvl="1">
      <w:lvlJc w:val="left"/>
      <w:lvlText w:val="%2."/>
      <w:numFmt w:val="decimal"/>
      <w:start w:val="10"/>
    </w:lvl>
  </w:abstractNum>
  <w:abstractNum w:abstractNumId="48">
    <w:nsid w:val="180115BE"/>
    <w:multiLevelType w:val="hybridMultilevel"/>
    <w:lvl w:ilvl="0">
      <w:lvlJc w:val="left"/>
      <w:lvlText w:val="(%1)"/>
      <w:numFmt w:val="lowerLetter"/>
      <w:start w:val="1"/>
    </w:lvl>
  </w:abstractNum>
  <w:abstractNum w:abstractNumId="49">
    <w:nsid w:val="235BA861"/>
    <w:multiLevelType w:val="hybridMultilevel"/>
    <w:lvl w:ilvl="0">
      <w:lvlJc w:val="left"/>
      <w:lvlText w:val="(%1)"/>
      <w:numFmt w:val="lowerLetter"/>
      <w:start w:val="2"/>
    </w:lvl>
  </w:abstractNum>
  <w:abstractNum w:abstractNumId="50">
    <w:nsid w:val="47398C89"/>
    <w:multiLevelType w:val="hybridMultilevel"/>
    <w:lvl w:ilvl="0">
      <w:lvlJc w:val="left"/>
      <w:lvlText w:val="%1."/>
      <w:numFmt w:val="decimal"/>
      <w:start w:val="11"/>
    </w:lvl>
  </w:abstractNum>
  <w:abstractNum w:abstractNumId="51">
    <w:nsid w:val="354FE9F9"/>
    <w:multiLevelType w:val="hybridMultilevel"/>
    <w:lvl w:ilvl="0">
      <w:lvlJc w:val="left"/>
      <w:lvlText w:val="(%1)"/>
      <w:numFmt w:val="lowerLetter"/>
      <w:start w:val="1"/>
    </w:lvl>
  </w:abstractNum>
  <w:abstractNum w:abstractNumId="52">
    <w:nsid w:val="15B5AF5C"/>
    <w:multiLevelType w:val="hybridMultilevel"/>
    <w:lvl w:ilvl="0">
      <w:lvlJc w:val="left"/>
      <w:lvlText w:val="(%1)"/>
      <w:numFmt w:val="lowerLetter"/>
      <w:start w:val="2"/>
    </w:lvl>
  </w:abstractNum>
  <w:abstractNum w:abstractNumId="53">
    <w:nsid w:val="741226BB"/>
    <w:multiLevelType w:val="hybridMultilevel"/>
    <w:lvl w:ilvl="0">
      <w:lvlJc w:val="left"/>
      <w:lvlText w:val="%1."/>
      <w:numFmt w:val="decimal"/>
      <w:start w:val="12"/>
    </w:lvl>
  </w:abstractNum>
  <w:abstractNum w:abstractNumId="54">
    <w:nsid w:val="D34B6A8"/>
    <w:multiLevelType w:val="hybridMultilevel"/>
    <w:lvl w:ilvl="0">
      <w:lvlJc w:val="left"/>
      <w:lvlText w:val="%1."/>
      <w:numFmt w:val="decimal"/>
      <w:start w:val="15"/>
    </w:lvl>
  </w:abstractNum>
  <w:abstractNum w:abstractNumId="55">
    <w:nsid w:val="10233C99"/>
    <w:multiLevelType w:val="hybridMultilevel"/>
    <w:lvl w:ilvl="0">
      <w:lvlJc w:val="left"/>
      <w:lvlText w:val="(%1)"/>
      <w:numFmt w:val="lowerLetter"/>
      <w:start w:val="1"/>
    </w:lvl>
    <w:lvl w:ilvl="1">
      <w:lvlJc w:val="left"/>
      <w:lvlText w:val="(%2)"/>
      <w:numFmt w:val="lowerRoman"/>
      <w:start w:val="1"/>
    </w:lvl>
  </w:abstractNum>
  <w:abstractNum w:abstractNumId="56">
    <w:nsid w:val="3F6AB60F"/>
    <w:multiLevelType w:val="hybridMultilevel"/>
    <w:lvl w:ilvl="0">
      <w:lvlJc w:val="left"/>
      <w:lvlText w:val="(%1)"/>
      <w:numFmt w:val="lowerRoman"/>
      <w:start w:val="1"/>
    </w:lvl>
  </w:abstractNum>
  <w:abstractNum w:abstractNumId="57">
    <w:nsid w:val="61574095"/>
    <w:multiLevelType w:val="hybridMultilevel"/>
    <w:lvl w:ilvl="0">
      <w:lvlJc w:val="left"/>
      <w:lvlText w:val="%1"/>
      <w:numFmt w:val="lowerLetter"/>
      <w:start w:val="1"/>
    </w:lvl>
    <w:lvl w:ilvl="1">
      <w:lvlJc w:val="left"/>
      <w:lvlText w:val="(%2)"/>
      <w:numFmt w:val="lowerLetter"/>
      <w:start w:val="35"/>
    </w:lvl>
  </w:abstractNum>
  <w:abstractNum w:abstractNumId="58">
    <w:nsid w:val="7E0C57B1"/>
    <w:multiLevelType w:val="hybridMultilevel"/>
    <w:lvl w:ilvl="0">
      <w:lvlJc w:val="left"/>
      <w:lvlText w:val="(%1)"/>
      <w:numFmt w:val="lowerLetter"/>
      <w:start w:val="5"/>
    </w:lvl>
    <w:lvl w:ilvl="1">
      <w:lvlJc w:val="left"/>
      <w:lvlText w:val="%2"/>
      <w:numFmt w:val="lowerLetter"/>
      <w:start w:val="1"/>
    </w:lvl>
  </w:abstractNum>
  <w:abstractNum w:abstractNumId="59">
    <w:nsid w:val="77AE35EB"/>
    <w:multiLevelType w:val="hybridMultilevel"/>
    <w:lvl w:ilvl="0">
      <w:lvlJc w:val="left"/>
      <w:lvlText w:val="%1."/>
      <w:numFmt w:val="lowerLetter"/>
      <w:start w:val="1"/>
    </w:lvl>
  </w:abstractNum>
  <w:abstractNum w:abstractNumId="60">
    <w:nsid w:val="579BE4F1"/>
    <w:multiLevelType w:val="hybridMultilevel"/>
    <w:lvl w:ilvl="0">
      <w:lvlJc w:val="left"/>
      <w:lvlText w:val="(%1)"/>
      <w:numFmt w:val="decimal"/>
      <w:start w:val="4"/>
    </w:lvl>
  </w:abstractNum>
  <w:abstractNum w:abstractNumId="61">
    <w:nsid w:val="310C50B3"/>
    <w:multiLevelType w:val="hybridMultilevel"/>
    <w:lvl w:ilvl="0">
      <w:lvlJc w:val="left"/>
      <w:lvlText w:val="(%1)"/>
      <w:numFmt w:val="lowerLetter"/>
      <w:start w:val="1"/>
    </w:lvl>
    <w:lvl w:ilvl="1">
      <w:lvlJc w:val="left"/>
      <w:lvlText w:val="(%2)"/>
      <w:numFmt w:val="lowerRoman"/>
      <w:start w:val="1"/>
    </w:lvl>
  </w:abstractNum>
  <w:abstractNum w:abstractNumId="62">
    <w:nsid w:val="5FF87E05"/>
    <w:multiLevelType w:val="hybridMultilevel"/>
    <w:lvl w:ilvl="0">
      <w:lvlJc w:val="left"/>
      <w:lvlText w:val="%1"/>
      <w:numFmt w:val="upperLetter"/>
      <w:start w:val="1"/>
    </w:lvl>
    <w:lvl w:ilvl="1">
      <w:lvlJc w:val="left"/>
      <w:lvlText w:val="(%2)"/>
      <w:numFmt w:val="lowerRoman"/>
      <w:start w:val="5"/>
    </w:lvl>
  </w:abstractNum>
  <w:abstractNum w:abstractNumId="63">
    <w:nsid w:val="2F305DEF"/>
    <w:multiLevelType w:val="hybridMultilevel"/>
    <w:lvl w:ilvl="0">
      <w:lvlJc w:val="left"/>
      <w:lvlText w:val="(%1)"/>
      <w:numFmt w:val="upperLetter"/>
      <w:start w:val="2"/>
    </w:lvl>
    <w:lvl w:ilvl="1">
      <w:lvlJc w:val="left"/>
      <w:lvlText w:val="(%2)"/>
      <w:numFmt w:val="lowerRoman"/>
      <w:start w:val="7"/>
    </w:lvl>
  </w:abstractNum>
  <w:abstractNum w:abstractNumId="64">
    <w:nsid w:val="25A70BF7"/>
    <w:multiLevelType w:val="hybridMultilevel"/>
    <w:lvl w:ilvl="0">
      <w:lvlJc w:val="left"/>
      <w:lvlText w:val="(%1)"/>
      <w:numFmt w:val="lowerLetter"/>
      <w:start w:val="2"/>
    </w:lvl>
  </w:abstractNum>
  <w:abstractNum w:abstractNumId="65">
    <w:nsid w:val="1DBABF00"/>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2026-05-21T16:40:52Z</dcterms:created>
  <dcterms:modified xsi:type="dcterms:W3CDTF">2026-05-21T16:40:52Z</dcterms:modified>
</cp:coreProperties>
</file>