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Registration Statement No. 333-281308</w:t>
      </w:r>
    </w:p>
    <w:p>
      <w:pPr>
        <w:spacing w:after="0" w:line="10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(to Prospectus dated August 6, 2024)</w:t>
      </w:r>
    </w:p>
    <w:p>
      <w:pPr>
        <w:spacing w:after="0" w:line="13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22,916,667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142240</wp:posOffset>
            </wp:positionV>
            <wp:extent cx="1275080" cy="500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5080" cy="500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188595</wp:posOffset>
            </wp:positionV>
            <wp:extent cx="11417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color w:val="auto"/>
        </w:rPr>
        <w:t>We are offering 22,916,667 shares of our common stock.</w:t>
      </w:r>
    </w:p>
    <w:p>
      <w:pPr>
        <w:spacing w:after="0" w:line="175" w:lineRule="exact"/>
        <w:rPr>
          <w:sz w:val="24"/>
          <w:szCs w:val="24"/>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“RLAY”. The last sale price as reported on The Nasdaq Global Market on May 15, 2026, was $12.20 per share.</w:t>
      </w:r>
    </w:p>
    <w:p>
      <w:pPr>
        <w:spacing w:after="0" w:line="11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Investing in our common stock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S-9 of this prospectus supplement.</w:t>
      </w:r>
    </w:p>
    <w:p>
      <w:pPr>
        <w:spacing w:after="0" w:line="170" w:lineRule="exact"/>
        <w:rPr>
          <w:sz w:val="24"/>
          <w:szCs w:val="24"/>
          <w:color w:val="auto"/>
        </w:rPr>
      </w:pPr>
    </w:p>
    <w:p>
      <w:pPr>
        <w:jc w:val="both"/>
        <w:ind w:left="1360" w:right="299"/>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52" w:lineRule="exact"/>
        <w:rPr>
          <w:sz w:val="24"/>
          <w:szCs w:val="24"/>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20" w:type="dxa"/>
            <w:vAlign w:val="bottom"/>
          </w:tcPr>
          <w:p>
            <w:pPr>
              <w:spacing w:after="0"/>
              <w:rPr>
                <w:sz w:val="13"/>
                <w:szCs w:val="13"/>
                <w:color w:val="auto"/>
              </w:rPr>
            </w:pPr>
          </w:p>
        </w:tc>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Initial price to public</w:t>
            </w:r>
          </w:p>
        </w:tc>
        <w:tc>
          <w:tcPr>
            <w:tcW w:w="1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12.00</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275,000,004.00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Underwriting discount</w:t>
            </w:r>
            <w:r>
              <w:rPr>
                <w:rFonts w:ascii="Times New Roman" w:cs="Times New Roman" w:eastAsia="Times New Roman" w:hAnsi="Times New Roman"/>
                <w:sz w:val="19"/>
                <w:szCs w:val="19"/>
                <w:color w:val="auto"/>
                <w:vertAlign w:val="superscript"/>
              </w:rPr>
              <w:t>(1)</w:t>
            </w:r>
          </w:p>
        </w:tc>
        <w:tc>
          <w:tcPr>
            <w:tcW w:w="150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16,500,000.24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15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258,500,003.76</w:t>
            </w:r>
          </w:p>
        </w:tc>
        <w:tc>
          <w:tcPr>
            <w:tcW w:w="40" w:type="dxa"/>
            <w:vAlign w:val="bottom"/>
            <w:shd w:val="clear" w:color="auto" w:fill="CCEEFF"/>
          </w:tcPr>
          <w:p>
            <w:pPr>
              <w:spacing w:after="0"/>
              <w:rPr>
                <w:sz w:val="14"/>
                <w:szCs w:val="14"/>
                <w:color w:val="auto"/>
              </w:rPr>
            </w:pPr>
          </w:p>
        </w:tc>
      </w:tr>
    </w:tbl>
    <w:p>
      <w:pPr>
        <w:spacing w:after="0" w:line="175" w:lineRule="exact"/>
        <w:rPr>
          <w:sz w:val="24"/>
          <w:szCs w:val="24"/>
          <w:color w:val="auto"/>
        </w:rPr>
      </w:pPr>
    </w:p>
    <w:p>
      <w:pPr>
        <w:ind w:left="1700" w:right="779" w:hanging="345"/>
        <w:spacing w:after="0" w:line="283" w:lineRule="auto"/>
        <w:tabs>
          <w:tab w:leader="none" w:pos="1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S-29 of this prospectus supplement for additional information regarding underwriting compensation.</w:t>
      </w:r>
    </w:p>
    <w:p>
      <w:pPr>
        <w:spacing w:after="0" w:line="125" w:lineRule="exact"/>
        <w:rPr>
          <w:sz w:val="24"/>
          <w:szCs w:val="24"/>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We have granted the underwriters a 30-day option to purchase up to an additional 3,437,500 shares of our common stock from us at the public offering price, less the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161925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9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underwriters expect to deliver the shares on or about May 22, 2026.</w:t>
      </w:r>
    </w:p>
    <w:p>
      <w:pPr>
        <w:spacing w:after="0" w:line="17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275" w:lineRule="exact"/>
        <w:rPr>
          <w:sz w:val="24"/>
          <w:szCs w:val="24"/>
          <w:color w:val="auto"/>
        </w:rPr>
      </w:pPr>
    </w:p>
    <w:p>
      <w:pPr>
        <w:ind w:left="1360"/>
        <w:spacing w:after="0"/>
        <w:tabs>
          <w:tab w:leader="none" w:pos="2860" w:val="left"/>
          <w:tab w:leader="none" w:pos="4860" w:val="left"/>
          <w:tab w:leader="none" w:pos="7980" w:val="left"/>
        </w:tabs>
        <w:rPr>
          <w:sz w:val="20"/>
          <w:szCs w:val="20"/>
          <w:color w:val="auto"/>
        </w:rPr>
      </w:pPr>
      <w:r>
        <w:rPr>
          <w:rFonts w:ascii="Times New Roman" w:cs="Times New Roman" w:eastAsia="Times New Roman" w:hAnsi="Times New Roman"/>
          <w:sz w:val="20"/>
          <w:szCs w:val="20"/>
          <w:b w:val="1"/>
          <w:bCs w:val="1"/>
          <w:color w:val="auto"/>
        </w:rPr>
        <w:t>Jefferies</w:t>
      </w:r>
      <w:r>
        <w:rPr>
          <w:sz w:val="20"/>
          <w:szCs w:val="20"/>
          <w:color w:val="auto"/>
        </w:rPr>
        <w:tab/>
      </w:r>
      <w:r>
        <w:rPr>
          <w:rFonts w:ascii="Times New Roman" w:cs="Times New Roman" w:eastAsia="Times New Roman" w:hAnsi="Times New Roman"/>
          <w:sz w:val="20"/>
          <w:szCs w:val="20"/>
          <w:b w:val="1"/>
          <w:bCs w:val="1"/>
          <w:color w:val="auto"/>
        </w:rPr>
        <w:t>TD Cowen</w:t>
      </w:r>
      <w:r>
        <w:rPr>
          <w:sz w:val="20"/>
          <w:szCs w:val="20"/>
          <w:color w:val="auto"/>
        </w:rPr>
        <w:tab/>
      </w:r>
      <w:r>
        <w:rPr>
          <w:rFonts w:ascii="Times New Roman" w:cs="Times New Roman" w:eastAsia="Times New Roman" w:hAnsi="Times New Roman"/>
          <w:sz w:val="20"/>
          <w:szCs w:val="20"/>
          <w:b w:val="1"/>
          <w:bCs w:val="1"/>
          <w:color w:val="auto"/>
        </w:rPr>
        <w:t>Goldman Sachs &amp; Co. LLC</w:t>
      </w:r>
      <w:r>
        <w:rPr>
          <w:sz w:val="20"/>
          <w:szCs w:val="20"/>
          <w:color w:val="auto"/>
        </w:rPr>
        <w:tab/>
      </w:r>
      <w:r>
        <w:rPr>
          <w:rFonts w:ascii="Times New Roman" w:cs="Times New Roman" w:eastAsia="Times New Roman" w:hAnsi="Times New Roman"/>
          <w:sz w:val="19"/>
          <w:szCs w:val="19"/>
          <w:b w:val="1"/>
          <w:bCs w:val="1"/>
          <w:color w:val="auto"/>
        </w:rPr>
        <w:t>Guggenheim Securities</w:t>
      </w:r>
    </w:p>
    <w:p>
      <w:pPr>
        <w:spacing w:after="0" w:line="175"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b w:val="1"/>
          <w:bCs w:val="1"/>
          <w:i w:val="1"/>
          <w:iCs w:val="1"/>
          <w:color w:val="auto"/>
        </w:rPr>
        <w:t>Lead Manager</w:t>
      </w:r>
    </w:p>
    <w:p>
      <w:pPr>
        <w:spacing w:after="0" w:line="27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Raymond James</w:t>
      </w:r>
    </w:p>
    <w:p>
      <w:pPr>
        <w:spacing w:after="0" w:line="17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Prospectus Supplement dated May 20, 2026</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822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98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6240" w:type="dxa"/>
            <w:vAlign w:val="bottom"/>
            <w:gridSpan w:val="5"/>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2"/>
        </w:trPr>
        <w:tc>
          <w:tcPr>
            <w:tcW w:w="1980" w:type="dxa"/>
            <w:vAlign w:val="bottom"/>
            <w:tcBorders>
              <w:bottom w:val="single" w:sz="8" w:color="0000EE"/>
            </w:tcBorders>
            <w:gridSpan w:val="17"/>
            <w:vMerge w:val="continue"/>
          </w:tcPr>
          <w:p>
            <w:pPr>
              <w:spacing w:after="0"/>
              <w:rPr>
                <w:sz w:val="11"/>
                <w:szCs w:val="11"/>
                <w:color w:val="auto"/>
              </w:rPr>
            </w:pPr>
          </w:p>
        </w:tc>
        <w:tc>
          <w:tcPr>
            <w:tcW w:w="6240" w:type="dxa"/>
            <w:vAlign w:val="bottom"/>
            <w:gridSpan w:val="5"/>
            <w:vMerge w:val="continue"/>
          </w:tcPr>
          <w:p>
            <w:pPr>
              <w:spacing w:after="0"/>
              <w:rPr>
                <w:sz w:val="11"/>
                <w:szCs w:val="11"/>
                <w:color w:val="auto"/>
              </w:rPr>
            </w:pPr>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Prospectus Supplement Summary</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w:t>
            </w:r>
          </w:p>
        </w:tc>
        <w:tc>
          <w:tcPr>
            <w:tcW w:w="0" w:type="dxa"/>
            <w:vAlign w:val="bottom"/>
          </w:tcPr>
          <w:p>
            <w:pPr>
              <w:spacing w:after="0"/>
              <w:rPr>
                <w:sz w:val="1"/>
                <w:szCs w:val="1"/>
                <w:color w:val="auto"/>
              </w:rPr>
            </w:pPr>
          </w:p>
        </w:tc>
      </w:tr>
      <w:tr>
        <w:trPr>
          <w:trHeight w:val="148"/>
        </w:trPr>
        <w:tc>
          <w:tcPr>
            <w:tcW w:w="1880" w:type="dxa"/>
            <w:vAlign w:val="bottom"/>
            <w:tcBorders>
              <w:top w:val="single" w:sz="8" w:color="0000EE"/>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The Offering</w:t>
            </w:r>
          </w:p>
        </w:tc>
        <w:tc>
          <w:tcPr>
            <w:tcW w:w="6340" w:type="dxa"/>
            <w:vAlign w:val="bottom"/>
            <w:gridSpan w:val="6"/>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148"/>
        </w:trPr>
        <w:tc>
          <w:tcPr>
            <w:tcW w:w="700" w:type="dxa"/>
            <w:vAlign w:val="bottom"/>
            <w:tcBorders>
              <w:top w:val="single" w:sz="8" w:color="0000EE"/>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20" w:type="dxa"/>
            <w:vAlign w:val="bottom"/>
            <w:tcBorders>
              <w:top w:val="single" w:sz="8" w:color="0000EE"/>
            </w:tcBorders>
          </w:tcPr>
          <w:p>
            <w:pPr>
              <w:spacing w:after="0"/>
              <w:rPr>
                <w:sz w:val="12"/>
                <w:szCs w:val="12"/>
                <w:color w:val="auto"/>
              </w:rPr>
            </w:pPr>
          </w:p>
        </w:tc>
        <w:tc>
          <w:tcPr>
            <w:tcW w:w="7500" w:type="dxa"/>
            <w:vAlign w:val="bottom"/>
            <w:gridSpan w:val="19"/>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S-9</w:t>
            </w:r>
          </w:p>
        </w:tc>
        <w:tc>
          <w:tcPr>
            <w:tcW w:w="0" w:type="dxa"/>
            <w:vAlign w:val="bottom"/>
          </w:tcPr>
          <w:p>
            <w:pPr>
              <w:spacing w:after="0"/>
              <w:rPr>
                <w:sz w:val="1"/>
                <w:szCs w:val="1"/>
                <w:color w:val="auto"/>
              </w:rPr>
            </w:pPr>
          </w:p>
        </w:tc>
      </w:tr>
      <w:tr>
        <w:trPr>
          <w:trHeight w:val="148"/>
        </w:trPr>
        <w:tc>
          <w:tcPr>
            <w:tcW w:w="3520" w:type="dxa"/>
            <w:vAlign w:val="bottom"/>
            <w:tcBorders>
              <w:bottom w:val="single" w:sz="8" w:color="0000EE"/>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EE"/>
                <w:w w:val="99"/>
              </w:rPr>
              <w:t>Cautionary Statement Regarding Forward-Looking Statements</w:t>
            </w:r>
          </w:p>
        </w:tc>
        <w:tc>
          <w:tcPr>
            <w:tcW w:w="4700" w:type="dxa"/>
            <w:vAlign w:val="bottom"/>
            <w:gridSpan w:val="2"/>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8"/>
              </w:rPr>
              <w:t>Dividend Policy</w:t>
            </w:r>
          </w:p>
        </w:tc>
        <w:tc>
          <w:tcPr>
            <w:tcW w:w="7300" w:type="dxa"/>
            <w:vAlign w:val="bottom"/>
            <w:gridSpan w:val="14"/>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S-18</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Dilution</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S-19</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6620" w:type="dxa"/>
            <w:vAlign w:val="bottom"/>
            <w:gridSpan w:val="8"/>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Certain Material U.S. Federal Income Tax Considerations for Non-U.S. Holders of Common Stock</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S-25</w:t>
            </w:r>
          </w:p>
        </w:tc>
        <w:tc>
          <w:tcPr>
            <w:tcW w:w="0" w:type="dxa"/>
            <w:vAlign w:val="bottom"/>
          </w:tcPr>
          <w:p>
            <w:pPr>
              <w:spacing w:after="0"/>
              <w:rPr>
                <w:sz w:val="1"/>
                <w:szCs w:val="1"/>
                <w:color w:val="auto"/>
              </w:rPr>
            </w:pPr>
          </w:p>
        </w:tc>
      </w:tr>
      <w:tr>
        <w:trPr>
          <w:trHeight w:val="148"/>
        </w:trPr>
        <w:tc>
          <w:tcPr>
            <w:tcW w:w="5540" w:type="dxa"/>
            <w:vAlign w:val="bottom"/>
            <w:tcBorders>
              <w:top w:val="single" w:sz="8" w:color="0000EE"/>
            </w:tcBorders>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Underwriting</w:t>
            </w:r>
          </w:p>
        </w:tc>
        <w:tc>
          <w:tcPr>
            <w:tcW w:w="2680" w:type="dxa"/>
            <w:vAlign w:val="bottom"/>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tcBorders>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7440" w:type="dxa"/>
            <w:vAlign w:val="bottom"/>
            <w:gridSpan w:val="17"/>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S-37</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S-37</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S-37</w:t>
            </w:r>
          </w:p>
        </w:tc>
        <w:tc>
          <w:tcPr>
            <w:tcW w:w="0" w:type="dxa"/>
            <w:vAlign w:val="bottom"/>
          </w:tcPr>
          <w:p>
            <w:pPr>
              <w:spacing w:after="0"/>
              <w:rPr>
                <w:sz w:val="1"/>
                <w:szCs w:val="1"/>
                <w:color w:val="auto"/>
              </w:rPr>
            </w:pPr>
          </w:p>
        </w:tc>
      </w:tr>
      <w:tr>
        <w:trPr>
          <w:trHeight w:val="148"/>
        </w:trPr>
        <w:tc>
          <w:tcPr>
            <w:tcW w:w="1540" w:type="dxa"/>
            <w:vAlign w:val="bottom"/>
            <w:tcBorders>
              <w:top w:val="single" w:sz="8" w:color="0000EE"/>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tcBorders>
              <w:top w:val="single" w:sz="8" w:color="0000EE"/>
            </w:tcBorders>
            <w:gridSpan w:val="5"/>
          </w:tcPr>
          <w:p>
            <w:pPr>
              <w:spacing w:after="0"/>
              <w:rPr>
                <w:sz w:val="12"/>
                <w:szCs w:val="12"/>
                <w:color w:val="auto"/>
              </w:rPr>
            </w:pPr>
          </w:p>
        </w:tc>
        <w:tc>
          <w:tcPr>
            <w:tcW w:w="6000" w:type="dxa"/>
            <w:vAlign w:val="bottom"/>
            <w:gridSpan w:val="4"/>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S-38</w:t>
            </w:r>
          </w:p>
        </w:tc>
        <w:tc>
          <w:tcPr>
            <w:tcW w:w="0" w:type="dxa"/>
            <w:vAlign w:val="bottom"/>
          </w:tcPr>
          <w:p>
            <w:pPr>
              <w:spacing w:after="0"/>
              <w:rPr>
                <w:sz w:val="1"/>
                <w:szCs w:val="1"/>
                <w:color w:val="auto"/>
              </w:rPr>
            </w:pPr>
          </w:p>
        </w:tc>
      </w:tr>
      <w:tr>
        <w:trPr>
          <w:trHeight w:val="348"/>
        </w:trPr>
        <w:tc>
          <w:tcPr>
            <w:tcW w:w="822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8"/>
              </w:rPr>
              <w:t>About This Prospectus</w:t>
            </w:r>
          </w:p>
        </w:tc>
        <w:tc>
          <w:tcPr>
            <w:tcW w:w="694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70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7520" w:type="dxa"/>
            <w:vAlign w:val="bottom"/>
            <w:gridSpan w:val="20"/>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520" w:type="dxa"/>
            <w:vAlign w:val="bottom"/>
            <w:tcBorders>
              <w:bottom w:val="single" w:sz="8" w:color="0000EE"/>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EE"/>
                <w:w w:val="99"/>
              </w:rPr>
              <w:t>Cautionary Statement Regarding Forward-Looking Statements</w:t>
            </w:r>
          </w:p>
        </w:tc>
        <w:tc>
          <w:tcPr>
            <w:tcW w:w="4700" w:type="dxa"/>
            <w:vAlign w:val="bottom"/>
            <w:gridSpan w:val="2"/>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80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7"/>
              </w:rPr>
              <w:t>The Company</w:t>
            </w:r>
          </w:p>
        </w:tc>
        <w:tc>
          <w:tcPr>
            <w:tcW w:w="7420" w:type="dxa"/>
            <w:vAlign w:val="bottom"/>
            <w:gridSpan w:val="16"/>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900" w:type="dxa"/>
            <w:vAlign w:val="bottom"/>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Securities We and/or Selling Stockholders May Offer or Sell</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1600" w:type="dxa"/>
            <w:vAlign w:val="bottom"/>
            <w:tcBorders>
              <w:top w:val="single" w:sz="8" w:color="0000EE"/>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1780" w:type="dxa"/>
            <w:vAlign w:val="bottom"/>
            <w:tcBorders>
              <w:top w:val="single" w:sz="8" w:color="0000EE"/>
            </w:tcBorders>
            <w:gridSpan w:val="5"/>
          </w:tcPr>
          <w:p>
            <w:pPr>
              <w:spacing w:after="0"/>
              <w:rPr>
                <w:sz w:val="12"/>
                <w:szCs w:val="12"/>
                <w:color w:val="auto"/>
              </w:rPr>
            </w:pPr>
          </w:p>
        </w:tc>
        <w:tc>
          <w:tcPr>
            <w:tcW w:w="4840" w:type="dxa"/>
            <w:vAlign w:val="bottom"/>
            <w:gridSpan w:val="3"/>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1700" w:type="dxa"/>
            <w:vAlign w:val="bottom"/>
            <w:tcBorders>
              <w:bottom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6520" w:type="dxa"/>
            <w:vAlign w:val="bottom"/>
            <w:gridSpan w:val="7"/>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134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6880" w:type="dxa"/>
            <w:vAlign w:val="bottom"/>
            <w:gridSpan w:val="10"/>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1140" w:type="dxa"/>
            <w:vAlign w:val="bottom"/>
            <w:tcBorders>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7080" w:type="dxa"/>
            <w:vAlign w:val="bottom"/>
            <w:gridSpan w:val="12"/>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4"/>
          </w:tcPr>
          <w:p>
            <w:pPr>
              <w:spacing w:after="0"/>
              <w:rPr>
                <w:sz w:val="12"/>
                <w:szCs w:val="12"/>
                <w:color w:val="auto"/>
              </w:rPr>
            </w:pPr>
          </w:p>
        </w:tc>
        <w:tc>
          <w:tcPr>
            <w:tcW w:w="7120" w:type="dxa"/>
            <w:vAlign w:val="bottom"/>
            <w:gridSpan w:val="13"/>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66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2"/>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1540" w:type="dxa"/>
            <w:vAlign w:val="bottom"/>
            <w:tcBorders>
              <w:top w:val="single" w:sz="8" w:color="0000EE"/>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tcBorders>
              <w:top w:val="single" w:sz="8" w:color="0000EE"/>
            </w:tcBorders>
            <w:gridSpan w:val="5"/>
          </w:tcPr>
          <w:p>
            <w:pPr>
              <w:spacing w:after="0"/>
              <w:rPr>
                <w:sz w:val="12"/>
                <w:szCs w:val="12"/>
                <w:color w:val="auto"/>
              </w:rPr>
            </w:pPr>
          </w:p>
        </w:tc>
        <w:tc>
          <w:tcPr>
            <w:tcW w:w="6000" w:type="dxa"/>
            <w:vAlign w:val="bottom"/>
            <w:gridSpan w:val="4"/>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7"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3"/>
          <w:szCs w:val="13"/>
          <w:color w:val="auto"/>
        </w:rPr>
        <w:t>This document contains two parts. The first part is this prospectus supplement, which describes the specific terms of this offering of common stock and also supplements and updates information contained in the accompanying prospectus and the documents incorporated by reference into this prospectus supplement and the accompanying prospectus. The second part is the accompanying prospectus dated August 6, 2024, included in our registration statement on Form S-3ASR (File No. 333-281308), along with the documents incorporated by reference, which provides more general information, some of which may not apply to this offering. Generally, when we refer to this prospectus, we are referring to both parts of this document combined.</w:t>
      </w:r>
    </w:p>
    <w:p>
      <w:pPr>
        <w:spacing w:after="0" w:line="128"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44"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“shelf” registration statement that we filed with the SEC. Under the shelf registration process, we may offer from time to time various securities, including our common stock.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spacing w:after="0" w:line="144" w:lineRule="exact"/>
        <w:rPr>
          <w:sz w:val="20"/>
          <w:szCs w:val="20"/>
          <w:color w:val="auto"/>
        </w:rPr>
      </w:pPr>
    </w:p>
    <w:p>
      <w:pPr>
        <w:ind w:left="1360" w:right="259"/>
        <w:spacing w:after="0" w:line="278" w:lineRule="auto"/>
        <w:rPr>
          <w:sz w:val="20"/>
          <w:szCs w:val="20"/>
          <w:color w:val="auto"/>
        </w:rPr>
      </w:pPr>
      <w:r>
        <w:rPr>
          <w:rFonts w:ascii="Times New Roman" w:cs="Times New Roman" w:eastAsia="Times New Roman" w:hAnsi="Times New Roman"/>
          <w:sz w:val="13"/>
          <w:szCs w:val="13"/>
          <w:color w:val="auto"/>
        </w:rPr>
        <w:t>We are offering to sell, and seeking offers to buy, shares of our common stock only in jurisdictions where offers and sales are permitted. For investors outside the United States, we have not done anything that would permit this offering or possession or distribution of this prospectus supplement, the accompanying prospectus and in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the shares of common stock and the distribution of this prospectus supplement, the accompanying prospectus and any free writing prospectus that we have authorized for use in connection with this offering outside the United States.</w:t>
      </w:r>
    </w:p>
    <w:p>
      <w:pPr>
        <w:spacing w:after="0" w:line="13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supplement and the accompanying prospectus, along with the information contained in any free writing prospectus that we have authorized for use in connection with this offering. We have not, and the underwriters have not, authorized anyone to provide you with different or additional information. If anyone provides you with different or inconsistent information, you should not rely on it. We and the underwriters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unless we indicate otherwise. Our business, financial condition, results of operations and prospects may have changed since those dates.</w:t>
      </w:r>
    </w:p>
    <w:p>
      <w:pPr>
        <w:spacing w:after="0" w:line="145" w:lineRule="exact"/>
        <w:rPr>
          <w:sz w:val="20"/>
          <w:szCs w:val="20"/>
          <w:color w:val="auto"/>
        </w:rPr>
      </w:pPr>
    </w:p>
    <w:p>
      <w:pPr>
        <w:ind w:left="1360" w:right="679"/>
        <w:spacing w:after="0" w:line="267"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136"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Unless otherwise indicated or the context suggests otherwise, references in this prospectus supplement and the accompanying prospectus to “Relay Therapeutics,” “Relay,” the “company,” “we,” “us,” and “our,” and similar designations refer to Relay Therapeutics, Inc. and, where appropriate, our consolidated subsidiaries. When we refer to “you,” we mean the potential purchasers of our common stock in this offering.</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45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4745355"/>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5" w:lineRule="exact"/>
        <w:rPr>
          <w:sz w:val="20"/>
          <w:szCs w:val="20"/>
          <w:color w:val="auto"/>
        </w:rPr>
      </w:pPr>
    </w:p>
    <w:p>
      <w:pPr>
        <w:ind w:left="1500" w:right="399"/>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about us and this offering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our financial statements and related notes and the other information incorporated by reference into this prospectus supplement and the accompanying prospectus, and the information included in any free writing prospectus that we have authorized for use in connection with this offering, including the information referred to under the heading “Risk Factors” in this prospectus supplement beginning on page S-9 and in the documents incorporated herein by reference.</w:t>
      </w:r>
    </w:p>
    <w:p>
      <w:pPr>
        <w:spacing w:after="0" w:line="2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3" w:lineRule="exact"/>
        <w:rPr>
          <w:sz w:val="20"/>
          <w:szCs w:val="20"/>
          <w:color w:val="auto"/>
        </w:rPr>
      </w:pPr>
    </w:p>
    <w:p>
      <w:pPr>
        <w:ind w:left="1500" w:right="499"/>
        <w:spacing w:after="0" w:line="221" w:lineRule="auto"/>
        <w:rPr>
          <w:sz w:val="20"/>
          <w:szCs w:val="20"/>
          <w:color w:val="auto"/>
        </w:rPr>
      </w:pPr>
      <w:r>
        <w:rPr>
          <w:rFonts w:ascii="Times New Roman" w:cs="Times New Roman" w:eastAsia="Times New Roman" w:hAnsi="Times New Roman"/>
          <w:sz w:val="14"/>
          <w:szCs w:val="14"/>
          <w:color w:val="auto"/>
        </w:rPr>
        <w:t>We are a clinical-stage, small molecule precision medicine company developing potentially life-changing therapies for patients living with cancer and genetic disease. Our Dynamo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platform integrates an array of leading-edge computational and experimental approaches designed to drug protein targets that have previously been intractable or inadequately addressed.</w:t>
      </w:r>
    </w:p>
    <w:p>
      <w:pPr>
        <w:spacing w:after="0" w:line="154" w:lineRule="exact"/>
        <w:rPr>
          <w:sz w:val="20"/>
          <w:szCs w:val="20"/>
          <w:color w:val="auto"/>
        </w:rPr>
      </w:pPr>
    </w:p>
    <w:p>
      <w:pPr>
        <w:ind w:left="1500" w:right="419"/>
        <w:spacing w:after="0" w:line="267" w:lineRule="auto"/>
        <w:rPr>
          <w:sz w:val="20"/>
          <w:szCs w:val="20"/>
          <w:color w:val="auto"/>
        </w:rPr>
      </w:pPr>
      <w:r>
        <w:rPr>
          <w:rFonts w:ascii="Times New Roman" w:cs="Times New Roman" w:eastAsia="Times New Roman" w:hAnsi="Times New Roman"/>
          <w:sz w:val="14"/>
          <w:szCs w:val="14"/>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136" w:lineRule="exact"/>
        <w:rPr>
          <w:sz w:val="20"/>
          <w:szCs w:val="20"/>
          <w:color w:val="auto"/>
        </w:rPr>
      </w:pPr>
    </w:p>
    <w:p>
      <w:pPr>
        <w:ind w:left="1500" w:right="1099"/>
        <w:spacing w:after="0" w:line="283" w:lineRule="auto"/>
        <w:rPr>
          <w:sz w:val="20"/>
          <w:szCs w:val="20"/>
          <w:color w:val="auto"/>
        </w:rPr>
      </w:pPr>
      <w:r>
        <w:rPr>
          <w:rFonts w:ascii="Times New Roman" w:cs="Times New Roman" w:eastAsia="Times New Roman" w:hAnsi="Times New Roman"/>
          <w:sz w:val="14"/>
          <w:szCs w:val="14"/>
          <w:color w:val="auto"/>
        </w:rPr>
        <w:t>We are advancing a pipeline of medicine candidates to address targets in precision oncology and genetic disease, including zovegalisib (RLY-2608), our lead product candidate discussed below.</w:t>
      </w:r>
    </w:p>
    <w:p>
      <w:pPr>
        <w:spacing w:after="0" w:line="123" w:lineRule="exact"/>
        <w:rPr>
          <w:sz w:val="20"/>
          <w:szCs w:val="20"/>
          <w:color w:val="auto"/>
        </w:rPr>
      </w:pPr>
    </w:p>
    <w:p>
      <w:pPr>
        <w:ind w:left="1500" w:right="59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Zovegalisib (RLY-2608). </w:t>
      </w:r>
      <w:r>
        <w:rPr>
          <w:rFonts w:ascii="Times New Roman" w:cs="Times New Roman" w:eastAsia="Times New Roman" w:hAnsi="Times New Roman"/>
          <w:sz w:val="14"/>
          <w:szCs w:val="14"/>
          <w:color w:val="auto"/>
        </w:rPr>
        <w:t>Zovegalisib is the first known allosteric, pan-mutant and isoform-selective phosphoinostide 3 kinase alpha, or PI3Kα,</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inhibitor in clinical development. It is the lead program in our efforts to discover and develop mutant selective inhibitors of PI3Kα.</w:t>
      </w:r>
    </w:p>
    <w:p>
      <w:pPr>
        <w:spacing w:after="0" w:line="47" w:lineRule="exact"/>
        <w:rPr>
          <w:sz w:val="20"/>
          <w:szCs w:val="20"/>
          <w:color w:val="auto"/>
        </w:rPr>
      </w:pPr>
    </w:p>
    <w:p>
      <w:pPr>
        <w:ind w:left="2220" w:hanging="313"/>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Breast Cancer and Solid Tumors</w:t>
      </w:r>
    </w:p>
    <w:p>
      <w:pPr>
        <w:spacing w:after="0" w:line="103" w:lineRule="exact"/>
        <w:rPr>
          <w:rFonts w:ascii="Times New Roman" w:cs="Times New Roman" w:eastAsia="Times New Roman" w:hAnsi="Times New Roman"/>
          <w:sz w:val="14"/>
          <w:szCs w:val="14"/>
          <w:color w:val="auto"/>
        </w:rPr>
      </w:pPr>
    </w:p>
    <w:p>
      <w:pPr>
        <w:ind w:left="2540" w:right="579" w:hanging="307"/>
        <w:spacing w:after="0" w:line="254" w:lineRule="auto"/>
        <w:tabs>
          <w:tab w:leader="none" w:pos="254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ReDiscover Trial</w:t>
      </w:r>
      <w:r>
        <w:rPr>
          <w:rFonts w:ascii="Times New Roman" w:cs="Times New Roman" w:eastAsia="Times New Roman" w:hAnsi="Times New Roman"/>
          <w:sz w:val="14"/>
          <w:szCs w:val="14"/>
          <w:color w:val="auto"/>
        </w:rPr>
        <w:t>. In December 2021, we dosed the first patient in a first-in-human clinical trial for zovegalisib, or the ReDiscover Trial. Since then, we have predominantly focused on evaluating zovegalisib in combination with fulvestrant for patients with HR+, HER2–, PI3Kα-mutated, locally advanced or metastatic breast cancer. We are also advancing triplet combination arms with zovegalisib, fulvestrant and cyclin dependent kinase 4/6, or CDK 4/6, inhibitors, or atirmociclib, the investigative selective-CDK4 inhibitor from Pfizer Inc., or Pfizer. In the second quarter of 2025, we initiated a global Phase 3 registrational study, or the ReDiscover-2 Trial, which is designed to evaluate the safety and efficacy of zovegalisib plus fulvestrant in PI3Kα-mutated, HR+/HER2- advanced breast cancer patients previously treated with a CDK4/6 inhibitor. The comparator arm in the ReDiscover-2 Trial is capivasertib plus fulvestrant. 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w:t>
      </w:r>
    </w:p>
    <w:p>
      <w:pPr>
        <w:spacing w:after="0" w:line="70" w:lineRule="exact"/>
        <w:rPr>
          <w:rFonts w:ascii="Times New Roman" w:cs="Times New Roman" w:eastAsia="Times New Roman" w:hAnsi="Times New Roman"/>
          <w:sz w:val="14"/>
          <w:szCs w:val="14"/>
          <w:color w:val="auto"/>
        </w:rPr>
      </w:pPr>
    </w:p>
    <w:p>
      <w:pPr>
        <w:ind w:left="2540" w:right="519" w:hanging="223"/>
        <w:spacing w:after="0" w:line="267" w:lineRule="auto"/>
        <w:tabs>
          <w:tab w:leader="none" w:pos="2540" w:val="left"/>
        </w:tabs>
        <w:numPr>
          <w:ilvl w:val="2"/>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Clinical Data</w:t>
      </w:r>
      <w:r>
        <w:rPr>
          <w:rFonts w:ascii="Times New Roman" w:cs="Times New Roman" w:eastAsia="Times New Roman" w:hAnsi="Times New Roman"/>
          <w:sz w:val="14"/>
          <w:szCs w:val="14"/>
          <w:color w:val="auto"/>
        </w:rPr>
        <w:t>. In June 2025, we announced updated interim clinical data for the zovegalisib plus fulvestrant arm of the ReDiscover Trial from patients receiving the 600mg twice daily, or BID, fasted dose and in December 2025, we announced an efficacy subset analysis of interim clinical</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05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4805680"/>
                    </a:xfrm>
                    <a:prstGeom prst="rect">
                      <a:avLst/>
                    </a:prstGeom>
                    <a:noFill/>
                  </pic:spPr>
                </pic:pic>
              </a:graphicData>
            </a:graphic>
          </wp:anchor>
        </w:drawing>
      </w:r>
    </w:p>
    <w:p>
      <w:pPr>
        <w:spacing w:after="0" w:line="368" w:lineRule="exact"/>
        <w:rPr>
          <w:sz w:val="20"/>
          <w:szCs w:val="20"/>
          <w:color w:val="auto"/>
        </w:rPr>
      </w:pPr>
    </w:p>
    <w:p>
      <w:pPr>
        <w:ind w:left="2560" w:right="459"/>
        <w:spacing w:after="0" w:line="257" w:lineRule="auto"/>
        <w:rPr>
          <w:sz w:val="20"/>
          <w:szCs w:val="20"/>
          <w:color w:val="auto"/>
        </w:rPr>
      </w:pPr>
      <w:r>
        <w:rPr>
          <w:rFonts w:ascii="Times New Roman" w:cs="Times New Roman" w:eastAsia="Times New Roman" w:hAnsi="Times New Roman"/>
          <w:sz w:val="14"/>
          <w:szCs w:val="14"/>
          <w:color w:val="auto"/>
        </w:rPr>
        <w:t>data for zovegalisib at the same dose. In March 2026, we announced interim clinical data from the ReDiscover Trial of zovegalisib in combination with fulvestrant at the 400mg BID fed dose, which is the recommended Phase 3 dose in the ReDiscover-2 Trial. In April 2026, we announced interim clinical data for the zovegalisib plus atirmociclib triplet combination. We believe that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spacing w:after="0" w:line="67" w:lineRule="exact"/>
        <w:rPr>
          <w:sz w:val="20"/>
          <w:szCs w:val="20"/>
          <w:color w:val="auto"/>
        </w:rPr>
      </w:pPr>
    </w:p>
    <w:p>
      <w:pPr>
        <w:ind w:left="2220" w:hanging="313"/>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Vascular Anomalies</w:t>
      </w:r>
    </w:p>
    <w:p>
      <w:pPr>
        <w:spacing w:after="0" w:line="103" w:lineRule="exact"/>
        <w:rPr>
          <w:rFonts w:ascii="Times New Roman" w:cs="Times New Roman" w:eastAsia="Times New Roman" w:hAnsi="Times New Roman"/>
          <w:sz w:val="14"/>
          <w:szCs w:val="14"/>
          <w:color w:val="auto"/>
        </w:rPr>
      </w:pPr>
    </w:p>
    <w:p>
      <w:pPr>
        <w:ind w:left="2540" w:right="519" w:hanging="223"/>
        <w:spacing w:after="0" w:line="267" w:lineRule="auto"/>
        <w:tabs>
          <w:tab w:leader="none" w:pos="25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ReInspire Trial</w:t>
      </w:r>
      <w:r>
        <w:rPr>
          <w:rFonts w:ascii="Times New Roman" w:cs="Times New Roman" w:eastAsia="Times New Roman" w:hAnsi="Times New Roman"/>
          <w:sz w:val="14"/>
          <w:szCs w:val="14"/>
          <w:color w:val="auto"/>
        </w:rPr>
        <w:t>. In the first quarter of 2025, we initiated the global Phase 1/2 clinical trial for zovegalisib in patients with PIK3CA-related overgrowth spectrum, or PROS, and vascular anomalies driven by PIK3CA mutations, or the ReInspire Trial. Enrollment is continuing in this clinical trial.</w:t>
      </w:r>
    </w:p>
    <w:p>
      <w:pPr>
        <w:spacing w:after="0" w:line="136" w:lineRule="exact"/>
        <w:rPr>
          <w:sz w:val="20"/>
          <w:szCs w:val="20"/>
          <w:color w:val="auto"/>
        </w:rPr>
      </w:pPr>
    </w:p>
    <w:p>
      <w:pPr>
        <w:ind w:left="1500" w:right="419"/>
        <w:spacing w:after="0" w:line="267" w:lineRule="auto"/>
        <w:rPr>
          <w:sz w:val="20"/>
          <w:szCs w:val="20"/>
          <w:color w:val="auto"/>
        </w:rPr>
      </w:pPr>
      <w:r>
        <w:rPr>
          <w:rFonts w:ascii="Times New Roman" w:cs="Times New Roman" w:eastAsia="Times New Roman" w:hAnsi="Times New Roman"/>
          <w:sz w:val="14"/>
          <w:szCs w:val="14"/>
          <w:color w:val="auto"/>
        </w:rPr>
        <w:t>In addition to the programs mentioned above, we have initiated a clinical trial studying RLY-8161, our NRAS-selective inhibitor, in patients with NRAS-mutant melanoma and other NRAS-mutant solid tumors. In our research pipeline, we are advancing our non-inhibitory chaperone for Fabry disease, as well as early-stage discovery programs across both precision oncology and genetic diseases.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3" w:lineRule="exact"/>
        <w:rPr>
          <w:sz w:val="20"/>
          <w:szCs w:val="20"/>
          <w:color w:val="auto"/>
        </w:rPr>
      </w:pPr>
    </w:p>
    <w:p>
      <w:pPr>
        <w:ind w:left="1500" w:right="739"/>
        <w:spacing w:after="0" w:line="283" w:lineRule="auto"/>
        <w:rPr>
          <w:sz w:val="20"/>
          <w:szCs w:val="20"/>
          <w:color w:val="auto"/>
        </w:rPr>
      </w:pPr>
      <w:r>
        <w:rPr>
          <w:rFonts w:ascii="Times New Roman" w:cs="Times New Roman" w:eastAsia="Times New Roman" w:hAnsi="Times New Roman"/>
          <w:sz w:val="14"/>
          <w:szCs w:val="14"/>
          <w:color w:val="auto"/>
        </w:rPr>
        <w:t>On May 19, 2026, we announced initial clinical data from the ReInspire Trial. The data reported are from Part 1 of the study in the adults and adolescents cohort (patients 12 years or older), which featured randomized dose selection across three doses.</w:t>
      </w:r>
    </w:p>
    <w:p>
      <w:pPr>
        <w:spacing w:after="0" w:line="125"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As of the April 15, 2026 data cut-off date, or the Data Cut-Off Date, 32 total patients were enrolled and randomized to the following dose cohorts: N=11 at 100mg twice daily, or BID, N=11 at 300mg BID, and N=10 at 400mg BID. Of the patients enrolled, 22 had PIK3CA-related overgrowth spectrum, or PROS, 8 had a lymphatic malformation, or LM, and 2 had a venous malformation, or VeM. 23 patients (72%) had prior treatment with sirolimus and/or alpelisib, which was allowed in the study.</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Unless otherwise indicated, all data reported are as of the Data Cut-Off Date.</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Initial Efficacy Data</w:t>
      </w:r>
    </w:p>
    <w:p>
      <w:pPr>
        <w:spacing w:after="0" w:line="93" w:lineRule="exact"/>
        <w:rPr>
          <w:sz w:val="20"/>
          <w:szCs w:val="20"/>
          <w:color w:val="auto"/>
        </w:rPr>
      </w:pPr>
    </w:p>
    <w:p>
      <w:pPr>
        <w:ind w:left="1500" w:right="599"/>
        <w:spacing w:after="0" w:line="267" w:lineRule="auto"/>
        <w:rPr>
          <w:sz w:val="20"/>
          <w:szCs w:val="20"/>
          <w:color w:val="auto"/>
        </w:rPr>
      </w:pPr>
      <w:r>
        <w:rPr>
          <w:rFonts w:ascii="Times New Roman" w:cs="Times New Roman" w:eastAsia="Times New Roman" w:hAnsi="Times New Roman"/>
          <w:sz w:val="14"/>
          <w:szCs w:val="14"/>
          <w:color w:val="auto"/>
        </w:rPr>
        <w:t>Of the 32 patients enrolled, 20 have been evaluated for efficacy per volumetric response assessment by blinded independent central review, or BICR, which is assessed by MRI every 12 weeks. The remaining 12 patients had not reached the 12-week timepoint. A response is defined by a 20% or greater reduction in target lesion(s) volume from baseline.</w:t>
      </w:r>
    </w:p>
    <w:p>
      <w:pPr>
        <w:spacing w:after="0" w:line="136" w:lineRule="exact"/>
        <w:rPr>
          <w:sz w:val="20"/>
          <w:szCs w:val="20"/>
          <w:color w:val="auto"/>
        </w:rPr>
      </w:pPr>
    </w:p>
    <w:p>
      <w:pPr>
        <w:ind w:left="1500" w:right="519"/>
        <w:spacing w:after="0" w:line="261" w:lineRule="auto"/>
        <w:rPr>
          <w:sz w:val="20"/>
          <w:szCs w:val="20"/>
          <w:color w:val="auto"/>
        </w:rPr>
      </w:pPr>
      <w:r>
        <w:rPr>
          <w:rFonts w:ascii="Times New Roman" w:cs="Times New Roman" w:eastAsia="Times New Roman" w:hAnsi="Times New Roman"/>
          <w:sz w:val="14"/>
          <w:szCs w:val="14"/>
          <w:color w:val="auto"/>
        </w:rPr>
        <w:t>Of the 20 response-evaluable patients, 15 had PROS, 4 had a LM, and 1 had a VeM. Of patients with a confirmed PIK3CA mutation, 25% of patients had a kinase mutation and 55% had a non-kinase mutation, while 20% had no PIK3CA mutation documented at the Data Cut-Off Date. 65% had been previously treated with alpelisib or sirolimus (35% had been treated by both). All 32 patients remained on treatment as of the Data Cut-Off Date.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the 20 response-evaluable patients:</w:t>
      </w:r>
    </w:p>
    <w:p>
      <w:pPr>
        <w:spacing w:after="0" w:line="102" w:lineRule="exact"/>
        <w:rPr>
          <w:sz w:val="20"/>
          <w:szCs w:val="20"/>
          <w:color w:val="auto"/>
        </w:rPr>
      </w:pPr>
    </w:p>
    <w:p>
      <w:pPr>
        <w:ind w:left="2220" w:hanging="313"/>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of patients had a volumetric response with all responses coming at the first MRI;</w:t>
      </w:r>
    </w:p>
    <w:p>
      <w:pPr>
        <w:spacing w:after="0" w:line="101"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13 patients treated at 300mg BID or 100mg BID, 8 (62%) had a volumetric response;</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98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4798695"/>
                    </a:xfrm>
                    <a:prstGeom prst="rect">
                      <a:avLst/>
                    </a:prstGeom>
                    <a:noFill/>
                  </pic:spPr>
                </pic:pic>
              </a:graphicData>
            </a:graphic>
          </wp:anchor>
        </w:drawing>
      </w:r>
    </w:p>
    <w:p>
      <w:pPr>
        <w:spacing w:after="0" w:line="368" w:lineRule="exact"/>
        <w:rPr>
          <w:sz w:val="20"/>
          <w:szCs w:val="20"/>
          <w:color w:val="auto"/>
        </w:rPr>
      </w:pPr>
    </w:p>
    <w:p>
      <w:pPr>
        <w:ind w:left="2540" w:hanging="223"/>
        <w:spacing w:after="0"/>
        <w:tabs>
          <w:tab w:leader="none" w:pos="25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13 patients previously treated with alpelisib and/or sirolimus, 8 (62%) had a volumetric response;</w:t>
      </w:r>
    </w:p>
    <w:p>
      <w:pPr>
        <w:spacing w:after="0" w:line="101"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Responses were observed in patients with PROS and LM;</w:t>
      </w:r>
    </w:p>
    <w:p>
      <w:pPr>
        <w:spacing w:after="0" w:line="101"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Responses were observed across a spectrum of PIK3CA mutations;</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 responding patients had a 24-week scan, and all showed confirmation of response with deepening of reduction of lesion volume;</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95% of patients experienced lesion reduction;</w:t>
      </w:r>
    </w:p>
    <w:p>
      <w:pPr>
        <w:spacing w:after="0" w:line="101" w:lineRule="exact"/>
        <w:rPr>
          <w:rFonts w:ascii="Times New Roman" w:cs="Times New Roman" w:eastAsia="Times New Roman" w:hAnsi="Times New Roman"/>
          <w:sz w:val="14"/>
          <w:szCs w:val="14"/>
          <w:color w:val="auto"/>
        </w:rPr>
      </w:pPr>
    </w:p>
    <w:p>
      <w:pPr>
        <w:ind w:left="2220" w:right="459" w:hanging="313"/>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Data Cut-Off Date, one 100mg BID patient that did not have a volumetric response as of the data cut-off date has converted to an unconfirmed response, resulting in a 100mg BID volumetric response rate of 43% (3/7), a volumetric response rate of 69% (9/13) for patients treated at 300mg BID or 100mg BID, and a volumetric response rate of 65% (13/20) across doses; and</w:t>
      </w:r>
    </w:p>
    <w:p>
      <w:pPr>
        <w:spacing w:after="0" w:line="61"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other response-evaluable patients’ response statuses have changed since the Data Cut-Off Date.</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Initial Patient and Clinician Reported Outcomes</w:t>
      </w:r>
    </w:p>
    <w:p>
      <w:pPr>
        <w:spacing w:after="0" w:line="93"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Clinical outcome assessments of symptoms, including investigator- and patient-global impression of change, or IGIC and PGIC, and pain measured by investigator assessment of disease-related signs and symptoms, or IADRSS, are being measured as secondary endpoints in the study. IGIC, PGIC, and IADRSS measures are each a seven point, single-item scale asking patients and clinicians to rate how their condition has improved or worsened since the start of treatment.</w:t>
      </w:r>
    </w:p>
    <w:p>
      <w:pPr>
        <w:spacing w:after="0" w:line="141" w:lineRule="exact"/>
        <w:rPr>
          <w:sz w:val="20"/>
          <w:szCs w:val="20"/>
          <w:color w:val="auto"/>
        </w:rPr>
      </w:pPr>
    </w:p>
    <w:p>
      <w:pPr>
        <w:ind w:left="1500" w:right="859"/>
        <w:spacing w:after="0" w:line="267" w:lineRule="auto"/>
        <w:rPr>
          <w:sz w:val="20"/>
          <w:szCs w:val="20"/>
          <w:color w:val="auto"/>
        </w:rPr>
      </w:pPr>
      <w:r>
        <w:rPr>
          <w:rFonts w:ascii="Times New Roman" w:cs="Times New Roman" w:eastAsia="Times New Roman" w:hAnsi="Times New Roman"/>
          <w:sz w:val="14"/>
          <w:szCs w:val="14"/>
          <w:color w:val="auto"/>
        </w:rPr>
        <w:t>At week 12, IGIC and PGIC scores demonstrated clinical improvement in 89% and 79% of patients, respectively, and IADRSS Pain scores demonstrated clinical improvement for 71% of pain symptoms. Clinical outcome scores across all three measures trended towards further improvement for later timepoints.</w:t>
      </w:r>
    </w:p>
    <w:p>
      <w:pPr>
        <w:spacing w:after="0" w:line="136" w:lineRule="exact"/>
        <w:rPr>
          <w:sz w:val="20"/>
          <w:szCs w:val="20"/>
          <w:color w:val="auto"/>
        </w:rPr>
      </w:pPr>
    </w:p>
    <w:p>
      <w:pPr>
        <w:ind w:left="1500" w:right="399"/>
        <w:spacing w:after="0" w:line="283" w:lineRule="auto"/>
        <w:rPr>
          <w:sz w:val="20"/>
          <w:szCs w:val="20"/>
          <w:color w:val="auto"/>
        </w:rPr>
      </w:pPr>
      <w:r>
        <w:rPr>
          <w:rFonts w:ascii="Times New Roman" w:cs="Times New Roman" w:eastAsia="Times New Roman" w:hAnsi="Times New Roman"/>
          <w:sz w:val="14"/>
          <w:szCs w:val="14"/>
          <w:color w:val="auto"/>
        </w:rPr>
        <w:t>We have developed a fit-for-purpose patient-reported outcome tool specifically for use within the trial patient population, which is in the process of being incorporated into the ReInspire Trial.</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Initial Safety and Tolerability Data</w:t>
      </w:r>
    </w:p>
    <w:p>
      <w:pPr>
        <w:spacing w:after="0" w:line="93" w:lineRule="exact"/>
        <w:rPr>
          <w:sz w:val="20"/>
          <w:szCs w:val="20"/>
          <w:color w:val="auto"/>
        </w:rPr>
      </w:pPr>
    </w:p>
    <w:p>
      <w:pPr>
        <w:ind w:left="1500" w:right="619"/>
        <w:spacing w:after="0" w:line="261" w:lineRule="auto"/>
        <w:rPr>
          <w:sz w:val="20"/>
          <w:szCs w:val="20"/>
          <w:color w:val="auto"/>
        </w:rPr>
      </w:pPr>
      <w:r>
        <w:rPr>
          <w:rFonts w:ascii="Times New Roman" w:cs="Times New Roman" w:eastAsia="Times New Roman" w:hAnsi="Times New Roman"/>
          <w:sz w:val="14"/>
          <w:szCs w:val="14"/>
          <w:color w:val="auto"/>
        </w:rPr>
        <w:t>The safety profile of zovegalisib was assessed across a wide dose range, spanning from 100mg BID to 400mg BID (the dose being evaluated in ReDiscover-2 Trial). The overall tolerability profile was generally as expected and consistent with mutant-selective PI3Kα inhibition. Rates of treatment-related adverse events, or TRAEs, and dose modifications were proportional to dose level, allowing for further dose optimization intended to identify go-forward doses suitable for chronic treatment.</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Among the 22 patients treated at 100mg and 300mg BID:</w:t>
      </w:r>
    </w:p>
    <w:p>
      <w:pPr>
        <w:spacing w:after="0" w:line="102" w:lineRule="exact"/>
        <w:rPr>
          <w:sz w:val="20"/>
          <w:szCs w:val="20"/>
          <w:color w:val="auto"/>
        </w:rPr>
      </w:pPr>
    </w:p>
    <w:p>
      <w:pPr>
        <w:ind w:left="2220" w:hanging="313"/>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Dose reductions were seen in 23% of patients, with no dose discontinuations;</w:t>
      </w:r>
    </w:p>
    <w:p>
      <w:pPr>
        <w:spacing w:after="0" w:line="101"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Median dose intensity was greater than 99%;</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2 patients (9%) experienced a Grade 3+ TRAE;</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adverse events associated with wild-type PI3Kα inhibition were low-grade, manageable, and reversible;</w:t>
      </w:r>
    </w:p>
    <w:p>
      <w:pPr>
        <w:spacing w:after="0" w:line="101"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rash or stomatitis of any grade was observed, and no grade 3 hyperglycemia or diarrhea was observed; and</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894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1894840"/>
                    </a:xfrm>
                    <a:prstGeom prst="rect">
                      <a:avLst/>
                    </a:prstGeom>
                    <a:noFill/>
                  </pic:spPr>
                </pic:pic>
              </a:graphicData>
            </a:graphic>
          </wp:anchor>
        </w:drawing>
      </w:r>
    </w:p>
    <w:p>
      <w:pPr>
        <w:spacing w:after="0" w:line="368" w:lineRule="exact"/>
        <w:rPr>
          <w:sz w:val="20"/>
          <w:szCs w:val="20"/>
          <w:color w:val="auto"/>
        </w:rPr>
      </w:pPr>
    </w:p>
    <w:p>
      <w:pPr>
        <w:ind w:left="2220" w:hanging="313"/>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prophylactic treatment was administered for management of any adverse event.</w:t>
      </w:r>
    </w:p>
    <w:p>
      <w:pPr>
        <w:spacing w:after="0" w:line="175" w:lineRule="exact"/>
        <w:rPr>
          <w:sz w:val="20"/>
          <w:szCs w:val="20"/>
          <w:color w:val="auto"/>
        </w:rPr>
      </w:pPr>
    </w:p>
    <w:p>
      <w:pPr>
        <w:ind w:left="1500" w:right="539"/>
        <w:spacing w:after="0" w:line="283" w:lineRule="auto"/>
        <w:rPr>
          <w:sz w:val="20"/>
          <w:szCs w:val="20"/>
          <w:color w:val="auto"/>
        </w:rPr>
      </w:pPr>
      <w:r>
        <w:rPr>
          <w:rFonts w:ascii="Times New Roman" w:cs="Times New Roman" w:eastAsia="Times New Roman" w:hAnsi="Times New Roman"/>
          <w:sz w:val="14"/>
          <w:szCs w:val="14"/>
          <w:color w:val="auto"/>
        </w:rPr>
        <w:t>The 400mg BID dose, while not a formal maximum tolerated dose, showed a safety profile that was not optimal for this patient population and is deprioritized for further development.</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93" w:lineRule="exact"/>
        <w:rPr>
          <w:sz w:val="20"/>
          <w:szCs w:val="20"/>
          <w:color w:val="auto"/>
        </w:rPr>
      </w:pPr>
    </w:p>
    <w:p>
      <w:pPr>
        <w:ind w:left="1500" w:right="499"/>
        <w:spacing w:after="0" w:line="261"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May 4, 2015 under the name Allostery, Inc. In December 2015, we changed our name to Relay Therapeutics, Inc. Our principal corporate office is located at 60 Hampshire Street, Cambridge, MA 02139, and our telephone number is (617) 370-8837. Our website address is www.relaytx.com. Our website and the information contained on, or that can be accessed through, the website will not be deemed to be incorporated by reference in, and are not considered part of, this prospectus supplement.</w:t>
      </w:r>
    </w:p>
    <w:p>
      <w:pPr>
        <w:spacing w:after="0" w:line="141" w:lineRule="exact"/>
        <w:rPr>
          <w:sz w:val="20"/>
          <w:szCs w:val="20"/>
          <w:color w:val="auto"/>
        </w:rPr>
      </w:pPr>
    </w:p>
    <w:p>
      <w:pPr>
        <w:ind w:left="1500" w:right="379"/>
        <w:spacing w:after="0" w:line="227" w:lineRule="auto"/>
        <w:rPr>
          <w:sz w:val="20"/>
          <w:szCs w:val="20"/>
          <w:color w:val="auto"/>
        </w:rPr>
      </w:pPr>
      <w:r>
        <w:rPr>
          <w:rFonts w:ascii="Times New Roman" w:cs="Times New Roman" w:eastAsia="Times New Roman" w:hAnsi="Times New Roman"/>
          <w:sz w:val="14"/>
          <w:szCs w:val="14"/>
          <w:color w:val="auto"/>
        </w:rPr>
        <w:t xml:space="preserve">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to the fullest extent under applicable law, their rights thereto.</w:t>
      </w: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85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4685665"/>
                    </a:xfrm>
                    <a:prstGeom prst="rect">
                      <a:avLst/>
                    </a:prstGeom>
                    <a:noFill/>
                  </pic:spPr>
                </pic:pic>
              </a:graphicData>
            </a:graphic>
          </wp:anchor>
        </w:drawing>
      </w:r>
    </w:p>
    <w:p>
      <w:pPr>
        <w:spacing w:after="0" w:line="3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6" w:right="1440" w:bottom="1440" w:gutter="0" w:footer="0" w:header="0"/>
        </w:sectPr>
      </w:pPr>
    </w:p>
    <w:p>
      <w:pPr>
        <w:spacing w:after="0" w:line="19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3"/>
          <w:szCs w:val="13"/>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859"/>
        <w:spacing w:after="0" w:line="283" w:lineRule="auto"/>
        <w:rPr>
          <w:sz w:val="20"/>
          <w:szCs w:val="20"/>
          <w:color w:val="auto"/>
        </w:rPr>
      </w:pPr>
      <w:r>
        <w:rPr>
          <w:rFonts w:ascii="Times New Roman" w:cs="Times New Roman" w:eastAsia="Times New Roman" w:hAnsi="Times New Roman"/>
          <w:sz w:val="14"/>
          <w:szCs w:val="14"/>
          <w:color w:val="auto"/>
        </w:rPr>
        <w:t>22,916,667 shares (or 26,354,167 shares if the underwriters exercise their option to purchase additional shares in full).</w:t>
      </w:r>
    </w:p>
    <w:p>
      <w:pPr>
        <w:spacing w:after="0" w:line="144"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60" w:hanging="61"/>
        <w:spacing w:after="0" w:line="286" w:lineRule="auto"/>
        <w:rPr>
          <w:sz w:val="20"/>
          <w:szCs w:val="20"/>
          <w:color w:val="auto"/>
        </w:rPr>
      </w:pPr>
      <w:r>
        <w:rPr>
          <w:rFonts w:ascii="Times New Roman" w:cs="Times New Roman" w:eastAsia="Times New Roman" w:hAnsi="Times New Roman"/>
          <w:sz w:val="14"/>
          <w:szCs w:val="14"/>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719"/>
        <w:spacing w:after="0" w:line="283" w:lineRule="auto"/>
        <w:rPr>
          <w:sz w:val="20"/>
          <w:szCs w:val="20"/>
          <w:color w:val="auto"/>
        </w:rPr>
      </w:pPr>
      <w:r>
        <w:rPr>
          <w:rFonts w:ascii="Times New Roman" w:cs="Times New Roman" w:eastAsia="Times New Roman" w:hAnsi="Times New Roman"/>
          <w:sz w:val="14"/>
          <w:szCs w:val="14"/>
          <w:color w:val="auto"/>
        </w:rPr>
        <w:t>212,126,120 shares (or 215,563,620 shares if the underwriters exercise their option to purchase additional shares in full).</w:t>
      </w:r>
    </w:p>
    <w:p>
      <w:pPr>
        <w:spacing w:after="0" w:line="154" w:lineRule="exact"/>
        <w:rPr>
          <w:sz w:val="20"/>
          <w:szCs w:val="20"/>
          <w:color w:val="auto"/>
        </w:rPr>
      </w:pPr>
    </w:p>
    <w:p>
      <w:pPr>
        <w:sectPr>
          <w:pgSz w:w="11900" w:h="16838" w:orient="portrait"/>
          <w:cols w:equalWidth="0" w:num="2">
            <w:col w:w="4560" w:space="8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b w:val="1"/>
          <w:bCs w:val="1"/>
          <w:color w:val="auto"/>
        </w:rPr>
        <w:t>Option to purchase additional shares</w:t>
      </w:r>
    </w:p>
    <w:p>
      <w:pPr>
        <w:spacing w:after="0" w:line="20" w:lineRule="exact"/>
        <w:rPr>
          <w:sz w:val="20"/>
          <w:szCs w:val="20"/>
          <w:color w:val="auto"/>
        </w:rPr>
      </w:pPr>
      <w:r>
        <w:rPr>
          <w:sz w:val="20"/>
          <w:szCs w:val="20"/>
          <w:color w:val="auto"/>
        </w:rPr>
        <w:br w:type="column"/>
      </w:r>
    </w:p>
    <w:p>
      <w:pPr>
        <w:ind w:right="519"/>
        <w:spacing w:after="0" w:line="261" w:lineRule="auto"/>
        <w:rPr>
          <w:sz w:val="20"/>
          <w:szCs w:val="20"/>
          <w:color w:val="auto"/>
        </w:rPr>
      </w:pPr>
      <w:r>
        <w:rPr>
          <w:rFonts w:ascii="Times New Roman" w:cs="Times New Roman" w:eastAsia="Times New Roman" w:hAnsi="Times New Roman"/>
          <w:sz w:val="14"/>
          <w:szCs w:val="14"/>
          <w:color w:val="auto"/>
        </w:rPr>
        <w:t>We have granted a 30-day option to the underwriters to purchase up to an aggregate of 3,437,500 additional shares of common stock from us at the public offering price, less underwriting discounts and commissions on the same terms as set forth in this prospectus supplement.</w:t>
      </w:r>
    </w:p>
    <w:p>
      <w:pPr>
        <w:spacing w:after="0" w:line="160"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ind w:right="399"/>
        <w:spacing w:after="0" w:line="278" w:lineRule="auto"/>
        <w:rPr>
          <w:sz w:val="20"/>
          <w:szCs w:val="20"/>
          <w:color w:val="auto"/>
        </w:rPr>
      </w:pPr>
      <w:r>
        <w:rPr>
          <w:rFonts w:ascii="Times New Roman" w:cs="Times New Roman" w:eastAsia="Times New Roman" w:hAnsi="Times New Roman"/>
          <w:sz w:val="13"/>
          <w:szCs w:val="13"/>
          <w:color w:val="auto"/>
        </w:rPr>
        <w:t>We estimate that the net proceeds to us from this offering, after deducting the underwriting discounts and commissions and estimated offering expenses payable by us, will be approximately $258.0 million, or approximately $296.8 million if the underwriters exercise their option to purchase additional shares from us in full. We intend to use the net proceeds from this offering to fund research and clinical development of current or additional pipeline candidates and for working capital, capital expenditures and other general corporate purposes. See “Use of Proceeds” on page S-17 of this prospectus supplement.</w:t>
      </w:r>
    </w:p>
    <w:p>
      <w:pPr>
        <w:spacing w:after="0" w:line="153"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459"/>
        <w:spacing w:after="0" w:line="258"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See “Risk Factors” beginning on page S-9 of this prospectus supplement, as well as “Risk Factors” in the documents incorporated by reference into this prospectus supplement and the accompanying prospectus, for a discussion of factors you should consider carefully before deciding to purchase any shares of our common stock.</w:t>
      </w:r>
    </w:p>
    <w:p>
      <w:pPr>
        <w:spacing w:after="0" w:line="163"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RLAY</w:t>
      </w:r>
    </w:p>
    <w:p>
      <w:pPr>
        <w:spacing w:after="0" w:line="197"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right="399"/>
        <w:spacing w:after="0" w:line="267" w:lineRule="auto"/>
        <w:rPr>
          <w:sz w:val="20"/>
          <w:szCs w:val="20"/>
          <w:color w:val="auto"/>
        </w:rPr>
      </w:pPr>
      <w:r>
        <w:rPr>
          <w:rFonts w:ascii="Times New Roman" w:cs="Times New Roman" w:eastAsia="Times New Roman" w:hAnsi="Times New Roman"/>
          <w:sz w:val="14"/>
          <w:szCs w:val="14"/>
          <w:color w:val="auto"/>
        </w:rPr>
        <w:t>All information in this prospectus supplement related to the number of shares of our common stock to be outstanding immediately after this offering is based on 189,209,453 shares of our common stock outstanding as of March 31, 2026. The number of shares outstanding as of March 31, 2026 as used throughout this prospectus supplement, unless otherwise indicated, excludes:</w:t>
      </w:r>
    </w:p>
    <w:p>
      <w:pPr>
        <w:spacing w:after="0" w:line="62" w:lineRule="exact"/>
        <w:rPr>
          <w:sz w:val="20"/>
          <w:szCs w:val="20"/>
          <w:color w:val="auto"/>
        </w:rPr>
      </w:pPr>
    </w:p>
    <w:p>
      <w:pPr>
        <w:ind w:left="2220" w:right="679" w:hanging="313"/>
        <w:spacing w:after="0" w:line="283"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25,148,617 shares of common stock issuable upon the exercise of stock options outstanding as of March 31, 2026 under our 2020 Stock Option and Incentive Plan, or 2020 Plan, at a weighted-average exercise price of $10.18 per share;</w:t>
      </w:r>
    </w:p>
    <w:p>
      <w:pPr>
        <w:spacing w:after="0" w:line="51" w:lineRule="exact"/>
        <w:rPr>
          <w:rFonts w:ascii="Times New Roman" w:cs="Times New Roman" w:eastAsia="Times New Roman" w:hAnsi="Times New Roman"/>
          <w:sz w:val="14"/>
          <w:szCs w:val="14"/>
          <w:color w:val="auto"/>
        </w:rPr>
      </w:pPr>
    </w:p>
    <w:p>
      <w:pPr>
        <w:ind w:left="2220" w:right="419" w:hanging="313"/>
        <w:spacing w:after="0" w:line="283"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3,021,051 shares of common stock issuable upon the vesting and settlement of restricted stock units outstanding as of March 31, 2026 under our 2020 Plan;</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13,434,232 shares of common stock reserved for future issuance as of March 31, 2026 under our 2020 Plan;</w:t>
      </w:r>
    </w:p>
    <w:p>
      <w:pPr>
        <w:spacing w:after="0" w:line="101" w:lineRule="exact"/>
        <w:rPr>
          <w:rFonts w:ascii="Times New Roman" w:cs="Times New Roman" w:eastAsia="Times New Roman" w:hAnsi="Times New Roman"/>
          <w:sz w:val="14"/>
          <w:szCs w:val="14"/>
          <w:color w:val="auto"/>
        </w:rPr>
      </w:pPr>
    </w:p>
    <w:p>
      <w:pPr>
        <w:ind w:left="2220" w:right="459" w:hanging="313"/>
        <w:spacing w:after="0" w:line="283"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7,896,350 shares of common stock reserved for future issuance as of March 31, 2026 under our 2020 Employee Stock Purchase Plan; and</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6"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641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3380" cy="1641475"/>
                    </a:xfrm>
                    <a:prstGeom prst="rect">
                      <a:avLst/>
                    </a:prstGeom>
                    <a:noFill/>
                  </pic:spPr>
                </pic:pic>
              </a:graphicData>
            </a:graphic>
          </wp:anchor>
        </w:drawing>
      </w:r>
    </w:p>
    <w:p>
      <w:pPr>
        <w:spacing w:after="0" w:line="368" w:lineRule="exact"/>
        <w:rPr>
          <w:sz w:val="20"/>
          <w:szCs w:val="20"/>
          <w:color w:val="auto"/>
        </w:rPr>
      </w:pPr>
    </w:p>
    <w:p>
      <w:pPr>
        <w:ind w:left="2220" w:right="479" w:hanging="313"/>
        <w:spacing w:after="0" w:line="267"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1,865,000 shares of common stock that we sold after March 31, 2026 and prior to the date of this prospectus supplement, pursuant to that sales agreement dated as of August 6, 2024 entered into by and between the Company and TD Securities (USA) LLC, for net proceeds of approximately $22.1 million.</w:t>
      </w:r>
    </w:p>
    <w:p>
      <w:pPr>
        <w:spacing w:after="0" w:line="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Except as otherwise indicated, all information in this prospectus supplement reflects and assumes the following:</w:t>
      </w:r>
    </w:p>
    <w:p>
      <w:pPr>
        <w:spacing w:after="0" w:line="102" w:lineRule="exact"/>
        <w:rPr>
          <w:sz w:val="20"/>
          <w:szCs w:val="20"/>
          <w:color w:val="auto"/>
        </w:rPr>
      </w:pPr>
    </w:p>
    <w:p>
      <w:pPr>
        <w:ind w:left="2220" w:hanging="313"/>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outstanding stock options after March 31, 2026; and</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by the underwriters of their option to purchase additional shares of our common stock.</w:t>
      </w:r>
    </w:p>
    <w:p>
      <w:pPr>
        <w:spacing w:after="0" w:line="175" w:lineRule="exact"/>
        <w:rPr>
          <w:sz w:val="20"/>
          <w:szCs w:val="20"/>
          <w:color w:val="auto"/>
        </w:rPr>
      </w:pPr>
    </w:p>
    <w:p>
      <w:pPr>
        <w:ind w:left="1500" w:right="399"/>
        <w:spacing w:after="0" w:line="258" w:lineRule="auto"/>
        <w:rPr>
          <w:sz w:val="20"/>
          <w:szCs w:val="20"/>
          <w:color w:val="auto"/>
        </w:rPr>
      </w:pPr>
      <w:r>
        <w:rPr>
          <w:rFonts w:ascii="Times New Roman" w:cs="Times New Roman" w:eastAsia="Times New Roman" w:hAnsi="Times New Roman"/>
          <w:sz w:val="14"/>
          <w:szCs w:val="14"/>
          <w:color w:val="auto"/>
        </w:rPr>
        <w:t>In addition, the number of shares outstanding immediately after this offering does not include shares of common stock that we may offer and sell in the future pursuant to our sales agreement, or the Sales Agreement, with TD Securities (USA) LLC, as sales agent. After the expiration or waiver of the 60-day lock-up period applicable to us and described under the section of this prospectus supplement entitled “Underwriting,” we may offer and sell shares of our common stock having an aggregate offering price of up to $87.0 million from time to time in “at-the-market” offerings pursuant to the Sales Agreement.</w:t>
      </w: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Before making an investment decision, you should carefully consider the risks described below and in our most recent Annual Report on Form 10-K and subsequent Quarterly Reports on Form 10-Q and Current Reports on Form 8-K, as well as any amendments thereto reflected in subsequent filings with the SEC, each of which are incorporated by reference in this prospectus supplement, and all of the other information in this prospectus supplement, including our financial statements and related notes incorporated by reference herein, and in any free writing prospectus that we have authorized for use in connection with this offering before acquiring any of our common stock. These risks could result in material and adverse impact on our business, financial condition, results of operations and prospects, which could cause the trading price of our common stock to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 The risks discussed below also include forward-looking statements, and our actual results may differ substantially from those discussed in these forward-looking statements. See “Cautionary Statement Regarding Forward-Looking Statements.”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Summary of Material Risks Associated with Our Business</w:t>
      </w:r>
    </w:p>
    <w:p>
      <w:pPr>
        <w:spacing w:after="0" w:line="104" w:lineRule="exact"/>
        <w:rPr>
          <w:sz w:val="20"/>
          <w:szCs w:val="20"/>
          <w:color w:val="auto"/>
        </w:rPr>
      </w:pPr>
    </w:p>
    <w:p>
      <w:pPr>
        <w:ind w:left="2120" w:right="259" w:hanging="345"/>
        <w:spacing w:after="0" w:line="26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never successfully completed any large-scale, pivotal clinical trials, and we may be unable to do so for any product candidates we develop. Clinical product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67"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experience delays or difficulties in the enrollment of patients in clinical trials, our receipt of necessary regulatory approvals could be delayed or prevented.</w:t>
      </w:r>
    </w:p>
    <w:p>
      <w:pPr>
        <w:spacing w:after="0" w:line="51" w:lineRule="exact"/>
        <w:rPr>
          <w:rFonts w:ascii="Times New Roman" w:cs="Times New Roman" w:eastAsia="Times New Roman" w:hAnsi="Times New Roman"/>
          <w:sz w:val="14"/>
          <w:szCs w:val="14"/>
          <w:color w:val="auto"/>
        </w:rPr>
      </w:pPr>
    </w:p>
    <w:p>
      <w:pPr>
        <w:jc w:val="both"/>
        <w:ind w:left="2120" w:right="279" w:hanging="345"/>
        <w:spacing w:after="0" w:line="26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67"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or future clinical trials or those of future collaborators or licensees may reveal significant adverse events not seen in our preclinical or nonclinical studies or early clinical data and may result in a safety profile that would inhibit regulatory approval or market acceptance of any of our product candidates.</w:t>
      </w:r>
    </w:p>
    <w:p>
      <w:pPr>
        <w:spacing w:after="0" w:line="61" w:lineRule="exact"/>
        <w:rPr>
          <w:rFonts w:ascii="Times New Roman" w:cs="Times New Roman" w:eastAsia="Times New Roman" w:hAnsi="Times New Roman"/>
          <w:sz w:val="14"/>
          <w:szCs w:val="14"/>
          <w:color w:val="auto"/>
        </w:rPr>
      </w:pPr>
    </w:p>
    <w:p>
      <w:pPr>
        <w:ind w:left="2120" w:right="379" w:hanging="345"/>
        <w:spacing w:after="0" w:line="267"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61" w:lineRule="exact"/>
        <w:rPr>
          <w:rFonts w:ascii="Times New Roman" w:cs="Times New Roman" w:eastAsia="Times New Roman" w:hAnsi="Times New Roman"/>
          <w:sz w:val="14"/>
          <w:szCs w:val="14"/>
          <w:color w:val="auto"/>
        </w:rPr>
      </w:pPr>
    </w:p>
    <w:p>
      <w:pPr>
        <w:jc w:val="both"/>
        <w:ind w:left="2120" w:right="579" w:hanging="345"/>
        <w:spacing w:after="0" w:line="267"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61" w:lineRule="exact"/>
        <w:rPr>
          <w:rFonts w:ascii="Times New Roman" w:cs="Times New Roman" w:eastAsia="Times New Roman" w:hAnsi="Times New Roman"/>
          <w:sz w:val="14"/>
          <w:szCs w:val="14"/>
          <w:color w:val="auto"/>
        </w:rPr>
      </w:pPr>
    </w:p>
    <w:p>
      <w:pPr>
        <w:ind w:left="2120" w:right="79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which may result in others discovering, developing or commercializing products before or more successfully than we do.</w:t>
      </w:r>
    </w:p>
    <w:p>
      <w:pPr>
        <w:spacing w:after="0" w:line="5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61"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relied on, and expect to continue to rely on, third parties to conduct our current and future clinical trials of our product candidates, as well as investigator-sponsored clinical trials of our product candidates and any investigational products.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raise substantial additional funding. If we are unable to raise capital when needed, we would be forced to delay, reduce or eliminate some of our product development programs or commercialization efforts.</w:t>
      </w:r>
    </w:p>
    <w:p>
      <w:pPr>
        <w:spacing w:after="0" w:line="51" w:lineRule="exact"/>
        <w:rPr>
          <w:rFonts w:ascii="Times New Roman" w:cs="Times New Roman" w:eastAsia="Times New Roman" w:hAnsi="Times New Roman"/>
          <w:sz w:val="14"/>
          <w:szCs w:val="14"/>
          <w:color w:val="auto"/>
        </w:rPr>
      </w:pPr>
    </w:p>
    <w:p>
      <w:pPr>
        <w:jc w:val="both"/>
        <w:ind w:left="2120" w:right="259" w:hanging="345"/>
        <w:spacing w:after="0" w:line="267"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Our Common Stock</w:t>
      </w:r>
    </w:p>
    <w:p>
      <w:pPr>
        <w:spacing w:after="0" w:line="91" w:lineRule="exact"/>
        <w:rPr>
          <w:sz w:val="20"/>
          <w:szCs w:val="20"/>
          <w:color w:val="auto"/>
        </w:rPr>
      </w:pPr>
    </w:p>
    <w:p>
      <w:pPr>
        <w:ind w:left="1360" w:right="3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p>
    <w:p>
      <w:pPr>
        <w:spacing w:after="0" w:line="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$1.77 to an intraday high of $64.37 through May 15, 2026.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market price for our common stock may be influenced by many factors, including:</w:t>
      </w:r>
    </w:p>
    <w:p>
      <w:pPr>
        <w:spacing w:after="0" w:line="102" w:lineRule="exact"/>
        <w:rPr>
          <w:sz w:val="20"/>
          <w:szCs w:val="20"/>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technologies;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of our product candidates or those of our competitors;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product candidates or clinical development programs;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product candidates or products;</w:t>
      </w:r>
    </w:p>
    <w:p>
      <w:pPr>
        <w:spacing w:after="0" w:line="101" w:lineRule="exact"/>
        <w:rPr>
          <w:rFonts w:ascii="Times New Roman" w:cs="Times New Roman" w:eastAsia="Times New Roman" w:hAnsi="Times New Roman"/>
          <w:sz w:val="14"/>
          <w:szCs w:val="14"/>
          <w:color w:val="auto"/>
        </w:rPr>
      </w:pPr>
    </w:p>
    <w:p>
      <w:pPr>
        <w:jc w:val="center"/>
        <w:ind w:left="5520" w:right="719" w:hanging="3745"/>
        <w:spacing w:after="0" w:line="455"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 S-10</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83"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a substantial number of shares of our common stock in the public market, or the perception in the market that the holders of a large number of shares intend to sell shares;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and</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 as well as the “Risk Factors” section in the documents incorporated by reference into this prospectus supplement.</w:t>
      </w:r>
    </w:p>
    <w:p>
      <w:pPr>
        <w:spacing w:after="0" w:line="125"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18"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principal stockholders and their affiliates exercise significant control over our company, which will limit your ability to influence corporate matters and could delay or prevent a change in corporate control.</w:t>
      </w:r>
    </w:p>
    <w:p>
      <w:pPr>
        <w:spacing w:after="0" w:line="39"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As of March 31, 2026, the holdings of our executive officers, directors, principal stockholders and their affiliates, represented beneficial ownership, in the aggregate, of approximately 51.2 %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 voting power among these stockholders may have an adverse effect on the price of our common stock. In addition, this concentration of ownership might adversely affect the market price of our common stock by:</w:t>
      </w:r>
    </w:p>
    <w:p>
      <w:pPr>
        <w:spacing w:after="0" w:line="69" w:lineRule="exact"/>
        <w:rPr>
          <w:sz w:val="20"/>
          <w:szCs w:val="20"/>
          <w:color w:val="auto"/>
        </w:rPr>
      </w:pPr>
    </w:p>
    <w:p>
      <w:pPr>
        <w:ind w:left="2120" w:hanging="345"/>
        <w:spacing w:after="0"/>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delaying, deferring or preventing a change of control of us;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impeding a merger, consolidation, takeover or other business combination involving us;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discouraging a potential acquirer from making a tender offer or otherwise attempting to obtain control of us.</w:t>
      </w:r>
    </w:p>
    <w:p>
      <w:pPr>
        <w:spacing w:after="0" w:line="258"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as well as our cash, cash equivalents and investments and may invest or spend the proceeds in ways with which you do not agree or in ways that ultimately may not increase the value of your investment.</w:t>
      </w:r>
    </w:p>
    <w:p>
      <w:pPr>
        <w:spacing w:after="0" w:line="39"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from this offering and our existing cash, cash equivalents or investments are being used effectively. Our management might not apply the net proceeds or our existing cash, cash equivalents or investments in ways that ultimately increase the value of your investment. If we do not invest or apply the net proceeds from this offering or our existing cash, cash equivalents or investments in ways that enhance stockholder value, we may fail to achieve expected financial results, which could cause our stock price to decline. Pending their use, we may invest the net proceeds from this offering in short-and intermediate-term, interest-bearing obligations, investment-grade instruments, certificates of deposit or direct or guaranteed obligations of the U.S. government. These investments may not yield a favorable return to our stockholders.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our common stock in this offering, you will incur immediate and substantial dilution in the book value of your shares.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Investors purchasing shares of common stock in this offering will pay a price per share that substantially exceeds the net tangible book value per share of our common stock before giving effect to this offering. As a result, investors purchasing shares of common stock in this offering will incur immediate dilution of $7.76 per share based on a public offering price of $12.00 per share. For information on how the foregoing amounts were calculated, see “Dilution.”</w:t>
      </w:r>
    </w:p>
    <w:p>
      <w:pPr>
        <w:spacing w:after="0" w:line="141"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This dilution is due to the substantially lower price paid by some of our investors who purchased shares prior to this offering as compared to the price offered to the public in this offering. In addition, we have a significant number of stock options and unvested restricted stock units outstanding. The exercise of any of these outstanding options and vesting and settlement of these restricted stock units would result in further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titled “Dilution.”</w:t>
      </w:r>
    </w:p>
    <w:p>
      <w:pPr>
        <w:spacing w:after="0" w:line="225"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9"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3"/>
          <w:szCs w:val="13"/>
          <w:color w:val="auto"/>
        </w:rPr>
        <w:t>Additional capital will be needed in the future to continue our planned operations. To the extent we issue additional equity securities to raise capital or pursuant to our equity incentive plans or other contractual obligations, our stockholders may experience substantial dilution. We may sell common stock, convertible securities or other equity securities in one or more transactions at prices and in a manner we determine from time to time. If we sell or issue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28"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Significant portions of these shares are held by a relatively small number of stockholders. Sales by our stockholders of a substantial number of shares, or the expectation that such sales may occur, could significantly reduce the market price of our common stock.</w:t>
      </w:r>
    </w:p>
    <w:p>
      <w:pPr>
        <w:spacing w:after="0" w:line="14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Further, because we expect we will need to raise additional capital to fund our future activities, we may in the future sell substantial amounts of common stock or securities convertible into or exchangeable for common stock. Future issuances of common stock or common stock-related securities, together with the exercise of outstanding stock options, the vesting and settlement of outstanding restricted stock units, and new equity awards granted under our equity incentive plans, if any, may result in further dilution. Pursuant to the Sales Agreement, we may offer and sell shares of our common stock from time to time in “at-the-market” offerings, subject to the limitations thereof. As of the date hereof 16,006,569 shares of common stock have been sold under the Sales Agreement and we may offer and sell up to an aggregate amount of $87.0 million of our common stock. To the extent that we sell shares of our common stock in the future pursuant to the Sales Agreement, after the expiration or waiver of the 60-day lock-up period applicable to us and described under the section of this prospectus supplement entitled “Underwriting,” investors purchasing shares of common stock in this offering could experience further dilution.</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common stock may not be sustained.</w:t>
      </w:r>
    </w:p>
    <w:p>
      <w:pPr>
        <w:spacing w:after="0" w:line="93"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If an active market for our common stock does not continue, it may be difficult for our stockholders to sell their shares without depressing the market price for the shares or sell their shares at or above the prices at which they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39"/>
        <w:spacing w:after="0" w:line="267" w:lineRule="auto"/>
        <w:rPr>
          <w:sz w:val="20"/>
          <w:szCs w:val="20"/>
          <w:color w:val="auto"/>
        </w:rPr>
      </w:pPr>
      <w:r>
        <w:rPr>
          <w:rFonts w:ascii="Times New Roman" w:cs="Times New Roman" w:eastAsia="Times New Roman" w:hAnsi="Times New Roman"/>
          <w:sz w:val="14"/>
          <w:szCs w:val="14"/>
          <w:color w:val="auto"/>
        </w:rPr>
        <w:t>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7"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herein and therein, and any free writing prospectus that we have authorized for use in connection with this offering, contain forward-looking statements within the meaning of Section 27A of the Securities Act of 1933, as amended, or the Securities Act, and Section 21E of the Exchange Act of 1934, as amended, or the Exchange Act.</w:t>
      </w:r>
    </w:p>
    <w:p>
      <w:pPr>
        <w:spacing w:after="0" w:line="13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Any statements about our expectations, beliefs, plans, objectives, assumptions or future events or performance are not historical facts and may be forward-looking. These statements are often, but are not always, made through the use of words or phrases such as “may,” “should,” “expects,” “intends,” “plans,” “anticipates,” “believes,” “estimates,” “forecasts,” “goal,” “likely,” “predicts,” “potential,” “projects,” “will,” “might,” “could,”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supplement, and in particular those factors referenced in the section “Risk Factors.”</w:t>
      </w:r>
    </w:p>
    <w:p>
      <w:pPr>
        <w:spacing w:after="0" w:line="144"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This prospectus supplement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70" w:lineRule="exact"/>
        <w:rPr>
          <w:sz w:val="20"/>
          <w:szCs w:val="20"/>
          <w:color w:val="auto"/>
        </w:rPr>
      </w:pPr>
    </w:p>
    <w:p>
      <w:pPr>
        <w:ind w:left="2120" w:right="259" w:hanging="345"/>
        <w:spacing w:after="0" w:line="267"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w:t>
      </w:r>
    </w:p>
    <w:p>
      <w:pPr>
        <w:spacing w:after="0" w:line="6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safety and efficacy of our product candidates and the therapeutic implications of clinical and preclinical data;</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manufacture of our drug substances, delivery vehicles, and product candidates for preclinical use, for clinical trials, and, on a larger scale, for commercial use, if approved;</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our third-party strategic collaborators and licensees and their ability to continue research and development and commercialization activities relating to our development candidates and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funding for our operations necessary to complete further development and commercialization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seek regulatory approval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product candidates, and technology;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for intellectual property rights covering our product candidates and technology;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and/or license agreements with collaborators and/or licensees with development, regulatory, and commercialization expertise;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product candidates and any other approved product;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our products or product candidates with advantages in turnaround times or manufacturing cost;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clinical, or management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 on our business and programs;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67"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w:t>
      </w:r>
    </w:p>
    <w:p>
      <w:pPr>
        <w:spacing w:after="0" w:line="6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spacing w:after="0" w:line="6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“Risk Factors” in our Annual Report on Form 10-K for the year ended December 31, 2025 and our most recent Quarterly Report on Form 10-Q for the quarter ended March 31, 2026.</w:t>
      </w:r>
    </w:p>
    <w:p>
      <w:pPr>
        <w:spacing w:after="0" w:line="125"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2025 and our most recent Quarterly Report on Form 10-Q for the quarter ended March 31, 2026, and our Current Reports on Form 8-K, and in this prospectus supplement under the heading “Risk Factors.”</w:t>
      </w:r>
    </w:p>
    <w:p>
      <w:pPr>
        <w:spacing w:after="0" w:line="143"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While we may elect to update forward-looking statements at some point in the future, we assume no obligation to update or revise any forward-looking statements except to the extent required by applicable law.</w:t>
      </w:r>
    </w:p>
    <w:p>
      <w:pPr>
        <w:spacing w:after="0" w:line="125"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This prospectus supplement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jc w:val="both"/>
        <w:ind w:left="1360" w:right="619"/>
        <w:spacing w:after="0" w:line="267" w:lineRule="auto"/>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 $258.0 million, after deducting the underwriting discounts and commissions and estimated offering expenses payable by us, or approximately $296.8 million if the underwriters exercise their option to purchase additional shares from us in full.</w:t>
      </w:r>
    </w:p>
    <w:p>
      <w:pPr>
        <w:spacing w:after="0" w:line="136"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We intend to use the net proceeds from this offering, together with our existing cash, cash equivalents and investments, to fund research and clinical development of current or additional pipeline candidates and for working capital, capital expenditures and other general corporate purposes. 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7"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color w:val="auto"/>
        </w:rPr>
        <w:t>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The net tangible book value of our common stock as of March 31, 2026 was approximately $642.2 million, or approximately $3.39 per share of common stock based upon 189,209,453 shares outstanding. Net tangible book value per share is equal to our total tangible assets (total assets less intangible assets), less our total liabilities, divided by the total number of shares of common stock outstanding as of March 31, 2026.</w:t>
      </w:r>
    </w:p>
    <w:p>
      <w:pPr>
        <w:spacing w:after="0" w:line="144" w:lineRule="exact"/>
        <w:rPr>
          <w:sz w:val="20"/>
          <w:szCs w:val="20"/>
          <w:color w:val="auto"/>
        </w:rPr>
      </w:pPr>
    </w:p>
    <w:p>
      <w:pPr>
        <w:ind w:left="1360" w:right="419"/>
        <w:spacing w:after="0" w:line="256" w:lineRule="auto"/>
        <w:rPr>
          <w:sz w:val="20"/>
          <w:szCs w:val="20"/>
          <w:color w:val="auto"/>
        </w:rPr>
      </w:pPr>
      <w:r>
        <w:rPr>
          <w:rFonts w:ascii="Times New Roman" w:cs="Times New Roman" w:eastAsia="Times New Roman" w:hAnsi="Times New Roman"/>
          <w:sz w:val="14"/>
          <w:szCs w:val="14"/>
          <w:color w:val="auto"/>
        </w:rPr>
        <w:t>Net tangible book value dilution per share to investors participating in this offering represents the difference between the amount per share paid by purchasers of shares of common stock in this offering and the as adjusted net tangible book value per share of common stock immediately after completion of this offering. After giving effect to the issuance and sale by us of 22,916,667 shares of our common stock at a public offering price of $12.00 per share, and after deducting the underwriting discounts and commissions and estimated offering expenses payable by us, our as adjusted net tangible book value as of March 31, 2026 would have been $900.2 million, or $4.24 per share of our common stock. This represents an immediate increase in net tangible book value of $0.85 per share to our existing stockholders and an immediate dilution in as adjusted net tangible book value of $7.76 per share to new investors in this offering.</w:t>
      </w:r>
    </w:p>
    <w:p>
      <w:pPr>
        <w:spacing w:after="0" w:line="144"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The following table illustrates this calculation on a per share basis without giving effect to the option to purchase additional shares granted to the underwriters:</w:t>
      </w:r>
    </w:p>
    <w:p>
      <w:pPr>
        <w:spacing w:after="0" w:line="161" w:lineRule="exact"/>
        <w:rPr>
          <w:sz w:val="20"/>
          <w:szCs w:val="20"/>
          <w:color w:val="auto"/>
        </w:rPr>
      </w:pPr>
    </w:p>
    <w:tbl>
      <w:tblPr>
        <w:tblLayout w:type="fixed"/>
        <w:tblInd w:w="23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 per share</w:t>
            </w: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tangible book value per share as of March 31, 2026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this offering</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0.85</w:t>
            </w:r>
          </w:p>
        </w:tc>
        <w:tc>
          <w:tcPr>
            <w:tcW w:w="4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adjusted net tangible book value per share after giving effect to this offering</w:t>
            </w:r>
          </w:p>
        </w:tc>
        <w:tc>
          <w:tcPr>
            <w:tcW w:w="4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in net tangible book value per share to new investors in this offering</w:t>
            </w: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Each $1.00 increase in the public offering price of $12.00 per share would increase dilution per share to new investors by approximately $0.96 after deducting estimated underwriting discounts and commissions and estimated offering expenses payable by us, to $8.72.</w:t>
      </w:r>
    </w:p>
    <w:p>
      <w:pPr>
        <w:spacing w:after="0" w:line="125"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Each $1.00 decrease in the public offering price of $12.00 per share would decrease dilution per share to new investors by approximately $0.96 after deducting estimated underwriting discounts and commissions and estimated offering expenses payable by us, to $6.80.</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If the underwriters exercise in full their option to purchase additional shares of common stock, the as adjusted net tangible book value after this offering would be $4.36 per share of our common stock, representing an increase of as adjusted net tangible book value of $0.97 per share to our existing stockholders and an immediate dilution of $7.64 per share to new investors purchasing shares in this offering.</w:t>
      </w:r>
    </w:p>
    <w:p>
      <w:pPr>
        <w:spacing w:after="0" w:line="136"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The information above and in the foregoing table is based upon 189,209,453 shares of our common stock outstanding as of March 31, 2026. The information above and in the foregoing table excludes:</w:t>
      </w:r>
    </w:p>
    <w:p>
      <w:pPr>
        <w:spacing w:after="0" w:line="51" w:lineRule="exact"/>
        <w:rPr>
          <w:sz w:val="20"/>
          <w:szCs w:val="20"/>
          <w:color w:val="auto"/>
        </w:rPr>
      </w:pPr>
    </w:p>
    <w:p>
      <w:pPr>
        <w:ind w:left="2120" w:right="39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25,148,617 shares of common stock issuable upon the exercise of stock options outstanding as of March 31, 2026 at a weighted-average exercise price of $10.18 per share;</w:t>
      </w:r>
    </w:p>
    <w:p>
      <w:pPr>
        <w:spacing w:after="0" w:line="51" w:lineRule="exact"/>
        <w:rPr>
          <w:rFonts w:ascii="Times New Roman" w:cs="Times New Roman" w:eastAsia="Times New Roman" w:hAnsi="Times New Roman"/>
          <w:sz w:val="14"/>
          <w:szCs w:val="14"/>
          <w:color w:val="auto"/>
        </w:rPr>
      </w:pPr>
    </w:p>
    <w:p>
      <w:pPr>
        <w:ind w:left="5520" w:right="499" w:hanging="3745"/>
        <w:spacing w:after="0" w:line="455"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3,021,051 shares of common stock issuable upon the vesting and settlement of restricted stock units outstanding as of March 31, 2026; S-19</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13,434,232 shares of common stock reserved for future issuance as of March 31, 2026 under our 2020 Plan;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7,896,350 shares of common stock reserved for future issuance as of March 31, 2026 under our 2020 Employee Stock Purchase Plan; and</w:t>
      </w:r>
    </w:p>
    <w:p>
      <w:pPr>
        <w:spacing w:after="0" w:line="101" w:lineRule="exact"/>
        <w:rPr>
          <w:rFonts w:ascii="Times New Roman" w:cs="Times New Roman" w:eastAsia="Times New Roman" w:hAnsi="Times New Roman"/>
          <w:sz w:val="14"/>
          <w:szCs w:val="14"/>
          <w:color w:val="auto"/>
        </w:rPr>
      </w:pPr>
    </w:p>
    <w:p>
      <w:pPr>
        <w:jc w:val="both"/>
        <w:ind w:left="2120" w:right="339" w:hanging="345"/>
        <w:spacing w:after="0" w:line="267"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1,865,000 shares of common stock that we sold after March 31, 2026 and prior to the date of this prospectus supplement, pursuant to that sales agreement dated as of August 6, 2024 entered into by and between the Company and TD Securities (USA) LLC, for net proceeds of approximately $22.1 million.</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addition, we may choose to raise additional capital in the future through the sale of equity or convertible debt securities due to market conditions or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strategic considerations, even if we believe we have sufficient funds for our current or future operating plans. To the extent that any of our outstanding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options are exercised, shares of common stock are issued upon the vesting and settlement of our restricted stock units outstanding, new equity awards</w:t>
      </w:r>
    </w:p>
    <w:p>
      <w:pPr>
        <w:spacing w:after="0" w:line="7"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are granted under our equity incentive plans, additional shares of common stock are issued pursuant to the Sales Agreement with TD Securities (USA) LLC or we otherwise issue additional shares of common stock or other equity or convertible debt securities in the future, there may be further dilution to investors participating in this offering.</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Fourth Amended and Restated Certificate of Incorporation, as amended from time to time, or certificate of incorporation, and our Second Amended and Restated Bylaws, as amended from time to time, or bylaws, which are exhibits to the registration statement of which this prospectus forms a part, and by applicable law. The terms of our common stock and preferred stock may also be affected by Delaware law.</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Our authorized capital stock consists of Three Hundred Million (300,000,000) shares of common stock, par value $0.001 per share and Ten Million (10,000,000) shares of undesignated preferred stock, par value $0.001 per share.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3"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trading symbol “RLAY.”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effects of our certificate of incorporation and bylaws and Delaware law</w:t>
      </w:r>
    </w:p>
    <w:p>
      <w:pPr>
        <w:spacing w:after="0" w:line="93"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 and filling vacancies</w:t>
      </w:r>
    </w:p>
    <w:p>
      <w:pPr>
        <w:spacing w:after="0" w:line="93"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Our certificate of incorporation provides for the division of our board of directors into three classes serving staggered three-year terms, with one class being elected each year. Our certificate of incorporation also provides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 written consent of stockholders</w:t>
      </w:r>
    </w:p>
    <w:p>
      <w:pPr>
        <w:spacing w:after="0" w:line="93" w:lineRule="exact"/>
        <w:rPr>
          <w:sz w:val="20"/>
          <w:szCs w:val="20"/>
          <w:color w:val="auto"/>
        </w:rPr>
      </w:pPr>
    </w:p>
    <w:p>
      <w:pPr>
        <w:ind w:left="1360" w:right="699"/>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provides that all stockholder actions are required to be taken by a vote of the stockholders at an annual or special meeting, and that stockholders may not take any action by written consent in</w:t>
      </w:r>
    </w:p>
    <w:p>
      <w:pPr>
        <w:spacing w:after="0" w:line="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lieu of a meeting. This limit may lengthen the amount of time required to take stockholder actions and would prevent the amendment of our bylaws or removal of directors by our stockholders without holding a meeting of stockholders.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Meetings of stockholders</w:t>
      </w:r>
    </w:p>
    <w:p>
      <w:pPr>
        <w:spacing w:after="0" w:line="93"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9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3"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Our certificate of incorporation provides for 10,000,000 authorized shares of preferred stock. The existence of authorized but unissued shares of preferred stock may enable our board of directors to discourage an attempt to</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93"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(or, if the Chancery Court does not have jurisdiction, the federal district court for the District of Delaware or other state courts of the State of Delaware) will be the sole and exclusive forum for: (1) any derivative action or proceeding brought on our behalf; (2) any action asserting a claim of, or a claim based on, a breach of a fiduciary duty owed by any of our current or former directors, officers, or other employees or stockholders to us or our stockholders; (3) any action asserting a claim arising pursuant to any provision of the Delaware General Corporation Law, or DGCL, or our certificate of incorporation or bylaws (including the interpretation, validity or enforceability thereof) or as to which the DGCL confers jurisdiction on the Chancery Court; or (4) any action asserting a claim governed by the internal affairs doctrine. Our bylaws also provide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bylaws is inapplicable or unenforceable if it is challenged in a proceeding or otherwise.</w:t>
      </w:r>
    </w:p>
    <w:p>
      <w:pPr>
        <w:spacing w:after="0" w:line="146"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In addition, our bylaws provide that, unless we consent in writing to the selection of an alternative forum, the federal district courts of the United States of America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a federal district court of the United States of America, the plaintiff or plaintiffs shall be deemed by this provision of the bylaws (i) to have consented to removal of the action by us to a federal district court of the United States of America and (ii) to have consented to transfer of the action to such court.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Section 203 of the DGCL</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are subject to the provisions of Section 203 of the DGCL. In general, Section 203 prohibits a publicly held Delaware corporation from engaging in a “business combination” with an “interested stockholder” for a three-year period following the time that the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2120" w:right="23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an interested stockholder, our board of directors approved either the business combination or the transaction which resulted in the stockholder becoming an interested stockholder;</w:t>
      </w:r>
    </w:p>
    <w:p>
      <w:pPr>
        <w:spacing w:after="0" w:line="51" w:lineRule="exact"/>
        <w:rPr>
          <w:rFonts w:ascii="Times New Roman" w:cs="Times New Roman" w:eastAsia="Times New Roman" w:hAnsi="Times New Roman"/>
          <w:sz w:val="14"/>
          <w:szCs w:val="14"/>
          <w:color w:val="auto"/>
        </w:rPr>
      </w:pPr>
    </w:p>
    <w:p>
      <w:pPr>
        <w:jc w:val="both"/>
        <w:ind w:left="2120" w:right="439" w:hanging="345"/>
        <w:spacing w:after="0" w:line="267"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(i) owned by persons who are directors and also officers and (ii) issued under</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59"/>
        <w:spacing w:after="0" w:line="283" w:lineRule="auto"/>
        <w:rPr>
          <w:sz w:val="20"/>
          <w:szCs w:val="20"/>
          <w:color w:val="auto"/>
        </w:rPr>
      </w:pPr>
      <w:r>
        <w:rPr>
          <w:rFonts w:ascii="Times New Roman" w:cs="Times New Roman" w:eastAsia="Times New Roman" w:hAnsi="Times New Roman"/>
          <w:sz w:val="14"/>
          <w:szCs w:val="14"/>
          <w:color w:val="auto"/>
        </w:rPr>
        <w:t>employee stock plans in which employee participants do not have the right to determine confidentially whether shares held subject to the plan will be tendered in a tender or exchange offer; or</w:t>
      </w:r>
    </w:p>
    <w:p>
      <w:pPr>
        <w:spacing w:after="0" w:line="51" w:lineRule="exact"/>
        <w:rPr>
          <w:sz w:val="20"/>
          <w:szCs w:val="20"/>
          <w:color w:val="auto"/>
        </w:rPr>
      </w:pPr>
    </w:p>
    <w:p>
      <w:pPr>
        <w:ind w:left="2120" w:right="339" w:hanging="345"/>
        <w:spacing w:after="0" w:line="267"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an interested stockholder, the business combination is approved by our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102" w:lineRule="exact"/>
        <w:rPr>
          <w:sz w:val="20"/>
          <w:szCs w:val="20"/>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pledge or other disposition involving the interested stockholder of 10% or more of the assets of the corporation; subject to exceptions, any transaction that results in the issuance or transfer by the corporation of any stock of the corporation to the interested stockholder;</w:t>
      </w:r>
    </w:p>
    <w:p>
      <w:pPr>
        <w:spacing w:after="0" w:line="6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360" w:right="499"/>
        <w:spacing w:after="0" w:line="323" w:lineRule="auto"/>
        <w:rPr>
          <w:sz w:val="20"/>
          <w:szCs w:val="20"/>
          <w:color w:val="auto"/>
        </w:rPr>
      </w:pPr>
      <w:r>
        <w:rPr>
          <w:rFonts w:ascii="Times New Roman" w:cs="Times New Roman" w:eastAsia="Times New Roman" w:hAnsi="Times New Roman"/>
          <w:sz w:val="13"/>
          <w:szCs w:val="13"/>
          <w:color w:val="auto"/>
        </w:rPr>
        <w:t>The transfer agent and registrar for our common stock is Computershare Trust Company, N.A. The transfer agent and registrar’s address is P.O. Box 43006, Providence, Rhode Island 02940-3006, and its telephone number within the U.S. is (800) 736-3001 and outside the U.S. is (781) 575-3100.</w:t>
      </w:r>
    </w:p>
    <w:p>
      <w:pPr>
        <w:spacing w:after="0" w:line="5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MATERIAL U.S. FEDERAL INCOME TAX CONSIDERATIONS FOR NON-U.S. HOLDERS OF COMMON STOCK</w:t>
      </w:r>
    </w:p>
    <w:p>
      <w:pPr>
        <w:spacing w:after="0" w:line="177"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following discussion is a summary of certain material U.S. federal income tax considerations applicable to non-U.S. holders (as defined below) with respect to their ownership and disposition of shares of our common stock. For purposes of this discussion, a non-U.S. holder means a beneficial owner of our common stock that is, for U.S. federal income tax purposes:</w:t>
      </w:r>
    </w:p>
    <w:p>
      <w:pPr>
        <w:spacing w:after="0" w:line="62" w:lineRule="exact"/>
        <w:rPr>
          <w:sz w:val="20"/>
          <w:szCs w:val="20"/>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corporation or any other foreign organization taxable as a corporation for U.S. federal income tax purposes;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estate or trust, the income of which is not subject to U.S. federal income tax on a net income basis.</w:t>
      </w:r>
    </w:p>
    <w:p>
      <w:pPr>
        <w:spacing w:after="0" w:line="175" w:lineRule="exact"/>
        <w:rPr>
          <w:sz w:val="20"/>
          <w:szCs w:val="20"/>
          <w:color w:val="auto"/>
        </w:rPr>
      </w:pPr>
    </w:p>
    <w:p>
      <w:pPr>
        <w:ind w:left="1360" w:right="519"/>
        <w:spacing w:after="0" w:line="257" w:lineRule="auto"/>
        <w:rPr>
          <w:sz w:val="20"/>
          <w:szCs w:val="20"/>
          <w:color w:val="auto"/>
        </w:rPr>
      </w:pPr>
      <w:r>
        <w:rPr>
          <w:rFonts w:ascii="Times New Roman" w:cs="Times New Roman" w:eastAsia="Times New Roman" w:hAnsi="Times New Roman"/>
          <w:sz w:val="14"/>
          <w:szCs w:val="14"/>
          <w:color w:val="auto"/>
        </w:rPr>
        <w:t>This discussion does not address the tax treatment of partnerships or other entities or arrangements that are treated as pass-through entities for U.S. federal income tax purposes or persons that hold their shares of our common stock through partnerships or such other pass-through entities. The tax treatment of a partner in a partnership or other entity or arrangement that is treated as a pass-through entity for U.S. federal income tax purposes generally will depend upon the status of the partner and the activities of the partnership. A partner in a partnership or an investor in any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43"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This discussion is based on current provisions of the Internal Revenue Code of 1986, as amended, or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non-U.S. holders described in this prospectus supplement. There can be no assurance that the Internal Revenue Service, or the IRS, will not challenge one or more of the tax consequences described herein. We assume in this discussion that a non-U.S. holder holds shares of our common stock as a capital asset, which is generally property held for investment.</w:t>
      </w:r>
    </w:p>
    <w:p>
      <w:pPr>
        <w:spacing w:after="0" w:line="14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This discussion does not address all aspects of U.S. federal income taxation that may be relevant to a particular non-U.S. holder in light of that non-U.S. holder’s individual circumstances, including the alternative minimum tax, the Medicare tax on net investment income or the rules relating to “qualified small business stock,” or any U.S. federal tax other than the income tax (including, for example, the estate tax), nor does it address any aspects of U.S. state, local or non-U.S. taxes. This discussion also does not consider any specific facts or circumstances that may apply to a non-U.S. holder and does not address the special tax rules applicable to particular non-U.S. holders, such as:</w:t>
      </w:r>
    </w:p>
    <w:p>
      <w:pPr>
        <w:spacing w:after="0" w:line="70" w:lineRule="exact"/>
        <w:rPr>
          <w:sz w:val="20"/>
          <w:szCs w:val="20"/>
          <w:color w:val="auto"/>
        </w:rPr>
      </w:pPr>
    </w:p>
    <w:p>
      <w:pPr>
        <w:ind w:left="2120" w:hanging="429"/>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 governmental organizations;</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or dealers in securities;</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w:t>
      </w:r>
    </w:p>
    <w:p>
      <w:pPr>
        <w:spacing w:after="0" w:line="101" w:lineRule="exact"/>
        <w:rPr>
          <w:rFonts w:ascii="Times New Roman" w:cs="Times New Roman" w:eastAsia="Times New Roman" w:hAnsi="Times New Roman"/>
          <w:sz w:val="14"/>
          <w:szCs w:val="14"/>
          <w:color w:val="auto"/>
        </w:rPr>
      </w:pPr>
    </w:p>
    <w:p>
      <w:pPr>
        <w:ind w:left="2120" w:right="639" w:hanging="429"/>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429"/>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or entities wholly owned by one or more “qualified foreign pension funds”;</w:t>
      </w:r>
    </w:p>
    <w:p>
      <w:pPr>
        <w:spacing w:after="0" w:line="101" w:lineRule="exact"/>
        <w:rPr>
          <w:rFonts w:ascii="Times New Roman" w:cs="Times New Roman" w:eastAsia="Times New Roman" w:hAnsi="Times New Roman"/>
          <w:sz w:val="14"/>
          <w:szCs w:val="14"/>
          <w:color w:val="auto"/>
        </w:rPr>
      </w:pPr>
    </w:p>
    <w:p>
      <w:pPr>
        <w:ind w:left="2120" w:right="579" w:hanging="429"/>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partners and investors therein);</w:t>
      </w:r>
    </w:p>
    <w:p>
      <w:pPr>
        <w:spacing w:after="0" w:line="5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have a functional currency other than the U.S. dollar;</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our common stock as part of a straddle, hedge, conversion transaction, synthetic security or other integrated investment;</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or receive our common stock pursuant to the exercise of any employee stock option or otherwise as compensation;</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in pass-through entities (or entities that are treated as disregarded entities for U.S. federal income tax purposes); and</w:t>
      </w:r>
    </w:p>
    <w:p>
      <w:pPr>
        <w:spacing w:after="0" w:line="10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w:t>
      </w:r>
    </w:p>
    <w:p>
      <w:pPr>
        <w:spacing w:after="0" w:line="175"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This discussion is for general information only and is not tax advice. Accordingly, all prospective non-U.S. holders of our common stock should consult their tax advisors with respect to the U.S. federal, state, local, estate and non-U.S. tax consequences of the purchase, ownership and disposition of our common stock.</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 on our common stock</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As described in the “Dividend Policy” section above, we do not intend to pay any cash dividends on our common stock in the foreseeable future. Distributions, if any, on shares of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shares of common stock. Any remaining excess will be treated as capital gain, subject to the tax treatment described below in “Gain on sale or other taxable disposition of our shares of common stock.” Any such distributions will also be subject to the discussion below under the section titled “Withholding and information reporting requirements—FATCA.”</w:t>
      </w:r>
    </w:p>
    <w:p>
      <w:pPr>
        <w:spacing w:after="0" w:line="14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Subject to the discussion in the following two paragraphs in this section, dividends paid to a non-U.S. holder generally will be subject to withholding of U.S. federal income tax at a 30% rate or such lower rate specified by an applicable income tax treaty between the United States and such holder’s country of residence.</w:t>
      </w:r>
    </w:p>
    <w:p>
      <w:pPr>
        <w:spacing w:after="0" w:line="13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specified by an applicable income tax treaty between the United States and such holder’s country of residence.</w:t>
      </w:r>
    </w:p>
    <w:p>
      <w:pPr>
        <w:spacing w:after="0" w:line="14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A non-U.S. holder of shares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regarding their entitlement to benefits under a relevant income tax treaty. A non-U.S. holder that is eligible for a reduced rate of U.S. withholding tax under an income tax treaty may obtain a refund or credit of any excess amounts withheld by timely filing an appropriate claim with the IRS.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Gain on sale, exchange or other taxable disposition of shares of our common stock</w:t>
      </w:r>
    </w:p>
    <w:p>
      <w:pPr>
        <w:spacing w:after="0" w:line="93"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Subject to the discussion below under “Withholding and information reporting requirements—FATCA,” a non-U.S. holder generally will not be subject to any U.S. federal income tax on any gain realized upon such holder’s sale, exchange or other taxable disposition of shares of our common stock unless:</w:t>
      </w:r>
    </w:p>
    <w:p>
      <w:pPr>
        <w:spacing w:after="0" w:line="62" w:lineRule="exact"/>
        <w:rPr>
          <w:sz w:val="20"/>
          <w:szCs w:val="20"/>
          <w:color w:val="auto"/>
        </w:rPr>
      </w:pPr>
    </w:p>
    <w:p>
      <w:pPr>
        <w:ind w:left="2120" w:right="339" w:hanging="429"/>
        <w:spacing w:after="0" w:line="258"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0" w:lineRule="exact"/>
        <w:rPr>
          <w:rFonts w:ascii="Times New Roman" w:cs="Times New Roman" w:eastAsia="Times New Roman" w:hAnsi="Times New Roman"/>
          <w:sz w:val="14"/>
          <w:szCs w:val="14"/>
          <w:color w:val="auto"/>
        </w:rPr>
      </w:pPr>
    </w:p>
    <w:p>
      <w:pPr>
        <w:ind w:left="2120" w:right="279" w:hanging="429"/>
        <w:spacing w:after="0" w:line="257"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69" w:lineRule="exact"/>
        <w:rPr>
          <w:rFonts w:ascii="Times New Roman" w:cs="Times New Roman" w:eastAsia="Times New Roman" w:hAnsi="Times New Roman"/>
          <w:sz w:val="14"/>
          <w:szCs w:val="14"/>
          <w:color w:val="auto"/>
        </w:rPr>
      </w:pPr>
    </w:p>
    <w:p>
      <w:pPr>
        <w:ind w:left="2120" w:right="259" w:hanging="429"/>
        <w:spacing w:after="0" w:line="254"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five-year period ending on the date of the disposition or the period that the non-U.S. holder held our common stock. Generally, a corporation is a “U.S. real property holding corporation” only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rules described above.</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Backup withholding and information reporting</w:t>
      </w:r>
    </w:p>
    <w:p>
      <w:pPr>
        <w:spacing w:after="0" w:line="93"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We must report annually to the IRS and to each non-U.S. holder the gross amount of the distributions on shares of our common stock paid to such holder and the tax withheld, if any, with respect to such distributions.</w:t>
      </w:r>
    </w:p>
    <w:p>
      <w:pPr>
        <w:spacing w:after="0" w:line="12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Non-U.S. holders may have to comply with specific certification procedures to establish that the holder is not a United States person (as defined in the Code) in order to avoid backup withholding at the applicable rate with respect to dividends on shares of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in “Distributions on our common stock,” generally will be exempt from U.S. backup withholding.</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Information reporting and backup withholding will generally apply to the proceeds of a disposition of shares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Withholding and information reporting requirements—FATCA</w:t>
      </w:r>
    </w:p>
    <w:p>
      <w:pPr>
        <w:spacing w:after="0" w:line="9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The Foreign Account Tax Compliance Act, or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payments of gross proceeds of sales or other dispositions of shares of our common stock, although under proposed U.S. Treasury regulations (the preamble to which specifies that taxpayers, including withholding agents, are generally permitted to rely on them pending finalization), no withholding will apply to payments of gross proceeds.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shares of common stock, including, without limitation, the process and deadlines for meeting the applicable requirements to prevent the imposition of the 30% withholding tax under FATCA.</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7"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We and the underwriters named below have entered into an underwriting agreement with respect to the shares being offered. Subject to certain conditions, each underwriter has severally agreed to purchase the number of shares indicated in the following table. Jefferies LLC and TD Securities (USA) LLC are the representatives of the underwriters.</w:t>
      </w:r>
    </w:p>
    <w:p>
      <w:pPr>
        <w:spacing w:after="0" w:line="152" w:lineRule="exact"/>
        <w:rPr>
          <w:sz w:val="20"/>
          <w:szCs w:val="20"/>
          <w:color w:val="auto"/>
        </w:rPr>
      </w:pPr>
    </w:p>
    <w:tbl>
      <w:tblPr>
        <w:tblLayout w:type="fixed"/>
        <w:tblInd w:w="2740" w:type="dxa"/>
        <w:tblCellMar>
          <w:top w:w="0" w:type="dxa"/>
          <w:left w:w="0" w:type="dxa"/>
          <w:bottom w:w="0" w:type="dxa"/>
          <w:right w:w="0" w:type="dxa"/>
        </w:tblCellMar>
      </w:tblPr>
      <w:tr>
        <w:trPr>
          <w:trHeight w:val="135"/>
        </w:trPr>
        <w:tc>
          <w:tcPr>
            <w:tcW w:w="34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2380" w:type="dxa"/>
            <w:vAlign w:val="bottom"/>
            <w:gridSpan w:val="3"/>
          </w:tcPr>
          <w:p>
            <w:pPr>
              <w:ind w:left="1460"/>
              <w:spacing w:after="0"/>
              <w:rPr>
                <w:sz w:val="20"/>
                <w:szCs w:val="20"/>
                <w:color w:val="auto"/>
              </w:rPr>
            </w:pPr>
            <w:r>
              <w:rPr>
                <w:rFonts w:ascii="Times New Roman" w:cs="Times New Roman" w:eastAsia="Times New Roman" w:hAnsi="Times New Roman"/>
                <w:sz w:val="11"/>
                <w:szCs w:val="11"/>
                <w:b w:val="1"/>
                <w:bCs w:val="1"/>
                <w:color w:val="auto"/>
              </w:rPr>
              <w:t>Number of Shares</w:t>
            </w:r>
          </w:p>
        </w:tc>
      </w:tr>
      <w:tr>
        <w:trPr>
          <w:trHeight w:val="159"/>
        </w:trPr>
        <w:tc>
          <w:tcPr>
            <w:tcW w:w="34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Jefferies LLC</w:t>
            </w:r>
          </w:p>
        </w:tc>
        <w:tc>
          <w:tcPr>
            <w:tcW w:w="14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7,447,917</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5,729,167</w:t>
            </w:r>
          </w:p>
        </w:tc>
        <w:tc>
          <w:tcPr>
            <w:tcW w:w="40" w:type="dxa"/>
            <w:vAlign w:val="bottom"/>
          </w:tcPr>
          <w:p>
            <w:pPr>
              <w:spacing w:after="0"/>
              <w:rPr>
                <w:sz w:val="14"/>
                <w:szCs w:val="14"/>
                <w:color w:val="auto"/>
              </w:rPr>
            </w:pPr>
          </w:p>
        </w:tc>
      </w:tr>
      <w:tr>
        <w:trPr>
          <w:trHeight w:val="16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4,125,000</w:t>
            </w:r>
          </w:p>
        </w:tc>
        <w:tc>
          <w:tcPr>
            <w:tcW w:w="40" w:type="dxa"/>
            <w:vAlign w:val="bottom"/>
            <w:shd w:val="clear" w:color="auto" w:fill="CCEEFF"/>
          </w:tcPr>
          <w:p>
            <w:pPr>
              <w:spacing w:after="0"/>
              <w:rPr>
                <w:sz w:val="14"/>
                <w:szCs w:val="14"/>
                <w:color w:val="auto"/>
              </w:rPr>
            </w:pPr>
          </w:p>
        </w:tc>
      </w:tr>
      <w:tr>
        <w:trPr>
          <w:trHeight w:val="16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Guggenheim Securities, LLC</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4,125,000</w:t>
            </w:r>
          </w:p>
        </w:tc>
        <w:tc>
          <w:tcPr>
            <w:tcW w:w="40" w:type="dxa"/>
            <w:vAlign w:val="bottom"/>
          </w:tcPr>
          <w:p>
            <w:pPr>
              <w:spacing w:after="0"/>
              <w:rPr>
                <w:sz w:val="14"/>
                <w:szCs w:val="14"/>
                <w:color w:val="auto"/>
              </w:rPr>
            </w:pPr>
          </w:p>
        </w:tc>
      </w:tr>
      <w:tr>
        <w:trPr>
          <w:trHeight w:val="16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James &amp; Associates, Inc.</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1,489,583</w:t>
            </w:r>
          </w:p>
        </w:tc>
        <w:tc>
          <w:tcPr>
            <w:tcW w:w="40" w:type="dxa"/>
            <w:vAlign w:val="bottom"/>
            <w:shd w:val="clear" w:color="auto" w:fill="CCEEFF"/>
          </w:tcPr>
          <w:p>
            <w:pPr>
              <w:spacing w:after="0"/>
              <w:rPr>
                <w:sz w:val="14"/>
                <w:szCs w:val="14"/>
                <w:color w:val="auto"/>
              </w:rPr>
            </w:pPr>
          </w:p>
        </w:tc>
      </w:tr>
      <w:tr>
        <w:trPr>
          <w:trHeight w:val="169"/>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22,916,667</w:t>
            </w:r>
          </w:p>
        </w:tc>
        <w:tc>
          <w:tcPr>
            <w:tcW w:w="40" w:type="dxa"/>
            <w:vAlign w:val="bottom"/>
          </w:tcPr>
          <w:p>
            <w:pPr>
              <w:spacing w:after="0"/>
              <w:rPr>
                <w:sz w:val="14"/>
                <w:szCs w:val="14"/>
                <w:color w:val="auto"/>
              </w:rPr>
            </w:pPr>
          </w:p>
        </w:tc>
      </w:tr>
      <w:tr>
        <w:trPr>
          <w:trHeight w:val="20"/>
        </w:trPr>
        <w:tc>
          <w:tcPr>
            <w:tcW w:w="3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25" w:lineRule="exact"/>
        <w:rPr>
          <w:sz w:val="20"/>
          <w:szCs w:val="20"/>
          <w:color w:val="auto"/>
        </w:rPr>
      </w:pPr>
    </w:p>
    <w:p>
      <w:pPr>
        <w:ind w:left="1360" w:right="399"/>
        <w:spacing w:after="0" w:line="323" w:lineRule="auto"/>
        <w:rPr>
          <w:sz w:val="20"/>
          <w:szCs w:val="20"/>
          <w:color w:val="auto"/>
        </w:rPr>
      </w:pPr>
      <w:r>
        <w:rPr>
          <w:rFonts w:ascii="Times New Roman" w:cs="Times New Roman" w:eastAsia="Times New Roman" w:hAnsi="Times New Roman"/>
          <w:sz w:val="13"/>
          <w:szCs w:val="13"/>
          <w:color w:val="auto"/>
        </w:rPr>
        <w:t>The underwriters have an option to buy up to an additional 3,437,500 shares from us. They may exercise that option for 30 days. If any shares are purchased pursuant to this option, the underwriters will severally purchase shares in approximately the same proportion as set forth in the table above.</w:t>
      </w:r>
    </w:p>
    <w:p>
      <w:pPr>
        <w:spacing w:after="0" w:line="102"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to be paid to the underwriters by us. Such amounts are shown assuming both no exercise and full exercise of the underwriters’ option to purchase 3,437,500 additional shares from us.</w:t>
      </w:r>
    </w:p>
    <w:p>
      <w:pPr>
        <w:spacing w:after="0" w:line="141"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Paid by Relay Therapeutics, Inc.</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59"/>
        </w:trPr>
        <w:tc>
          <w:tcPr>
            <w:tcW w:w="20" w:type="dxa"/>
            <w:vAlign w:val="bottom"/>
          </w:tcPr>
          <w:p>
            <w:pPr>
              <w:spacing w:after="0"/>
              <w:rPr>
                <w:sz w:val="13"/>
                <w:szCs w:val="13"/>
                <w:color w:val="auto"/>
              </w:rPr>
            </w:pPr>
          </w:p>
        </w:tc>
        <w:tc>
          <w:tcPr>
            <w:tcW w:w="3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Per Share</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0.72</w:t>
            </w:r>
          </w:p>
        </w:tc>
        <w:tc>
          <w:tcPr>
            <w:tcW w:w="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0.72</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16,500,000.24</w:t>
            </w:r>
          </w:p>
        </w:tc>
        <w:tc>
          <w:tcPr>
            <w:tcW w:w="360" w:type="dxa"/>
            <w:vAlign w:val="bottom"/>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18,975,000.24</w:t>
            </w:r>
          </w:p>
        </w:tc>
        <w:tc>
          <w:tcPr>
            <w:tcW w:w="40" w:type="dxa"/>
            <w:vAlign w:val="bottom"/>
          </w:tcPr>
          <w:p>
            <w:pPr>
              <w:spacing w:after="0"/>
              <w:rPr>
                <w:sz w:val="14"/>
                <w:szCs w:val="14"/>
                <w:color w:val="auto"/>
              </w:rPr>
            </w:pPr>
          </w:p>
        </w:tc>
      </w:tr>
    </w:tbl>
    <w:p>
      <w:pPr>
        <w:spacing w:after="0" w:line="16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Shares sold by the underwriters to the public will initially be offered at the public offering price set forth on the cover of this prospectus supplement. Any shares sold by the underwriters to securities dealers may be sold at a discount of up to $0.432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1"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color w:val="auto"/>
        </w:rPr>
        <w:t>We have agreed that, subject to certain limited exceptions,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Jefferies LLC and TD Securities (USA) LLC for a period of 60 days after the date of this prospectus supplement, other than the shares of our common stock to be sold in this offering.</w:t>
      </w:r>
    </w:p>
    <w:p>
      <w:pPr>
        <w:spacing w:after="0" w:line="149"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Our directors and executive officers (such persons, the “lock-up parties”) have entered into lock-up agreements with the underwriters prior to the commencement of this offering pursuant to which each lock-up party, with</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limited exceptions, for a period of 60 days after the date of this prospectus supplement (such period, the “restricted period”), may not (and may not cause any of their direct or indirect affiliates to), without the prior written consent of Jefferies LLC and TD Securities (USA)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55"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or for bona fide estate planning purposes, (ii) by will or intestacy, (iii) to any trust for the direct or indirect benefit of the lock-up party or any immediate family member of the lock-up party, or, if the lock-up party is a trust, to a trustor or beneficiary of the trust or to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our equity incentive plans (including “net” or “cashless” exercise, vesting or settlement solely to cover withholding tax obligations in connection with such exercise, vesting, “sale-to-cover” transactions, or other settlement and any transfer to us for the payment of taxes as a result of such exercise, vesting or settlement), provided that any lock-up securities received upon such exercise, vesting or settlement would be subject to restrictions similar to those in the immediately preceding paragraph; (c) the establishment by lock-up parties of trading plans under Rule 10b5-1 under the Exchange Act, provided that such plan does not provide for the transfer of lock-up securities during the restricted period; and (d) the sale of lock-up securities (including</w:t>
      </w:r>
    </w:p>
    <w:p>
      <w:pPr>
        <w:spacing w:after="0" w:line="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following the exercise of options to purchase common stock) pursuant to existing trading plans under Rule 10b5-1 under the Exchange Act.</w:t>
      </w:r>
    </w:p>
    <w:p>
      <w:pPr>
        <w:spacing w:after="0" w:line="175"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Jefferies LLC and TD Securities (USA) LLC, in their sole discretion, may release the securities subject to any of the lock-up agreements with the underwriters described above, in whole or in part at any time.</w:t>
      </w:r>
    </w:p>
    <w:p>
      <w:pPr>
        <w:spacing w:after="0" w:line="125"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49"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6"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44"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supplement to third parties in privately negotiated transactions. In connection with those derivatives, the third parties may sell securities covered by this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or will be identified in a post-effective amendment.</w:t>
      </w:r>
    </w:p>
    <w:p>
      <w:pPr>
        <w:spacing w:after="0" w:line="14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We estimate that the total expenses of the offering, excluding underwriting discounts and commissions, will be approximately $500,000. We have also agreed to reimburse the underwriters for certain of their expenses in an amount up to $35,000.</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agreed to indemnify the several underwriters against certain liabilities, including liabilities under the Securities Act.</w:t>
      </w:r>
    </w:p>
    <w:p>
      <w:pPr>
        <w:spacing w:after="0" w:line="175"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spacing w:after="0" w:line="261" w:lineRule="auto"/>
        <w:rPr>
          <w:sz w:val="20"/>
          <w:szCs w:val="20"/>
          <w:color w:val="auto"/>
        </w:rPr>
      </w:pPr>
      <w:r>
        <w:rPr>
          <w:rFonts w:ascii="Times New Roman" w:cs="Times New Roman" w:eastAsia="Times New Roman" w:hAnsi="Times New Roman"/>
          <w:sz w:val="14"/>
          <w:szCs w:val="14"/>
          <w:color w:val="auto"/>
        </w:rPr>
        <w:t>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For example, TD Securities (USA) LLC is the sales agent under the Sales Agreement.</w:t>
      </w:r>
    </w:p>
    <w:p>
      <w:pPr>
        <w:spacing w:after="0" w:line="14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European Economic Area</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Member State”), an offer to the public of any shares (the “Offer Shares”) may not be made in that Relevant Member State, except that an offer to the public in that Relevant Member State of any Offer Shares may be made at any time under the following exemptions under the EU Prospectus Regulation:</w:t>
      </w:r>
    </w:p>
    <w:p>
      <w:pPr>
        <w:spacing w:after="0" w:line="62" w:lineRule="exact"/>
        <w:rPr>
          <w:sz w:val="20"/>
          <w:szCs w:val="20"/>
          <w:color w:val="auto"/>
        </w:rPr>
      </w:pPr>
    </w:p>
    <w:p>
      <w:pPr>
        <w:ind w:left="2280" w:hanging="505"/>
        <w:spacing w:after="0"/>
        <w:tabs>
          <w:tab w:leader="none" w:pos="2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EU Prospectus Regulation;</w:t>
      </w:r>
    </w:p>
    <w:p>
      <w:pPr>
        <w:spacing w:after="0" w:line="101" w:lineRule="exact"/>
        <w:rPr>
          <w:rFonts w:ascii="Times New Roman" w:cs="Times New Roman" w:eastAsia="Times New Roman" w:hAnsi="Times New Roman"/>
          <w:sz w:val="14"/>
          <w:szCs w:val="14"/>
          <w:color w:val="auto"/>
        </w:rPr>
      </w:pPr>
    </w:p>
    <w:p>
      <w:pPr>
        <w:ind w:left="2280" w:right="359" w:hanging="505"/>
        <w:spacing w:after="0" w:line="283" w:lineRule="auto"/>
        <w:tabs>
          <w:tab w:leader="none" w:pos="2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EU Prospectus Regulation), subject to obtaining the prior consent of the representatives for any such offer; or</w:t>
      </w:r>
    </w:p>
    <w:p>
      <w:pPr>
        <w:spacing w:after="0" w:line="51" w:lineRule="exact"/>
        <w:rPr>
          <w:rFonts w:ascii="Times New Roman" w:cs="Times New Roman" w:eastAsia="Times New Roman" w:hAnsi="Times New Roman"/>
          <w:sz w:val="14"/>
          <w:szCs w:val="14"/>
          <w:color w:val="auto"/>
        </w:rPr>
      </w:pPr>
    </w:p>
    <w:p>
      <w:pPr>
        <w:ind w:left="2280" w:hanging="505"/>
        <w:spacing w:after="0"/>
        <w:tabs>
          <w:tab w:leader="none" w:pos="2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EU Prospectus Regulation,</w:t>
      </w:r>
    </w:p>
    <w:p>
      <w:pPr>
        <w:spacing w:after="0" w:line="17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provided that no such offer of Offer Shares shall result in a requirement for the Company or any of the representatives to publish a prospectus pursuant to Article 3 of the Prospectus Regulation or a supplemental prospectus pursuant to Article 23 of the Prospectus Regulation and each person who initially acquires any Offer Shares or to whom any offer is made will be deemed to have represented, warranted and agreed to and with each of the representatives and the Company that it is a qualified investor within the meaning of Article 2 of the EU Prospectus Regulation.</w:t>
      </w:r>
    </w:p>
    <w:p>
      <w:pPr>
        <w:spacing w:after="0" w:line="14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the case of any Offer Shares being offered to a financial intermediary as that term is used in Article 1(4) of the EU Prospectus Regulation, each financial intermediary will also be deemed to have represented, warranted and agreed that the Offer Shares acquired by it in the offer have not been acquired on a non-discretionary basis on behalf of, nor have they been acquired with a view to their offer or resale to, persons in circumstances which may give rise to an offer of any Offer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4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 the representatives and their affiliates will rely upon the truth and accuracy of the foregoing representations, warranties and agreements. Notwithstanding the above, a person who is not a “qualified investor” and who has notified the representatives of such fact in writing may, with the prior consent of the representatives. Notwithstanding the above, a person who is not a “qualified investor” and who has notified the representatives of such fact in writing may, with the prior consent of the representatives, be permitted to acquire Offer Shares in the offer.</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96"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any Offer Shares in any Relevant Member State means the communication in any form and by any means of sufficient information on the terms of the offer and any Offer Shares to be offered so as to enable an investor to decide to purchase or subscribe for any Offer Shares, and the expression “EU Prospectus Regulation” means Regulation (EU) 2017/1129.</w:t>
      </w:r>
    </w:p>
    <w:p>
      <w:pPr>
        <w:spacing w:after="0" w:line="2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United Kingdom</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 offer to the public of any Offer Shares may not be made in the United Kingdom, except that an offer to the public in the United Kingdom of any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Offer Shares may be made at any time under the following exemptions under the UK Prospectus Regulation:</w:t>
      </w:r>
    </w:p>
    <w:p>
      <w:pPr>
        <w:spacing w:after="0" w:line="87" w:lineRule="exact"/>
        <w:rPr>
          <w:sz w:val="20"/>
          <w:szCs w:val="20"/>
          <w:color w:val="auto"/>
        </w:rPr>
      </w:pPr>
    </w:p>
    <w:p>
      <w:pPr>
        <w:ind w:left="2120" w:hanging="429"/>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UK Prospectus Regulation;</w:t>
      </w:r>
    </w:p>
    <w:p>
      <w:pPr>
        <w:spacing w:after="0" w:line="101" w:lineRule="exact"/>
        <w:rPr>
          <w:rFonts w:ascii="Times New Roman" w:cs="Times New Roman" w:eastAsia="Times New Roman" w:hAnsi="Times New Roman"/>
          <w:sz w:val="14"/>
          <w:szCs w:val="14"/>
          <w:color w:val="auto"/>
        </w:rPr>
      </w:pPr>
    </w:p>
    <w:p>
      <w:pPr>
        <w:ind w:left="2120" w:right="519" w:hanging="429"/>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UK Prospectus Regulation), subject to obtaining the prior consent of the representatives for any such offer; or</w:t>
      </w:r>
    </w:p>
    <w:p>
      <w:pPr>
        <w:spacing w:after="0" w:line="5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Financial Services and Markets Act 2000 (as amended, “FSMA”),</w:t>
      </w:r>
    </w:p>
    <w:p>
      <w:pPr>
        <w:spacing w:after="0" w:line="17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provided that no such offer of Offer Shares shall result in a requirement for the Company or any representative to publish a prospectus pursuant to section 85 of the FSMA or a supplemental prospectus pursuant to Article 23 of the UK Prospectus Regulation and each person who initially acquires any Offer Shares or to whom any offer is made will be deemed to have represented, warranted and agreed to and with each of the representatives and the Company that it is a qualified investor within the meaning of Article 2 of the UK Prospectus Regulation.</w:t>
      </w:r>
    </w:p>
    <w:p>
      <w:pPr>
        <w:spacing w:after="0" w:line="141"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In the case of any Offer Shares being offered to a financial intermediary as that term is used in Article 1(4) of the UK Prospectus Regulation, each financial intermediary will also be deemed to have represented, warranted and agreed that the Offer Shares acquired by it in the offer have not been acquired on a non-discretionary basis on behalf of, nor have they been acquired with a view to their offer or resale to, persons in circumstances which may give rise to an offer of any Offer Shares to the public, other than their offer or resale in the United Kingdom to qualified investors as so defined or in circumstances in which the prior consent of the representatives has been obtained to each such proposed offer or resale.</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Company, the representatives and their affiliates will rely upon the truth and accuracy of the foregoing representations, warranties and agreements. Notwithstanding the above, a person who is not a “qualified investor” and who has notified the representatives of such fact in writing may, with the prior consent of the representatives, be permitted to acquire Offer Shares in the offer.</w:t>
      </w:r>
    </w:p>
    <w:p>
      <w:pPr>
        <w:spacing w:after="0" w:line="136"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Offer Shares in the United Kingdom means the communication in any form and by any means of sufficient information on the terms of the offer and any Offer Shares to be offered so as to enable an investor to decide to purchase or subscribe for any Offer Shares.</w:t>
      </w:r>
    </w:p>
    <w:p>
      <w:pPr>
        <w:spacing w:after="0" w:line="136"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 net worth companies, and other persons to whom it may lawfully be communicated, falling within Article 49(2)(a) to (d) of the Order (all such persons falling within (1)-(3) together being referred to as “relevant persons”). The Offer Shares are only available to, and any invitation, offer or agreement to subscribe, purchase or otherwise acquire the Offer Shares will be engaged in only with, relevant persons. Any person who is not a relevant person should not act or rely on this Prospectus or any of its contents.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Canada</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4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1"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Australia</w:t>
      </w:r>
    </w:p>
    <w:p>
      <w:pPr>
        <w:spacing w:after="0" w:line="93"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62" w:lineRule="exact"/>
        <w:rPr>
          <w:sz w:val="20"/>
          <w:szCs w:val="20"/>
          <w:color w:val="auto"/>
        </w:rPr>
      </w:pPr>
    </w:p>
    <w:p>
      <w:pPr>
        <w:ind w:left="2120" w:hanging="429"/>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confirm and warrant that you are either:</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“sophisticated investor” under section 708(8)(a) or (b) of the Corporations Act;</w:t>
      </w:r>
    </w:p>
    <w:p>
      <w:pPr>
        <w:spacing w:after="0" w:line="101" w:lineRule="exact"/>
        <w:rPr>
          <w:rFonts w:ascii="Times New Roman" w:cs="Times New Roman" w:eastAsia="Times New Roman" w:hAnsi="Times New Roman"/>
          <w:sz w:val="14"/>
          <w:szCs w:val="14"/>
          <w:color w:val="auto"/>
        </w:rPr>
      </w:pPr>
    </w:p>
    <w:p>
      <w:pPr>
        <w:ind w:left="2460" w:right="379" w:hanging="254"/>
        <w:spacing w:after="0" w:line="267" w:lineRule="auto"/>
        <w:tabs>
          <w:tab w:leader="none" w:pos="24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6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associated with the Company under Section 708(12) of the Corporations Act; or</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“professional investor” within the meaning of section 708(11)(a) or (b) of the Corporations Act.</w:t>
      </w:r>
    </w:p>
    <w:p>
      <w:pPr>
        <w:spacing w:after="0" w:line="175"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51" w:lineRule="exact"/>
        <w:rPr>
          <w:sz w:val="20"/>
          <w:szCs w:val="20"/>
          <w:color w:val="auto"/>
        </w:rPr>
      </w:pPr>
    </w:p>
    <w:p>
      <w:pPr>
        <w:ind w:left="2120" w:right="239" w:hanging="429"/>
        <w:spacing w:after="0" w:line="267"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Israel</w:t>
      </w:r>
    </w:p>
    <w:p>
      <w:pPr>
        <w:spacing w:after="0" w:line="93"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Switzerland</w:t>
      </w:r>
    </w:p>
    <w:p>
      <w:pPr>
        <w:spacing w:after="0" w:line="93"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4"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the securities will not be supervised by, the Swiss Financial Market Supervisory Authority FINMA, and the offer of the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Hong Kong</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Singapore</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5"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 is a trust (where the trustee is not an accredited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investor (as defined in Section 4A of the SFA)) whose sole purpose is to hold investments and each beneficiary of the trust is an accredited investor,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beneficiaries’ rights and interest (howsoever described) in that trust shall not be transferable for 6 months after that trust has acquired the shares under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275 of the SFA except: (1) to an institutional investor under Section 274 of the SFA or to a relevant person (as defined in Section 275(2) of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SFA), (2) where such transfer arises from an offer that is made on terms that such rights or interest are acquired at a consideration of not less than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S$200,000 (or its equivalent in a foreign currency) for each transaction (whether such amount is to be paid for in cash or by exchange of securities 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assets), (3) where no consideration is or will be given for the transfer, (4) where the transfer is by operation of law, (5) as specified in Section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276(7) of the SFA, or (6) as specified in Regulation 32.</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Japan</w:t>
      </w:r>
    </w:p>
    <w:p>
      <w:pPr>
        <w:spacing w:after="0" w:line="93"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Brazil</w:t>
      </w:r>
    </w:p>
    <w:p>
      <w:pPr>
        <w:spacing w:after="0" w:line="93" w:lineRule="exact"/>
        <w:rPr>
          <w:sz w:val="20"/>
          <w:szCs w:val="20"/>
          <w:color w:val="auto"/>
        </w:rPr>
      </w:pPr>
    </w:p>
    <w:p>
      <w:pPr>
        <w:ind w:left="1360" w:right="379"/>
        <w:spacing w:after="0" w:line="255" w:lineRule="auto"/>
        <w:rPr>
          <w:sz w:val="20"/>
          <w:szCs w:val="20"/>
          <w:color w:val="auto"/>
        </w:rPr>
      </w:pPr>
      <w:r>
        <w:rPr>
          <w:rFonts w:ascii="Times New Roman" w:cs="Times New Roman" w:eastAsia="Times New Roman" w:hAnsi="Times New Roman"/>
          <w:sz w:val="14"/>
          <w:szCs w:val="14"/>
          <w:color w:val="auto"/>
        </w:rPr>
        <w:t>THE OFFER AND SALE OF THE SECURITIES HAVE NOT BEEN AND WILL NOT BE REGISTERED WITH THE BRAZILIAN SECURITIES COMMISSION (COMISSÃO DE VALORES MOBILIÁRIOS, OR “</w:t>
      </w:r>
      <w:r>
        <w:rPr>
          <w:rFonts w:ascii="Times New Roman" w:cs="Times New Roman" w:eastAsia="Times New Roman" w:hAnsi="Times New Roman"/>
          <w:sz w:val="14"/>
          <w:szCs w:val="14"/>
          <w:b w:val="1"/>
          <w:bCs w:val="1"/>
          <w:color w:val="auto"/>
        </w:rPr>
        <w:t>CVM</w:t>
      </w:r>
      <w:r>
        <w:rPr>
          <w:rFonts w:ascii="Times New Roman" w:cs="Times New Roman" w:eastAsia="Times New Roman" w:hAnsi="Times New Roman"/>
          <w:sz w:val="14"/>
          <w:szCs w:val="14"/>
          <w:color w:val="auto"/>
        </w:rPr>
        <w:t>”) AND, THEREFORE, WILL NOT BE CARRIED OUT BY ANY MEANS THAT WOULD CONSTITUTE A PUBLIC OFFERING IN BRAZIL UNDER CVM RESOLUTION NO 160, DATED 13 JULY 2022, AS AMENDED (“</w:t>
      </w:r>
      <w:r>
        <w:rPr>
          <w:rFonts w:ascii="Times New Roman" w:cs="Times New Roman" w:eastAsia="Times New Roman" w:hAnsi="Times New Roman"/>
          <w:sz w:val="14"/>
          <w:szCs w:val="14"/>
          <w:b w:val="1"/>
          <w:bCs w:val="1"/>
          <w:color w:val="auto"/>
        </w:rPr>
        <w:t>CVM RESOLUTION 160</w:t>
      </w:r>
      <w:r>
        <w:rPr>
          <w:rFonts w:ascii="Times New Roman" w:cs="Times New Roman" w:eastAsia="Times New Roman" w:hAnsi="Times New Roman"/>
          <w:sz w:val="14"/>
          <w:szCs w:val="14"/>
          <w:color w:val="auto"/>
        </w:rPr>
        <w:t>”)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Certain legal matters in connection with this offering will be passed upon for us by Goodwin Procter LLP, Boston, Massachusetts. Certain legal matters in connection with this offering will be passed upon for the underwriters by Ropes &amp; Gray LLP, Boston, Massachusetts.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Relay Therapeutics, Inc. appearing in Relay Therapeutics, Inc.’s Annual Report (Form 10-K) for the year ended December 31, 2025, and the effectiveness of Relay Therapeutics,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60" w:right="519"/>
        <w:spacing w:after="0" w:line="286" w:lineRule="auto"/>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www.relaytx.com</w:t>
      </w:r>
      <w:r>
        <w:rPr>
          <w:rFonts w:ascii="Times New Roman" w:cs="Times New Roman" w:eastAsia="Times New Roman" w:hAnsi="Times New Roman"/>
          <w:sz w:val="14"/>
          <w:szCs w:val="14"/>
          <w:color w:val="auto"/>
        </w:rPr>
        <w:t>. The information on our website, however, is not, and should not be deemed to be, a part of this prospectus supplement or the accompanying prospectus.</w:t>
      </w:r>
    </w:p>
    <w:p>
      <w:pPr>
        <w:spacing w:after="0" w:line="12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part of a registration statement on Form S-3 that we filed with the SEC and does not contain all of the information in the registration statement. The full registration statement may be obtained from the SEC or us, as provided above. Statements in this prospectus supplement and the accompanying prospectus about any documents filed as exhibits to the registration statement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later with the SEC will automatically update and supersede the information already incorporated by reference. We are incorporating by reference the documents listed below, which we have already filed with the SEC (SEC File No. 001-39385), and any future filings we make with the SEC under Sections 13(a), 13(c), 14 or 15(d) of the Exchange Act, including all filings made after the date of this prospectus supplement, except as to any portion of any future report or document that is not deemed filed under such provisions until we sell all of the securities:</w:t>
      </w:r>
    </w:p>
    <w:p>
      <w:pPr>
        <w:spacing w:after="0" w:line="69" w:lineRule="exact"/>
        <w:rPr>
          <w:sz w:val="20"/>
          <w:szCs w:val="20"/>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5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101" w:lineRule="exact"/>
        <w:rPr>
          <w:rFonts w:ascii="Times New Roman" w:cs="Times New Roman" w:eastAsia="Times New Roman" w:hAnsi="Times New Roman"/>
          <w:sz w:val="14"/>
          <w:szCs w:val="14"/>
          <w:color w:val="auto"/>
        </w:rPr>
      </w:pPr>
    </w:p>
    <w:p>
      <w:pPr>
        <w:ind w:left="2120" w:right="219" w:hanging="345"/>
        <w:spacing w:after="0" w:line="26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2025 from our definitive proxy statement on </w:t>
      </w:r>
      <w:hyperlink r:id="rId57">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furnished rather than filed), which was filed with the SEC on April 28, 2026;</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5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ending March 31, 2026 filed with the SEC on May 5, 2026;</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59">
        <w:r>
          <w:rPr>
            <w:rFonts w:ascii="Times New Roman" w:cs="Times New Roman" w:eastAsia="Times New Roman" w:hAnsi="Times New Roman"/>
            <w:sz w:val="14"/>
            <w:szCs w:val="14"/>
            <w:u w:val="single" w:color="auto"/>
            <w:color w:val="0000EE"/>
          </w:rPr>
          <w:t>February 3, 2026</w:t>
        </w:r>
      </w:hyperlink>
      <w:r>
        <w:rPr>
          <w:rFonts w:ascii="Times New Roman" w:cs="Times New Roman" w:eastAsia="Times New Roman" w:hAnsi="Times New Roman"/>
          <w:sz w:val="14"/>
          <w:szCs w:val="14"/>
          <w:color w:val="auto"/>
        </w:rPr>
        <w:t xml:space="preserve">, </w:t>
      </w:r>
      <w:hyperlink r:id="rId60">
        <w:r>
          <w:rPr>
            <w:rFonts w:ascii="Times New Roman" w:cs="Times New Roman" w:eastAsia="Times New Roman" w:hAnsi="Times New Roman"/>
            <w:sz w:val="14"/>
            <w:szCs w:val="14"/>
            <w:u w:val="single" w:color="auto"/>
            <w:color w:val="0000EE"/>
          </w:rPr>
          <w:t>March 11, 2026</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March 16, 2026</w:t>
        </w:r>
      </w:hyperlink>
      <w:r>
        <w:rPr>
          <w:rFonts w:ascii="Times New Roman" w:cs="Times New Roman" w:eastAsia="Times New Roman" w:hAnsi="Times New Roman"/>
          <w:sz w:val="14"/>
          <w:szCs w:val="14"/>
          <w:color w:val="auto"/>
        </w:rPr>
        <w:t xml:space="preserve">, </w:t>
      </w:r>
      <w:hyperlink r:id="rId62">
        <w:r>
          <w:rPr>
            <w:rFonts w:ascii="Times New Roman" w:cs="Times New Roman" w:eastAsia="Times New Roman" w:hAnsi="Times New Roman"/>
            <w:sz w:val="14"/>
            <w:szCs w:val="14"/>
            <w:u w:val="single" w:color="auto"/>
            <w:color w:val="0000EE"/>
          </w:rPr>
          <w:t>April 27,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3">
        <w:r>
          <w:rPr>
            <w:rFonts w:ascii="Times New Roman" w:cs="Times New Roman" w:eastAsia="Times New Roman" w:hAnsi="Times New Roman"/>
            <w:sz w:val="14"/>
            <w:szCs w:val="14"/>
            <w:u w:val="single" w:color="auto"/>
            <w:color w:val="0000EE"/>
          </w:rPr>
          <w:t>May 19, 2026</w:t>
        </w:r>
      </w:hyperlink>
      <w:r>
        <w:rPr>
          <w:rFonts w:ascii="Times New Roman" w:cs="Times New Roman" w:eastAsia="Times New Roman" w:hAnsi="Times New Roman"/>
          <w:sz w:val="14"/>
          <w:szCs w:val="14"/>
          <w:color w:val="auto"/>
        </w:rPr>
        <w:t>, excluding information “furnished” pursuant to Items 2.02, 7.01 or 9.01; and</w:t>
      </w:r>
    </w:p>
    <w:p>
      <w:pPr>
        <w:spacing w:after="0" w:line="5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6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001-39385) as filed with the SEC on July 13, 2020, including any amendments or reports filed for the purpose of updating this description, including </w:t>
      </w:r>
      <w:hyperlink r:id="rId65">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as filed with the SEC on February 22, 2024.</w:t>
      </w:r>
    </w:p>
    <w:p>
      <w:pPr>
        <w:spacing w:after="0" w:line="136" w:lineRule="exact"/>
        <w:rPr>
          <w:rFonts w:ascii="Times New Roman" w:cs="Times New Roman" w:eastAsia="Times New Roman" w:hAnsi="Times New Roman"/>
          <w:sz w:val="14"/>
          <w:szCs w:val="14"/>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Upon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or telephoning us at the following address: Relay Therapeutics, Inc., 60 Hampshire Street, Cambridge, Massachusetts 02139, telephone:</w:t>
      </w:r>
    </w:p>
    <w:p>
      <w:pPr>
        <w:spacing w:after="0" w:line="1" w:lineRule="exact"/>
        <w:rPr>
          <w:rFonts w:ascii="Times New Roman" w:cs="Times New Roman" w:eastAsia="Times New Roman" w:hAnsi="Times New Roman"/>
          <w:sz w:val="14"/>
          <w:szCs w:val="14"/>
          <w:color w:val="auto"/>
        </w:rPr>
      </w:pPr>
    </w:p>
    <w:p>
      <w:pPr>
        <w:ind w:left="1360" w:right="279" w:hanging="5"/>
        <w:spacing w:after="0" w:line="256" w:lineRule="auto"/>
        <w:tabs>
          <w:tab w:leader="none" w:pos="169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370-8837. You may also access these documents, free of charge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on our website at </w:t>
      </w:r>
      <w:r>
        <w:rPr>
          <w:rFonts w:ascii="Times New Roman" w:cs="Times New Roman" w:eastAsia="Times New Roman" w:hAnsi="Times New Roman"/>
          <w:sz w:val="14"/>
          <w:szCs w:val="14"/>
          <w:i w:val="1"/>
          <w:iCs w:val="1"/>
          <w:color w:val="auto"/>
        </w:rPr>
        <w:t>www.relaytx.com</w:t>
      </w:r>
      <w:r>
        <w:rPr>
          <w:rFonts w:ascii="Times New Roman" w:cs="Times New Roman" w:eastAsia="Times New Roman" w:hAnsi="Times New Roman"/>
          <w:sz w:val="14"/>
          <w:szCs w:val="14"/>
          <w:color w:val="auto"/>
        </w:rPr>
        <w:t>. Information contained on our website is not incorporated by reference into this prospectus supplement, and you should not consider any information on, or that can be accessed from, our website as part of this prospectus supplement or any accompanying prospectus supplement.</w:t>
      </w:r>
    </w:p>
    <w:p>
      <w:pPr>
        <w:spacing w:after="0" w:line="143" w:lineRule="exact"/>
        <w:rPr>
          <w:rFonts w:ascii="Times New Roman" w:cs="Times New Roman" w:eastAsia="Times New Roman" w:hAnsi="Times New Roman"/>
          <w:sz w:val="14"/>
          <w:szCs w:val="14"/>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136" w:lineRule="exact"/>
        <w:rPr>
          <w:rFonts w:ascii="Times New Roman" w:cs="Times New Roman" w:eastAsia="Times New Roman" w:hAnsi="Times New Roman"/>
          <w:sz w:val="14"/>
          <w:szCs w:val="14"/>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we filed with the SEC. We have incorporated exhibits into the registration statement. You should read the exhibits carefully for provisions that may be important to you.</w:t>
      </w:r>
    </w:p>
    <w:p>
      <w:pPr>
        <w:spacing w:after="0" w:line="125" w:lineRule="exact"/>
        <w:rPr>
          <w:rFonts w:ascii="Times New Roman" w:cs="Times New Roman" w:eastAsia="Times New Roman" w:hAnsi="Times New Roman"/>
          <w:sz w:val="14"/>
          <w:szCs w:val="14"/>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supplement and the accompanying prospectus. We have not authorized anyone to provide you with different information. 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w:t>
      </w:r>
    </w:p>
    <w:p>
      <w:pPr>
        <w:spacing w:after="0" w:line="88"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Any statement contained in a document that is incorporated by reference will be modified or superseded for all purposes to the extent that a statement contained in this prospectus, or in any other document that is subsequently filed with the SEC and incorporated by reference into this prospectus supplement and the accompanying prospectus, modifies or is contrary to that previous statement. Any statement so modified or superseded will not be deemed a part of this prospectus supplement and the accompanying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in any documents previously incorporated by reference have been modified or superseded.</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75565</wp:posOffset>
            </wp:positionV>
            <wp:extent cx="1675765" cy="634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6757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172085</wp:posOffset>
            </wp:positionV>
            <wp:extent cx="11417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We and/or selling stockholders may from time to time issue, in one or more series or classes, our common stock, preferred stock, debt securities, warrants and/or units. We and/or selling stockholders may offer these securities separately or together in units. We and/or selling stockholders will specify in the applicable accompanying prospectus supplement the terms of the securities being offered. We and/or selling stockholders may sell these securities to or through underwriters and also to other purchasers or through agents. We and/or selling stockholders will set forth the names of any underwriters or agents, and any fees, conversions or discount arrangements, in the applicable accompanying prospectus supplement. We and/or selling stockholders may not sell any securities under this prospectus without delivery of the applicable prospectus supplement.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You should read this document and any prospectus supplement or amendment carefully before you invest in our securities.</w:t>
      </w:r>
    </w:p>
    <w:p>
      <w:pPr>
        <w:spacing w:after="0" w:line="175" w:lineRule="exact"/>
        <w:rPr>
          <w:sz w:val="20"/>
          <w:szCs w:val="20"/>
          <w:color w:val="auto"/>
        </w:rPr>
      </w:pPr>
    </w:p>
    <w:p>
      <w:pPr>
        <w:ind w:left="1360" w:right="399"/>
        <w:spacing w:after="0" w:line="221"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“RLAY.” On July 31, 2024, the closing price for our common stock, as reported on the Nasdaq Global Market, was $8.22 per share. Our principal executive office is located at 399 Binney Street,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Floor,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180340</wp:posOffset>
            </wp:positionV>
            <wp:extent cx="11417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360" w:right="279" w:firstLine="343"/>
        <w:spacing w:after="0" w:line="243"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41" w:lineRule="exact"/>
        <w:rPr>
          <w:sz w:val="20"/>
          <w:szCs w:val="20"/>
          <w:color w:val="auto"/>
        </w:rPr>
      </w:pPr>
    </w:p>
    <w:p>
      <w:pPr>
        <w:ind w:left="1360" w:right="679"/>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154305</wp:posOffset>
            </wp:positionV>
            <wp:extent cx="11417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8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6, 2024.</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gridSpan w:val="2"/>
          </w:tcPr>
          <w:p>
            <w:pPr>
              <w:jc w:val="right"/>
              <w:ind w:right="34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05"/>
        </w:trPr>
        <w:tc>
          <w:tcPr>
            <w:tcW w:w="12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w w:val="98"/>
              </w:rPr>
              <w:t>About This Prospectus</w:t>
            </w:r>
          </w:p>
        </w:tc>
        <w:tc>
          <w:tcPr>
            <w:tcW w:w="2180" w:type="dxa"/>
            <w:vAlign w:val="bottom"/>
            <w:gridSpan w:val="8"/>
            <w:vMerge w:val="restart"/>
          </w:tcPr>
          <w:p>
            <w:pPr>
              <w:spacing w:after="0"/>
              <w:rPr>
                <w:sz w:val="24"/>
                <w:szCs w:val="24"/>
                <w:color w:val="auto"/>
              </w:rPr>
            </w:pP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2"/>
        </w:trPr>
        <w:tc>
          <w:tcPr>
            <w:tcW w:w="1280" w:type="dxa"/>
            <w:vAlign w:val="bottom"/>
            <w:tcBorders>
              <w:bottom w:val="single" w:sz="8" w:color="0000EE"/>
            </w:tcBorders>
            <w:gridSpan w:val="8"/>
            <w:vMerge w:val="continue"/>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4840" w:type="dxa"/>
            <w:vAlign w:val="bottom"/>
          </w:tcPr>
          <w:p>
            <w:pPr>
              <w:spacing w:after="0"/>
              <w:rPr>
                <w:sz w:val="10"/>
                <w:szCs w:val="10"/>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9"/>
        </w:trPr>
        <w:tc>
          <w:tcPr>
            <w:tcW w:w="700" w:type="dxa"/>
            <w:vAlign w:val="bottom"/>
            <w:tcBorders>
              <w:bottom w:val="single" w:sz="8" w:color="0000EE"/>
            </w:tcBorders>
            <w:gridSpan w:val="2"/>
          </w:tcPr>
          <w:p>
            <w:pPr>
              <w:spacing w:after="0" w:line="159" w:lineRule="exact"/>
              <w:rPr>
                <w:sz w:val="20"/>
                <w:szCs w:val="20"/>
                <w:color w:val="auto"/>
              </w:rPr>
            </w:pPr>
            <w:r>
              <w:rPr>
                <w:rFonts w:ascii="Times New Roman" w:cs="Times New Roman" w:eastAsia="Times New Roman" w:hAnsi="Times New Roman"/>
                <w:sz w:val="14"/>
                <w:szCs w:val="14"/>
                <w:color w:val="0000EE"/>
                <w:w w:val="96"/>
              </w:rPr>
              <w:t>Risk Factors</w:t>
            </w:r>
          </w:p>
        </w:tc>
        <w:tc>
          <w:tcPr>
            <w:tcW w:w="2760" w:type="dxa"/>
            <w:vAlign w:val="bottom"/>
            <w:gridSpan w:val="14"/>
          </w:tcPr>
          <w:p>
            <w:pPr>
              <w:spacing w:after="0"/>
              <w:rPr>
                <w:sz w:val="13"/>
                <w:szCs w:val="13"/>
                <w:color w:val="auto"/>
              </w:rPr>
            </w:pPr>
          </w:p>
        </w:tc>
        <w:tc>
          <w:tcPr>
            <w:tcW w:w="50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460" w:type="dxa"/>
            <w:vAlign w:val="bottom"/>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80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The Company</w:t>
            </w:r>
          </w:p>
        </w:tc>
        <w:tc>
          <w:tcPr>
            <w:tcW w:w="2420" w:type="dxa"/>
            <w:vAlign w:val="bottom"/>
            <w:tcBorders>
              <w:top w:val="single" w:sz="8" w:color="0000EE"/>
            </w:tcBorders>
            <w:gridSpan w:val="10"/>
          </w:tcPr>
          <w:p>
            <w:pPr>
              <w:spacing w:after="0"/>
              <w:rPr>
                <w:sz w:val="12"/>
                <w:szCs w:val="12"/>
                <w:color w:val="auto"/>
              </w:rPr>
            </w:pPr>
          </w:p>
        </w:tc>
        <w:tc>
          <w:tcPr>
            <w:tcW w:w="240" w:type="dxa"/>
            <w:vAlign w:val="bottom"/>
            <w:gridSpan w:val="2"/>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460" w:type="dxa"/>
            <w:vAlign w:val="bottom"/>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Securities We and/or Selling Stockholders May Offer or Sell</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1600" w:type="dxa"/>
            <w:vAlign w:val="bottom"/>
            <w:tcBorders>
              <w:top w:val="single" w:sz="8" w:color="0000EE"/>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1780" w:type="dxa"/>
            <w:vAlign w:val="bottom"/>
            <w:tcBorders>
              <w:top w:val="single" w:sz="8" w:color="0000EE"/>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170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1760" w:type="dxa"/>
            <w:vAlign w:val="bottom"/>
            <w:gridSpan w:val="4"/>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134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2120" w:type="dxa"/>
            <w:vAlign w:val="bottom"/>
            <w:gridSpan w:val="7"/>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114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2320" w:type="dxa"/>
            <w:vAlign w:val="bottom"/>
            <w:gridSpan w:val="9"/>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460" w:type="dxa"/>
            <w:vAlign w:val="bottom"/>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2360" w:type="dxa"/>
            <w:vAlign w:val="bottom"/>
            <w:gridSpan w:val="10"/>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3460" w:type="dxa"/>
            <w:vAlign w:val="bottom"/>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1540" w:type="dxa"/>
            <w:vAlign w:val="bottom"/>
            <w:tcBorders>
              <w:top w:val="single" w:sz="8" w:color="0000EE"/>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tcBorders>
              <w:top w:val="single" w:sz="8" w:color="0000EE"/>
            </w:tcBorders>
            <w:gridSpan w:val="3"/>
          </w:tcPr>
          <w:p>
            <w:pPr>
              <w:spacing w:after="0"/>
              <w:rPr>
                <w:sz w:val="12"/>
                <w:szCs w:val="12"/>
                <w:color w:val="auto"/>
              </w:rPr>
            </w:pPr>
          </w:p>
        </w:tc>
        <w:tc>
          <w:tcPr>
            <w:tcW w:w="1240" w:type="dxa"/>
            <w:vAlign w:val="bottom"/>
            <w:gridSpan w:val="3"/>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or the SEC, as a “well-known seasoned issuer” as defined in Rule 405 under the Securities Act. Under the shelf registration, we and/or selling stockholders may offer or sell shares of our common stock and preferred stock, various series of warrants to purchase common stock or preferred stock, debt securities or any combination thereof, from time to time in one or more offerings.</w:t>
      </w:r>
    </w:p>
    <w:p>
      <w:pPr>
        <w:spacing w:after="0" w:line="141"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and/or selling stockholders may offer or sell. Each time we sell securities, we will provide one or more prospectus supplements that will contain specific information about the terms of the offering. The applicable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beginning on page 27 of this prospectus.</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the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Unless the context suggests otherwise, all references to “us,” “our,” “Relay Therapeutics,” “we,” the “Company” and similar designations refer to Relay Therapeutics, Inc. and, where appropriate, our consolidated subsidiaries.</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referenced below and described in the documents incorporated herein by reference, including (i) our annual report on Form 10-K for the fiscal year ended December 31, 2023, which is on file with the SEC and is incorporated herein by reference, (ii) our quarterly reports on Form 10-Q for the quarters ended March 31, 2024 and June 30, 2024, which are on file with the SEC and incorporated herein by reference, and (iii) other documents we file with the SEC that are deemed incorporated by reference into this prospectus.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This prospectus, any applicable prospectus supplement, any related free writing prospectus and the documents that we incorporate by reference herein or therein contain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“can,” “should,” “expects,” “intends,” “plans,” “anticipates,” “believes,” “estimates,” “forecasts,” “goal,” “likely,” “predicts,” “potential,” “projects,” “will,” “might,” “could,”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149"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70" w:lineRule="exact"/>
        <w:rPr>
          <w:sz w:val="20"/>
          <w:szCs w:val="20"/>
          <w:color w:val="auto"/>
        </w:rPr>
      </w:pPr>
    </w:p>
    <w:p>
      <w:pPr>
        <w:ind w:left="2120" w:right="259" w:hanging="345"/>
        <w:spacing w:after="0" w:line="267"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w:t>
      </w:r>
    </w:p>
    <w:p>
      <w:pPr>
        <w:spacing w:after="0" w:line="6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safety and efficacy of our product candidates and the therapeutic implications of clinical and preclinical data;</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manufacture of our drug substances, delivery vehicles, and product candidates for preclinical use, for clinical trials and on a larger scale for commercial use, if approved;</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our third-party strategic collaborators and their ability to continue research and development activities relating to our development candidates and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funding for our operations necessary to complete further development and commercialization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seek regulatory approval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product candidates, and technology;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for intellectual property rights covering our product candidates and technology;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10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with collaborators with development, regulatory and commercialization expertise;</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product candidates and any other approved product;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our products or product candidates with advantages in turnaround times or manufacturing cost;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 on our business and programs;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67"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w:t>
      </w:r>
    </w:p>
    <w:p>
      <w:pPr>
        <w:spacing w:after="0" w:line="6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“Risk Factors.”</w:t>
      </w:r>
    </w:p>
    <w:p>
      <w:pPr>
        <w:spacing w:after="0" w:line="175"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2023 and our subsequent Quarterly Reports on Form 10-Q for the quarters ended March 31, 2024 and June 30, 2024, and our Current Reports on Form 8-K, and the section of any accompanying prospectus supplement entitled “Risk Factors.”</w:t>
      </w:r>
    </w:p>
    <w:p>
      <w:pPr>
        <w:spacing w:after="0" w:line="143"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The forward-looking statements in this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w:t>
      </w:r>
    </w:p>
    <w:p>
      <w:pPr>
        <w:spacing w:after="0" w:line="14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7" w:lineRule="exact"/>
        <w:rPr>
          <w:sz w:val="20"/>
          <w:szCs w:val="20"/>
          <w:color w:val="auto"/>
        </w:rPr>
      </w:pPr>
    </w:p>
    <w:p>
      <w:pPr>
        <w:ind w:left="1360" w:right="239"/>
        <w:spacing w:after="0" w:line="234" w:lineRule="auto"/>
        <w:rPr>
          <w:sz w:val="20"/>
          <w:szCs w:val="20"/>
          <w:color w:val="auto"/>
        </w:rPr>
      </w:pPr>
      <w:r>
        <w:rPr>
          <w:rFonts w:ascii="Times New Roman" w:cs="Times New Roman" w:eastAsia="Times New Roman" w:hAnsi="Times New Roman"/>
          <w:sz w:val="14"/>
          <w:szCs w:val="14"/>
          <w:color w:val="auto"/>
        </w:rPr>
        <w:t>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p>
    <w:p>
      <w:pPr>
        <w:spacing w:after="0" w:line="157"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136"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We are advancing a pipeline of medicine candidates to address targets in precision oncology and genetic disease, including our lead product candidates described below.</w:t>
      </w:r>
    </w:p>
    <w:p>
      <w:pPr>
        <w:spacing w:after="0" w:line="49" w:lineRule="exact"/>
        <w:rPr>
          <w:sz w:val="20"/>
          <w:szCs w:val="20"/>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RLY-2608.</w:t>
      </w:r>
    </w:p>
    <w:p>
      <w:pPr>
        <w:spacing w:after="0" w:line="103" w:lineRule="exact"/>
        <w:rPr>
          <w:rFonts w:ascii="Times New Roman" w:cs="Times New Roman" w:eastAsia="Times New Roman" w:hAnsi="Times New Roman"/>
          <w:sz w:val="14"/>
          <w:szCs w:val="14"/>
          <w:color w:val="auto"/>
        </w:rPr>
      </w:pPr>
    </w:p>
    <w:p>
      <w:pPr>
        <w:ind w:left="2460" w:right="239" w:hanging="254"/>
        <w:spacing w:after="0" w:line="253" w:lineRule="auto"/>
        <w:tabs>
          <w:tab w:leader="none" w:pos="24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ReDiscover Trial</w:t>
      </w:r>
      <w:r>
        <w:rPr>
          <w:rFonts w:ascii="Times New Roman" w:cs="Times New Roman" w:eastAsia="Times New Roman" w:hAnsi="Times New Roman"/>
          <w:sz w:val="14"/>
          <w:szCs w:val="14"/>
          <w:color w:val="auto"/>
        </w:rPr>
        <w:t>. RLY-2608 is the lead program in our efforts to discover and develop mutant selective inhibitors of PI3Kα. In December 2021, we dosed the first patient in a first-in-human clinical trial for RLY-2608, the first known allosteric, pan-mutant and isoform-selective phosphoinostide 3 kinase alpha, or PI3Kα, inhibitor in clinical development, or the ReDiscover Trial. In April 2022, we initiated the second arm of the dose escalation part of this trial, evaluating RLY-2608 in combination with fulvestrant for patients with HR+, HER2–, PI3Kα-mutated, locally advanced or metastatic breast cancer. In July 2023, we initiated a dose expansion cohort in patients with PI3Kα-mutant, HR+, HER2- locally advanced or metastatic breast cancer, with patients receiving a 600 mg twice daily, or BID, dose of RLY-2608 in combination with fulvestrant. In the fourth quarter of 2023, we initiated two additional dose expansion cohorts of RLY-2608 in combination with fulvestrant – a second 600 mg BID cohort as well as one at 400 mg BID. In the fourth quarter of 2023, we also initiated a triplet combination arm with RLY-2608, fulvestrant and the cyclin dependent kinase 4/6, or CDK 4/6, inhibitor ribociclib. In June 2024, we announced our plan to initiate an additional triplet combination arm with RLY-2608, fulvestrant and atirmociclib, Pfizer Inc.’s, or Pfizer’s, investigative selective-CDK4 inhibitor, pursuant to a clinical trial collaboration with Pfizer.</w:t>
      </w:r>
    </w:p>
    <w:p>
      <w:pPr>
        <w:spacing w:after="0" w:line="76" w:lineRule="exact"/>
        <w:rPr>
          <w:rFonts w:ascii="Times New Roman" w:cs="Times New Roman" w:eastAsia="Times New Roman" w:hAnsi="Times New Roman"/>
          <w:sz w:val="14"/>
          <w:szCs w:val="14"/>
          <w:color w:val="auto"/>
        </w:rPr>
      </w:pPr>
    </w:p>
    <w:p>
      <w:pPr>
        <w:ind w:left="2460" w:right="419" w:hanging="254"/>
        <w:spacing w:after="0" w:line="267" w:lineRule="auto"/>
        <w:tabs>
          <w:tab w:leader="none" w:pos="24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Clinical Data</w:t>
      </w:r>
      <w:r>
        <w:rPr>
          <w:rFonts w:ascii="Times New Roman" w:cs="Times New Roman" w:eastAsia="Times New Roman" w:hAnsi="Times New Roman"/>
          <w:sz w:val="14"/>
          <w:szCs w:val="14"/>
          <w:color w:val="auto"/>
        </w:rPr>
        <w:t>. We believe that, overall, while the interim clinical data from the ReDiscover Trial disclosed to date are preliminary, the data support selective target engagement across doses and mutation types with an encouraging interim safety and tolerability profile.</w:t>
      </w:r>
    </w:p>
    <w:p>
      <w:pPr>
        <w:spacing w:after="0" w:line="59"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Lirafugratinib (RLY-4008).</w:t>
      </w:r>
    </w:p>
    <w:p>
      <w:pPr>
        <w:spacing w:after="0" w:line="103" w:lineRule="exact"/>
        <w:rPr>
          <w:rFonts w:ascii="Times New Roman" w:cs="Times New Roman" w:eastAsia="Times New Roman" w:hAnsi="Times New Roman"/>
          <w:sz w:val="14"/>
          <w:szCs w:val="14"/>
          <w:color w:val="auto"/>
        </w:rPr>
      </w:pPr>
    </w:p>
    <w:p>
      <w:pPr>
        <w:ind w:left="2460" w:right="239" w:hanging="254"/>
        <w:spacing w:after="0" w:line="257" w:lineRule="auto"/>
        <w:tabs>
          <w:tab w:leader="none" w:pos="24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ReFocus Trial</w:t>
      </w:r>
      <w:r>
        <w:rPr>
          <w:rFonts w:ascii="Times New Roman" w:cs="Times New Roman" w:eastAsia="Times New Roman" w:hAnsi="Times New Roman"/>
          <w:sz w:val="14"/>
          <w:szCs w:val="14"/>
          <w:color w:val="auto"/>
        </w:rPr>
        <w:t>. Lirafugratinib, or RLY-4008, is a potent, selective and oral small molecule inhibitor of fibroblast growth factor receptor 2, or FGFR2. In the third quarter of 2020, we initiated a first-in-human clinical trial for lirafugratinib, or the ReFocus Trial, which is a two-part global trial in patients with FGFR2-altered tumors. The first part of the trial, or the dose escalation, is complete, and the second part of the trial, or the dose expansion, is ongoing at a 70 mg once daily, or QD, recommended Phase 2 dose in patients with cholangiocarcinoma, or CCA, and other FGFR2-altered solid tumors. Enrollment for the ReFocus Trial has been closed to allow the data to mature and inform our future clinical development decisions.</w:t>
      </w:r>
    </w:p>
    <w:p>
      <w:pPr>
        <w:spacing w:after="0" w:line="69" w:lineRule="exact"/>
        <w:rPr>
          <w:rFonts w:ascii="Times New Roman" w:cs="Times New Roman" w:eastAsia="Times New Roman" w:hAnsi="Times New Roman"/>
          <w:sz w:val="14"/>
          <w:szCs w:val="14"/>
          <w:color w:val="auto"/>
        </w:rPr>
      </w:pPr>
    </w:p>
    <w:p>
      <w:pPr>
        <w:ind w:left="2460" w:right="279" w:hanging="254"/>
        <w:spacing w:after="0" w:line="267" w:lineRule="auto"/>
        <w:tabs>
          <w:tab w:leader="none" w:pos="24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Clinical Data</w:t>
      </w:r>
      <w:r>
        <w:rPr>
          <w:rFonts w:ascii="Times New Roman" w:cs="Times New Roman" w:eastAsia="Times New Roman" w:hAnsi="Times New Roman"/>
          <w:sz w:val="14"/>
          <w:szCs w:val="14"/>
          <w:color w:val="auto"/>
        </w:rPr>
        <w:t>. We believe that while the interim clinical data from the ReFocus Trial disclosed to date are preliminary, the data show interim efficacy signals in the CCA pan-FGFR, or FGFRi, treatment-naïve, FGFR2-fusion CCA cohort and non-CCA solid tumor expansion cohorts and</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460" w:right="259"/>
        <w:spacing w:after="0" w:line="261" w:lineRule="auto"/>
        <w:rPr>
          <w:sz w:val="20"/>
          <w:szCs w:val="20"/>
          <w:color w:val="auto"/>
        </w:rPr>
      </w:pPr>
      <w:r>
        <w:rPr>
          <w:rFonts w:ascii="Times New Roman" w:cs="Times New Roman" w:eastAsia="Times New Roman" w:hAnsi="Times New Roman"/>
          <w:sz w:val="14"/>
          <w:szCs w:val="14"/>
          <w:color w:val="auto"/>
        </w:rPr>
        <w:t>further support our hypothesis that selective inhibition of FGFR2 can improve the treatment for patients with FGFR2-driven tumors. Additionally, the safety analysis from the interim clinical data disclosed to date for the CCA cohorts and tumor agnostic cohorts has been generally consistent. Most treatment emergent adverse events were expected FGFR2 on-target, low-grade, monitorable, manageable and largely reversible.</w:t>
      </w:r>
    </w:p>
    <w:p>
      <w:pPr>
        <w:spacing w:after="0" w:line="141" w:lineRule="exact"/>
        <w:rPr>
          <w:sz w:val="20"/>
          <w:szCs w:val="20"/>
          <w:color w:val="auto"/>
        </w:rPr>
      </w:pPr>
    </w:p>
    <w:p>
      <w:pPr>
        <w:ind w:left="1360" w:right="279"/>
        <w:spacing w:after="0" w:line="234" w:lineRule="auto"/>
        <w:rPr>
          <w:sz w:val="20"/>
          <w:szCs w:val="20"/>
          <w:color w:val="auto"/>
        </w:rPr>
      </w:pPr>
      <w:r>
        <w:rPr>
          <w:rFonts w:ascii="Times New Roman" w:cs="Times New Roman" w:eastAsia="Times New Roman" w:hAnsi="Times New Roman"/>
          <w:sz w:val="14"/>
          <w:szCs w:val="14"/>
          <w:color w:val="auto"/>
        </w:rPr>
        <w:t>While our initial focus is on precision oncology, we believe our Dynamo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platform may also be broadly applied to other areas of precision medicine, such as genetic diseases. In addition to the clinical stage product candidates described above, we announced three discovery stage programs in June 2024, including two novel programs from our genetic disease portfolio to address clinically and commercially validated targets in vascular malformations and Fabry disease, respectively, and a NRAS-selective inhibitor. We also have more than five additional active discovery stage programs across both precision oncology and genetic diseases. We are focused on using the novel insights derived from our approach to transform the lives of patients suffering from debilitating and life-threatening diseases through the discovery, development and commercialization of our therapies.</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93" w:lineRule="exact"/>
        <w:rPr>
          <w:sz w:val="20"/>
          <w:szCs w:val="20"/>
          <w:color w:val="auto"/>
        </w:rPr>
      </w:pPr>
    </w:p>
    <w:p>
      <w:pPr>
        <w:ind w:left="1360" w:right="259"/>
        <w:spacing w:after="0" w:line="227"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May 4, 2015 under the name “Allostery, Inc.” Our principal corporate office is located at 399 Binney Street,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Floor, Cambridge, MA 02139, and our telephone number is (617) 370-8837. Our website address is www.relaytx.com. We do not incorporate the information on or accessible through our website into this prospectus, and you should not consider any information on, or that can be accessed through, our website as part of this prospectus.</w:t>
      </w:r>
    </w:p>
    <w:p>
      <w:pPr>
        <w:spacing w:after="0" w:line="156" w:lineRule="exact"/>
        <w:rPr>
          <w:sz w:val="20"/>
          <w:szCs w:val="20"/>
          <w:color w:val="auto"/>
        </w:rPr>
      </w:pPr>
    </w:p>
    <w:p>
      <w:pPr>
        <w:ind w:left="1360" w:right="319"/>
        <w:spacing w:after="0" w:line="227" w:lineRule="auto"/>
        <w:rPr>
          <w:sz w:val="20"/>
          <w:szCs w:val="20"/>
          <w:color w:val="auto"/>
        </w:rPr>
      </w:pPr>
      <w:r>
        <w:rPr>
          <w:rFonts w:ascii="Times New Roman" w:cs="Times New Roman" w:eastAsia="Times New Roman" w:hAnsi="Times New Roman"/>
          <w:sz w:val="14"/>
          <w:szCs w:val="14"/>
          <w:color w:val="auto"/>
        </w:rPr>
        <w:t xml:space="preserve">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but such references should not be construed as any indicator that their respective owners will not assert, to the fullest extent under applicable law, their rights thereto.</w:t>
      </w:r>
    </w:p>
    <w:p>
      <w:pPr>
        <w:spacing w:after="0" w:line="1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We intend to use the net proceeds received by us from the sale of any securities offered under this prospectus for general corporate purposes unless otherwise indicated in the applicable prospectus supplement. General corporate purposes may include research and clinical development of current or additional pipeline candidates, working capital, capital expenditures and other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any net proceeds.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SECURITIES WE AND/OR SELLING STOCKHOLDERS MAY OFFER OR SELL</w:t>
      </w:r>
    </w:p>
    <w:p>
      <w:pPr>
        <w:spacing w:after="0" w:line="177"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This prospectus contains summary descriptions of the securities we and/or selling stockholders may offer or sell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44"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Fourth Amended and Restated Certificate of Incorporation, as amended from time to time, or the certificate of incorporation, and our Amended and Restated Bylaws, as amended from time to time, or bylaws, which are exhibits to the registration statement of which this prospectus forms a part, and by applicable law. The terms of our common stock and preferred stock may also be affected by Delaware law.</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Our authorized capital stock consists of Three Hundred Million (300,000,000) shares of common stock, par value $0.001 per share and Ten Million (10,000,000) shares of undesignated preferred stock, par value $0.001 per share.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3"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trading symbol “RLAY.”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effects of our certificate of incorporation and bylaws and Delaware law</w:t>
      </w:r>
    </w:p>
    <w:p>
      <w:pPr>
        <w:spacing w:after="0" w:line="93"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 and filling vacancies</w:t>
      </w:r>
    </w:p>
    <w:p>
      <w:pPr>
        <w:spacing w:after="0" w:line="93"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Our certificate of incorporation provides for the division of our board of directors into three classes serving staggered three-year terms, with one class being elected each year. Our certificate of incorporation also provides</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 written consent of stockholders</w:t>
      </w:r>
    </w:p>
    <w:p>
      <w:pPr>
        <w:spacing w:after="0" w:line="9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Meetings of stockholders</w:t>
      </w:r>
    </w:p>
    <w:p>
      <w:pPr>
        <w:spacing w:after="0" w:line="93"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9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3"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Our certificate of incorporation provides for 10,000,000 authorized shares of preferred stock. The existence of authorized but unissued shares of preferred stock may enable our board of directors to discourage an attempt to</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form, the Court of Chancery of the State of Delaware (or, if the Chancery Court does not have jurisdiction, the federal district court for the District of Delaware or other state courts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bylaws also provide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49"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In addition, our bylaws provide that, unless we consent in writing to the selection of an alternative forum, the United States District Court in the District of Massachusetts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of Massachusetts, the plaintiff or plaintiffs shall be deemed by this provision of the bylaws (i) to have consented to removal of the action by us to the United States District Court in the District of Massachusetts, in the case of an action filed in a state court, and (ii) to have consented to transfer of the action to the United States District Court in the District of Massachusetts.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Section 203 of the Delaware general corporation law</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the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2120" w:right="23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an interested stockholder, our board of directors approved either the business combination or the transaction which resulted in the stockholder becoming an interested stockholder;</w:t>
      </w:r>
    </w:p>
    <w:p>
      <w:pPr>
        <w:spacing w:after="0" w:line="5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2120" w:right="359"/>
        <w:spacing w:after="0" w:line="267" w:lineRule="auto"/>
        <w:rPr>
          <w:sz w:val="20"/>
          <w:szCs w:val="20"/>
          <w:color w:val="auto"/>
        </w:rPr>
      </w:pPr>
      <w:r>
        <w:rPr>
          <w:rFonts w:ascii="Times New Roman" w:cs="Times New Roman" w:eastAsia="Times New Roman" w:hAnsi="Times New Roman"/>
          <w:sz w:val="14"/>
          <w:szCs w:val="14"/>
          <w:color w:val="auto"/>
        </w:rPr>
        <w:t>outstanding at the time the transaction commenced, excluding for purposes of determining the voting stock outstanding, shares (i) owned by persons who are directors and also officers and (ii) issued under employee stock plans in which employee participants do not have the right to determine confidentially whether shares held subject to the plan will be tendered in a tender or exchange offer; or</w:t>
      </w:r>
    </w:p>
    <w:p>
      <w:pPr>
        <w:spacing w:after="0" w:line="62" w:lineRule="exact"/>
        <w:rPr>
          <w:sz w:val="20"/>
          <w:szCs w:val="20"/>
          <w:color w:val="auto"/>
        </w:rPr>
      </w:pPr>
    </w:p>
    <w:p>
      <w:pPr>
        <w:ind w:left="2120" w:right="339" w:hanging="345"/>
        <w:spacing w:after="0" w:line="267"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an interested stockholder, the business combination is approved by our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102" w:lineRule="exact"/>
        <w:rPr>
          <w:sz w:val="20"/>
          <w:szCs w:val="20"/>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pledge or other disposition involving the interested stockholder of 10% or more of the assets of the corporation;</w:t>
      </w:r>
    </w:p>
    <w:p>
      <w:pPr>
        <w:spacing w:after="0" w:line="101" w:lineRule="exact"/>
        <w:rPr>
          <w:rFonts w:ascii="Times New Roman" w:cs="Times New Roman" w:eastAsia="Times New Roman" w:hAnsi="Times New Roman"/>
          <w:sz w:val="14"/>
          <w:szCs w:val="14"/>
          <w:color w:val="auto"/>
        </w:rPr>
      </w:pPr>
    </w:p>
    <w:p>
      <w:pPr>
        <w:ind w:left="2120" w:right="65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or transfer by the corporation of any stock of the corporation to the interested stockholder;</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360" w:right="499"/>
        <w:spacing w:after="0" w:line="323" w:lineRule="auto"/>
        <w:rPr>
          <w:sz w:val="20"/>
          <w:szCs w:val="20"/>
          <w:color w:val="auto"/>
        </w:rPr>
      </w:pPr>
      <w:r>
        <w:rPr>
          <w:rFonts w:ascii="Times New Roman" w:cs="Times New Roman" w:eastAsia="Times New Roman" w:hAnsi="Times New Roman"/>
          <w:sz w:val="13"/>
          <w:szCs w:val="13"/>
          <w:color w:val="auto"/>
        </w:rPr>
        <w:t>The transfer agent and registrar for our common stock is Computershare Trust Company, N.A. The transfer agent and registrar’s address is P.O. Box 43006, Providence, Rhode Island 02940-3006, and its telephone number within the U.S. is (800) 736-3001 and outside the U.S. is (781) 575-3100.</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7"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4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indentures:</w:t>
      </w:r>
    </w:p>
    <w:p>
      <w:pPr>
        <w:spacing w:after="0" w:line="102" w:lineRule="exact"/>
        <w:rPr>
          <w:sz w:val="20"/>
          <w:szCs w:val="20"/>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limit the amount of debt securities that we may issue;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us to issue debt securities in one or more series;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require us to issue all of the debt securities of a series at the same time;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us to reopen a series to issue additional debt securities without the consent of the holders of the debt securities of such series.</w:t>
      </w:r>
    </w:p>
    <w:p>
      <w:pPr>
        <w:spacing w:after="0" w:line="17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prospectus supplement for each offering will provide the following terms, where applicable:</w:t>
      </w:r>
    </w:p>
    <w:p>
      <w:pPr>
        <w:spacing w:after="0" w:line="102" w:lineRule="exact"/>
        <w:rPr>
          <w:sz w:val="20"/>
          <w:szCs w:val="20"/>
          <w:color w:val="auto"/>
        </w:rPr>
      </w:pPr>
    </w:p>
    <w:p>
      <w:pPr>
        <w:ind w:left="5580" w:right="3899" w:hanging="3805"/>
        <w:spacing w:after="0" w:line="374" w:lineRule="auto"/>
        <w:tabs>
          <w:tab w:leader="none" w:pos="211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debt securities and whether they are senior or subordinated; 13</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 of that series;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of the series is payable;</w:t>
      </w:r>
    </w:p>
    <w:p>
      <w:pPr>
        <w:spacing w:after="0" w:line="101" w:lineRule="exact"/>
        <w:rPr>
          <w:rFonts w:ascii="Times New Roman" w:cs="Times New Roman" w:eastAsia="Times New Roman" w:hAnsi="Times New Roman"/>
          <w:sz w:val="14"/>
          <w:szCs w:val="14"/>
          <w:color w:val="auto"/>
        </w:rPr>
      </w:pPr>
    </w:p>
    <w:p>
      <w:pPr>
        <w:ind w:left="2120" w:right="439" w:hanging="345"/>
        <w:spacing w:after="0" w:line="261"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debt securities of the series shall bear interest or the manner of calculation of such rate or rates, if any;</w:t>
      </w:r>
    </w:p>
    <w:p>
      <w:pPr>
        <w:spacing w:after="0" w:line="101" w:lineRule="exact"/>
        <w:rPr>
          <w:rFonts w:ascii="Times New Roman" w:cs="Times New Roman" w:eastAsia="Times New Roman" w:hAnsi="Times New Roman"/>
          <w:sz w:val="14"/>
          <w:szCs w:val="14"/>
          <w:color w:val="auto"/>
        </w:rPr>
      </w:pPr>
    </w:p>
    <w:p>
      <w:pPr>
        <w:jc w:val="both"/>
        <w:ind w:left="2120" w:right="659" w:hanging="345"/>
        <w:spacing w:after="0" w:line="267"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such extension;</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debt securities of the series may be redeemed, converted or exchanged, in whole or in part;</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 including the form of the Certificate of Authentication for such series;</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minimum denominations of one thousand U.S. dollars ($1,000) or any integral multiple of $1,000 thereof, the denominations in which the debt securities of the series shall be issuable;</w:t>
      </w:r>
    </w:p>
    <w:p>
      <w:pPr>
        <w:spacing w:after="0" w:line="51" w:lineRule="exact"/>
        <w:rPr>
          <w:rFonts w:ascii="Times New Roman" w:cs="Times New Roman" w:eastAsia="Times New Roman" w:hAnsi="Times New Roman"/>
          <w:sz w:val="14"/>
          <w:szCs w:val="14"/>
          <w:color w:val="auto"/>
        </w:rPr>
      </w:pPr>
    </w:p>
    <w:p>
      <w:pPr>
        <w:jc w:val="both"/>
        <w:ind w:left="2120" w:right="239" w:hanging="345"/>
        <w:spacing w:after="0" w:line="267"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61" w:lineRule="exact"/>
        <w:rPr>
          <w:rFonts w:ascii="Times New Roman" w:cs="Times New Roman" w:eastAsia="Times New Roman" w:hAnsi="Times New Roman"/>
          <w:sz w:val="14"/>
          <w:szCs w:val="14"/>
          <w:color w:val="auto"/>
        </w:rPr>
      </w:pPr>
    </w:p>
    <w:p>
      <w:pPr>
        <w:ind w:left="2120" w:right="339" w:hanging="345"/>
        <w:spacing w:after="0" w:line="261"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events of default to those set forth in the indenture;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covenants to those set forth in the indenture;</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6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9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provisions, if any, related to defeasance and discharge of the offered debt securities than those set forth in the indenture;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insofar as it applies to such series).</w:t>
      </w:r>
    </w:p>
    <w:p>
      <w:pPr>
        <w:spacing w:after="0" w:line="125"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25"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w:t>
      </w:r>
    </w:p>
    <w:p>
      <w:pPr>
        <w:spacing w:after="0" w:line="93"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36"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Merger, Consolidation or Sale of Assets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51" w:lineRule="exact"/>
        <w:rPr>
          <w:sz w:val="20"/>
          <w:szCs w:val="20"/>
          <w:color w:val="auto"/>
        </w:rPr>
      </w:pPr>
    </w:p>
    <w:p>
      <w:pPr>
        <w:ind w:left="2120" w:right="259" w:hanging="345"/>
        <w:spacing w:after="0" w:line="255" w:lineRule="auto"/>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7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such conditions are delivered to each applicable trustee.</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 Notice and Waiver</w:t>
      </w:r>
    </w:p>
    <w:p>
      <w:pPr>
        <w:spacing w:after="0" w:line="93"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when we refer to “events of default” as defined in the indentures with respect to any series of debt securities, we mean:</w:t>
      </w:r>
    </w:p>
    <w:p>
      <w:pPr>
        <w:spacing w:after="0" w:line="51" w:lineRule="exact"/>
        <w:rPr>
          <w:sz w:val="20"/>
          <w:szCs w:val="20"/>
          <w:color w:val="auto"/>
        </w:rPr>
      </w:pPr>
    </w:p>
    <w:p>
      <w:pPr>
        <w:ind w:left="2120" w:right="419" w:hanging="345"/>
        <w:spacing w:after="0" w:line="283" w:lineRule="auto"/>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installment of interest on any debt security of such series continuing for 90 days unless such date has been extended or deferred;</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any premium on, any debt security of such series when due and payable unless such date has been extended or deferred;</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in the debt securities or in the indenture by us continuing for 90 days after written notice described below;</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bankruptcy, insolvency or reorganization, or court appointment of a receiver, liquidator or trustee of us;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a particular series of debt securities.</w:t>
      </w:r>
    </w:p>
    <w:p>
      <w:pPr>
        <w:spacing w:after="0" w:line="17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72" w:lineRule="exact"/>
        <w:rPr>
          <w:sz w:val="20"/>
          <w:szCs w:val="20"/>
          <w:color w:val="auto"/>
        </w:rPr>
      </w:pPr>
    </w:p>
    <w:p>
      <w:pPr>
        <w:ind w:left="2120" w:right="319" w:hanging="345"/>
        <w:spacing w:after="0" w:line="323" w:lineRule="auto"/>
        <w:tabs>
          <w:tab w:leader="none" w:pos="21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28" w:lineRule="exact"/>
        <w:rPr>
          <w:rFonts w:ascii="Times New Roman" w:cs="Times New Roman" w:eastAsia="Times New Roman" w:hAnsi="Times New Roman"/>
          <w:sz w:val="13"/>
          <w:szCs w:val="13"/>
          <w:color w:val="auto"/>
        </w:rPr>
      </w:pPr>
    </w:p>
    <w:p>
      <w:pPr>
        <w:ind w:left="2120" w:right="239" w:hanging="345"/>
        <w:spacing w:after="0" w:line="283" w:lineRule="auto"/>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other than the non-payment of accelerated principal, or a specified portion thereof, and any premium, have been cured or waived.</w:t>
      </w:r>
    </w:p>
    <w:p>
      <w:pPr>
        <w:spacing w:after="0" w:line="125"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4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69" w:lineRule="exact"/>
        <w:rPr>
          <w:sz w:val="20"/>
          <w:szCs w:val="20"/>
          <w:color w:val="auto"/>
        </w:rPr>
      </w:pPr>
    </w:p>
    <w:p>
      <w:pPr>
        <w:ind w:left="2120" w:hanging="345"/>
        <w:spacing w:after="0"/>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conflict with any law or the applicable indenture;</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involve the trustee in personal liability;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unduly prejudicial to the holders of debt securities of the series not joining the proceeding.</w:t>
      </w:r>
    </w:p>
    <w:p>
      <w:pPr>
        <w:spacing w:after="0" w:line="17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of the Indentures</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36"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We and the applicable trustee may make modifications and amendments of an indenture without the consent of any holder of debt securities for any of the following purposes:</w:t>
      </w:r>
    </w:p>
    <w:p>
      <w:pPr>
        <w:spacing w:after="0" w:line="51" w:lineRule="exact"/>
        <w:rPr>
          <w:sz w:val="20"/>
          <w:szCs w:val="20"/>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applicable indenture or in the Securities of any series;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covenant described above under “—Merger, Consolidation or Sale of Assets;”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events of default for the benefit of the holders of all or any series of debt securities;</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58"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70" w:lineRule="exact"/>
        <w:rPr>
          <w:rFonts w:ascii="Times New Roman" w:cs="Times New Roman" w:eastAsia="Times New Roman" w:hAnsi="Times New Roman"/>
          <w:sz w:val="14"/>
          <w:szCs w:val="14"/>
          <w:color w:val="auto"/>
        </w:rPr>
      </w:pPr>
    </w:p>
    <w:p>
      <w:pPr>
        <w:ind w:left="2120" w:right="799" w:hanging="345"/>
        <w:spacing w:after="0" w:line="283"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applicable indenture;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notes under the applicable indenture in any material respect;</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6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applicable indenture by a successor trustee or to appoint a separate trustee with respect to any series;</w:t>
      </w:r>
    </w:p>
    <w:p>
      <w:pPr>
        <w:spacing w:after="0" w:line="51" w:lineRule="exact"/>
        <w:rPr>
          <w:rFonts w:ascii="Times New Roman" w:cs="Times New Roman" w:eastAsia="Times New Roman" w:hAnsi="Times New Roman"/>
          <w:sz w:val="14"/>
          <w:szCs w:val="14"/>
          <w:color w:val="auto"/>
        </w:rPr>
      </w:pPr>
    </w:p>
    <w:p>
      <w:pPr>
        <w:ind w:left="2120" w:right="739" w:hanging="345"/>
        <w:spacing w:after="0" w:line="283"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or any successor in connection with the qualification of the indenture under the Trust Indenture Act of 1939, as amended, or the Trust Indenture Act; or</w:t>
      </w:r>
    </w:p>
    <w:p>
      <w:pPr>
        <w:spacing w:after="0" w:line="51" w:lineRule="exact"/>
        <w:rPr>
          <w:rFonts w:ascii="Times New Roman" w:cs="Times New Roman" w:eastAsia="Times New Roman" w:hAnsi="Times New Roman"/>
          <w:sz w:val="14"/>
          <w:szCs w:val="14"/>
          <w:color w:val="auto"/>
        </w:rPr>
      </w:pPr>
    </w:p>
    <w:p>
      <w:pPr>
        <w:ind w:left="2120" w:right="659" w:hanging="345"/>
        <w:spacing w:after="0" w:line="283"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applicable indenture to this “—Description of Debt Securities” or any other similarly titled section in any prospectus supplement or other offering document relating to a series of debt securities.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93"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93"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indentures allow us to discharge our obligations to holders of any series of debt securities issued under any indenture when:</w:t>
      </w:r>
    </w:p>
    <w:p>
      <w:pPr>
        <w:spacing w:after="0" w:line="51" w:lineRule="exact"/>
        <w:rPr>
          <w:sz w:val="20"/>
          <w:szCs w:val="20"/>
          <w:color w:val="auto"/>
        </w:rPr>
      </w:pPr>
    </w:p>
    <w:p>
      <w:pPr>
        <w:ind w:left="2120" w:right="319" w:hanging="345"/>
        <w:spacing w:after="0" w:line="257" w:lineRule="auto"/>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w:t>
      </w:r>
    </w:p>
    <w:p>
      <w:pPr>
        <w:spacing w:after="0" w:line="69"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w:t>
      </w:r>
    </w:p>
    <w:p>
      <w:pPr>
        <w:spacing w:after="0" w:line="17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44"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9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is applicable.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7"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719"/>
        <w:spacing w:after="0" w:line="267"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36"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102" w:lineRule="exact"/>
        <w:rPr>
          <w:sz w:val="20"/>
          <w:szCs w:val="20"/>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49"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67" w:lineRule="exact"/>
        <w:rPr>
          <w:sz w:val="20"/>
          <w:szCs w:val="20"/>
          <w:color w:val="auto"/>
        </w:rPr>
      </w:pPr>
    </w:p>
    <w:p>
      <w:pPr>
        <w:ind w:left="2120" w:right="459" w:hanging="345"/>
        <w:spacing w:after="0" w:line="283"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75" w:lineRule="exact"/>
        <w:rPr>
          <w:sz w:val="20"/>
          <w:szCs w:val="20"/>
          <w:color w:val="auto"/>
        </w:rPr>
      </w:pPr>
    </w:p>
    <w:p>
      <w:pPr>
        <w:ind w:left="1360" w:right="279"/>
        <w:spacing w:after="0" w:line="323" w:lineRule="auto"/>
        <w:rPr>
          <w:sz w:val="20"/>
          <w:szCs w:val="20"/>
          <w:color w:val="auto"/>
        </w:rPr>
      </w:pPr>
      <w:r>
        <w:rPr>
          <w:rFonts w:ascii="Times New Roman" w:cs="Times New Roman" w:eastAsia="Times New Roman" w:hAnsi="Times New Roman"/>
          <w:sz w:val="13"/>
          <w:szCs w:val="13"/>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93"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93"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following provisions will generally apply to all unit agreements unless otherwise stated in the applicable prospectus supplement: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without Consent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and the applicable unit agent may amend any unit or unit agreement without the consent of any holder:</w:t>
      </w:r>
    </w:p>
    <w:p>
      <w:pPr>
        <w:spacing w:after="0" w:line="102" w:lineRule="exact"/>
        <w:rPr>
          <w:sz w:val="20"/>
          <w:szCs w:val="20"/>
          <w:color w:val="auto"/>
        </w:rPr>
      </w:pPr>
    </w:p>
    <w:p>
      <w:pPr>
        <w:ind w:left="2120" w:hanging="345"/>
        <w:spacing w:after="0"/>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including modifying any provisions of the governing unit agreement that differ from those described below;</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supplement any defective or inconsistent provision; or</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we believe is necessary or desirable and will not adversely affect the interests of the affected holders in any material respect.</w:t>
      </w:r>
    </w:p>
    <w:p>
      <w:pPr>
        <w:spacing w:after="0" w:line="12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 Consent</w:t>
      </w:r>
    </w:p>
    <w:p>
      <w:pPr>
        <w:spacing w:after="0" w:line="93"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We may not amend any particular unit or a unit agreement with respect to any particular unit unless we obtain the consent of the holder of that unit, if the amendment would:</w:t>
      </w:r>
    </w:p>
    <w:p>
      <w:pPr>
        <w:spacing w:after="0" w:line="51" w:lineRule="exact"/>
        <w:rPr>
          <w:sz w:val="20"/>
          <w:szCs w:val="20"/>
          <w:color w:val="auto"/>
        </w:rPr>
      </w:pPr>
    </w:p>
    <w:p>
      <w:pPr>
        <w:ind w:left="2120" w:right="37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Any other change to a particular unit agreement and the units issued under that agreement would require the following approval:</w:t>
      </w:r>
    </w:p>
    <w:p>
      <w:pPr>
        <w:spacing w:after="0" w:line="102" w:lineRule="exact"/>
        <w:rPr>
          <w:sz w:val="20"/>
          <w:szCs w:val="20"/>
          <w:color w:val="auto"/>
        </w:rPr>
      </w:pPr>
    </w:p>
    <w:p>
      <w:pPr>
        <w:ind w:left="2120" w:right="55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units of a particular series issued under that agreement, the change must be approved by the holders of a majority of the outstanding units of that series; or</w:t>
      </w:r>
    </w:p>
    <w:p>
      <w:pPr>
        <w:spacing w:after="0" w:line="51" w:lineRule="exact"/>
        <w:rPr>
          <w:rFonts w:ascii="Times New Roman" w:cs="Times New Roman" w:eastAsia="Times New Roman" w:hAnsi="Times New Roman"/>
          <w:sz w:val="14"/>
          <w:szCs w:val="14"/>
          <w:color w:val="auto"/>
        </w:rPr>
      </w:pPr>
    </w:p>
    <w:p>
      <w:pPr>
        <w:jc w:val="both"/>
        <w:ind w:left="2120" w:right="359" w:hanging="345"/>
        <w:spacing w:after="0" w:line="323" w:lineRule="auto"/>
        <w:tabs>
          <w:tab w:leader="none" w:pos="21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02"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These provisions regarding changes with majority approval also apply to changes affecting any securities issued under a unit agreement, as the governing document.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 Agreements Will Not Be Qualified under Trust Indenture Act</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Transactions Permitted; No Restrictive Covenants or Events of Default</w:t>
      </w:r>
    </w:p>
    <w:p>
      <w:pPr>
        <w:spacing w:after="0" w:line="93"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2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unit agreements and the units will be governed by Delaware law.</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Form, Exchange and Transfer</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unit and all securities comprising the unit will be issued in the same form.</w:t>
      </w:r>
    </w:p>
    <w:p>
      <w:pPr>
        <w:spacing w:after="0" w:line="175" w:lineRule="exact"/>
        <w:rPr>
          <w:sz w:val="20"/>
          <w:szCs w:val="20"/>
          <w:color w:val="auto"/>
        </w:rPr>
      </w:pPr>
    </w:p>
    <w:p>
      <w:pPr>
        <w:ind w:left="1360" w:right="739"/>
        <w:spacing w:after="0" w:line="267" w:lineRule="auto"/>
        <w:rPr>
          <w:sz w:val="20"/>
          <w:szCs w:val="20"/>
          <w:color w:val="auto"/>
        </w:rPr>
      </w:pPr>
      <w:r>
        <w:rPr>
          <w:rFonts w:ascii="Times New Roman" w:cs="Times New Roman" w:eastAsia="Times New Roman" w:hAnsi="Times New Roman"/>
          <w:sz w:val="14"/>
          <w:szCs w:val="14"/>
          <w:color w:val="auto"/>
        </w:rPr>
        <w:t>If we issue any units in registered, non-global form, the following will apply to them. 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2" w:lineRule="exact"/>
        <w:rPr>
          <w:sz w:val="20"/>
          <w:szCs w:val="20"/>
          <w:color w:val="auto"/>
        </w:rPr>
      </w:pPr>
    </w:p>
    <w:p>
      <w:pPr>
        <w:ind w:left="2120" w:right="43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67" w:lineRule="exact"/>
        <w:rPr>
          <w:rFonts w:ascii="Times New Roman" w:cs="Times New Roman" w:eastAsia="Times New Roman" w:hAnsi="Times New Roman"/>
          <w:sz w:val="14"/>
          <w:szCs w:val="14"/>
          <w:color w:val="auto"/>
        </w:rPr>
      </w:pPr>
    </w:p>
    <w:p>
      <w:pPr>
        <w:ind w:left="2120" w:right="239" w:hanging="345"/>
        <w:spacing w:after="0" w:line="257"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Only the depositary will be entitled to transfer or exchange a unit in global form, since it will be the sole holder of the unit.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Payments and Notices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making payments and giving notices with respect to our units, we will follow the procedures as described in the applicable prospectus supplement.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may sell securities:</w:t>
      </w:r>
    </w:p>
    <w:p>
      <w:pPr>
        <w:spacing w:after="0" w:line="102" w:lineRule="exact"/>
        <w:rPr>
          <w:sz w:val="20"/>
          <w:szCs w:val="20"/>
          <w:color w:val="auto"/>
        </w:rPr>
      </w:pPr>
    </w:p>
    <w:p>
      <w:pPr>
        <w:ind w:left="2120" w:hanging="345"/>
        <w:spacing w:after="0"/>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or any other method permitted by law.</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w:t>
      </w:r>
    </w:p>
    <w:p>
      <w:pPr>
        <w:spacing w:after="0" w:line="175"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102" w:lineRule="exact"/>
        <w:rPr>
          <w:sz w:val="20"/>
          <w:szCs w:val="20"/>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75"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51" w:lineRule="exact"/>
        <w:rPr>
          <w:sz w:val="20"/>
          <w:szCs w:val="20"/>
          <w:color w:val="auto"/>
        </w:rPr>
      </w:pPr>
    </w:p>
    <w:p>
      <w:pPr>
        <w:ind w:left="2120" w:hanging="345"/>
        <w:spacing w:after="0"/>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7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3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9" w:lineRule="exact"/>
        <w:rPr>
          <w:sz w:val="20"/>
          <w:szCs w:val="20"/>
          <w:color w:val="auto"/>
        </w:rPr>
      </w:pPr>
    </w:p>
    <w:p>
      <w:pPr>
        <w:ind w:left="2120" w:right="339" w:hanging="345"/>
        <w:spacing w:after="0" w:line="283" w:lineRule="auto"/>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5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36"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4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4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7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anticipated date of delivery of offered securities will be set forth in the applicable prospectus supplement relating to each offer.</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379"/>
        <w:spacing w:after="0" w:line="256" w:lineRule="auto"/>
        <w:rPr>
          <w:sz w:val="20"/>
          <w:szCs w:val="20"/>
          <w:color w:val="auto"/>
        </w:rPr>
      </w:pPr>
      <w:r>
        <w:rPr>
          <w:rFonts w:ascii="Times New Roman" w:cs="Times New Roman" w:eastAsia="Times New Roman" w:hAnsi="Times New Roman"/>
          <w:sz w:val="14"/>
          <w:szCs w:val="14"/>
          <w:color w:val="auto"/>
        </w:rPr>
        <w:t>The consolidated financial statements of Relay Therapeutics, Inc. incorporated by reference in Relay Therapeutics, Inc.’s Annual Report (Form 10-K) for the year ended December 31, 2023, and the effectiveness of Relay Therapeutics, Inc.’s internal control over financial reporting as of December 31, 2023, have been audited by Ernst &amp; Young LLP, independent registered public accounting firm, as set forth in their reports thereon incorporated by reference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 xml:space="preserve">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current reports, proxy statements and other information with the SEC. These documents also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We also maintain a website at </w:t>
      </w:r>
      <w:r>
        <w:rPr>
          <w:rFonts w:ascii="Times New Roman" w:cs="Times New Roman" w:eastAsia="Times New Roman" w:hAnsi="Times New Roman"/>
          <w:sz w:val="14"/>
          <w:szCs w:val="14"/>
          <w:i w:val="1"/>
          <w:iCs w:val="1"/>
          <w:color w:val="auto"/>
        </w:rPr>
        <w:t>www.relaytx.com</w:t>
      </w:r>
      <w:r>
        <w:rPr>
          <w:rFonts w:ascii="Times New Roman" w:cs="Times New Roman" w:eastAsia="Times New Roman" w:hAnsi="Times New Roman"/>
          <w:sz w:val="14"/>
          <w:szCs w:val="14"/>
          <w:color w:val="auto"/>
        </w:rPr>
        <w:t>.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144" w:lineRule="exact"/>
        <w:rPr>
          <w:sz w:val="20"/>
          <w:szCs w:val="20"/>
          <w:color w:val="auto"/>
        </w:rPr>
      </w:pPr>
    </w:p>
    <w:p>
      <w:pPr>
        <w:ind w:left="1360" w:right="259"/>
        <w:spacing w:after="0" w:line="236" w:lineRule="auto"/>
        <w:rPr>
          <w:sz w:val="20"/>
          <w:szCs w:val="20"/>
          <w:color w:val="auto"/>
        </w:rPr>
      </w:pPr>
      <w:r>
        <w:rPr>
          <w:rFonts w:ascii="Times New Roman" w:cs="Times New Roman" w:eastAsia="Times New Roman" w:hAnsi="Times New Roman"/>
          <w:sz w:val="14"/>
          <w:szCs w:val="14"/>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Relay Therapeutics, Inc., 399 Binney Street,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Floor, Cambridge, Massachusetts 02139, telephone: (617) 370-8837. Information contained on our website is not incorporated by reference into this prospectus and you should not consider any information on, or that can be accessed from, our website as part of this prospectus or any accompanying prospectus supplement.</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(SEC File No. 001-39385),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70" w:lineRule="exact"/>
        <w:rPr>
          <w:sz w:val="20"/>
          <w:szCs w:val="20"/>
          <w:color w:val="auto"/>
        </w:rPr>
      </w:pPr>
    </w:p>
    <w:p>
      <w:pPr>
        <w:ind w:left="2120" w:hanging="345"/>
        <w:spacing w:after="0"/>
        <w:tabs>
          <w:tab w:leader="none" w:pos="21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10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2023, filed with the SEC on February 22, 2024;</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2023 from our definitive proxy statement on </w:t>
      </w:r>
      <w:hyperlink r:id="rId102">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furnished rather than filed), which was filed with the SEC on April 23, 2024;</w:t>
      </w:r>
    </w:p>
    <w:p>
      <w:pPr>
        <w:spacing w:after="0" w:line="6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Reports on Form 10-Q filed with the SEC for the quarters ended </w:t>
      </w:r>
      <w:hyperlink r:id="rId103">
        <w:r>
          <w:rPr>
            <w:rFonts w:ascii="Times New Roman" w:cs="Times New Roman" w:eastAsia="Times New Roman" w:hAnsi="Times New Roman"/>
            <w:sz w:val="14"/>
            <w:szCs w:val="14"/>
            <w:u w:val="single" w:color="auto"/>
            <w:color w:val="0000EE"/>
          </w:rPr>
          <w:t>March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04">
        <w:r>
          <w:rPr>
            <w:rFonts w:ascii="Times New Roman" w:cs="Times New Roman" w:eastAsia="Times New Roman" w:hAnsi="Times New Roman"/>
            <w:sz w:val="14"/>
            <w:szCs w:val="14"/>
            <w:u w:val="single" w:color="auto"/>
            <w:color w:val="0000EE"/>
          </w:rPr>
          <w:t>June 30, 2024</w:t>
        </w:r>
      </w:hyperlink>
      <w:r>
        <w:rPr>
          <w:rFonts w:ascii="Times New Roman" w:cs="Times New Roman" w:eastAsia="Times New Roman" w:hAnsi="Times New Roman"/>
          <w:sz w:val="14"/>
          <w:szCs w:val="14"/>
          <w:color w:val="auto"/>
        </w:rPr>
        <w:t>, filed with the SEC on May 2, 2024 and August 6, 2024, respectively;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105">
        <w:r>
          <w:rPr>
            <w:rFonts w:ascii="Times New Roman" w:cs="Times New Roman" w:eastAsia="Times New Roman" w:hAnsi="Times New Roman"/>
            <w:sz w:val="14"/>
            <w:szCs w:val="14"/>
            <w:u w:val="single" w:color="auto"/>
            <w:color w:val="0000EE"/>
          </w:rPr>
          <w:t>January 8, 2024</w:t>
        </w:r>
      </w:hyperlink>
      <w:r>
        <w:rPr>
          <w:rFonts w:ascii="Times New Roman" w:cs="Times New Roman" w:eastAsia="Times New Roman" w:hAnsi="Times New Roman"/>
          <w:sz w:val="14"/>
          <w:szCs w:val="14"/>
          <w:color w:val="auto"/>
        </w:rPr>
        <w:t xml:space="preserve">, </w:t>
      </w:r>
      <w:hyperlink r:id="rId106">
        <w:r>
          <w:rPr>
            <w:rFonts w:ascii="Times New Roman" w:cs="Times New Roman" w:eastAsia="Times New Roman" w:hAnsi="Times New Roman"/>
            <w:sz w:val="14"/>
            <w:szCs w:val="14"/>
            <w:u w:val="single" w:color="auto"/>
            <w:color w:val="0000EE"/>
          </w:rPr>
          <w:t>June 3, 2024</w:t>
        </w:r>
      </w:hyperlink>
      <w:r>
        <w:rPr>
          <w:rFonts w:ascii="Times New Roman" w:cs="Times New Roman" w:eastAsia="Times New Roman" w:hAnsi="Times New Roman"/>
          <w:sz w:val="14"/>
          <w:szCs w:val="14"/>
          <w:color w:val="auto"/>
        </w:rPr>
        <w:t xml:space="preserve">, </w:t>
      </w:r>
      <w:hyperlink r:id="rId107">
        <w:r>
          <w:rPr>
            <w:rFonts w:ascii="Times New Roman" w:cs="Times New Roman" w:eastAsia="Times New Roman" w:hAnsi="Times New Roman"/>
            <w:sz w:val="14"/>
            <w:szCs w:val="14"/>
            <w:u w:val="single" w:color="auto"/>
            <w:color w:val="0000EE"/>
          </w:rPr>
          <w:t>June 6,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08">
        <w:r>
          <w:rPr>
            <w:rFonts w:ascii="Times New Roman" w:cs="Times New Roman" w:eastAsia="Times New Roman" w:hAnsi="Times New Roman"/>
            <w:sz w:val="14"/>
            <w:szCs w:val="14"/>
            <w:u w:val="single" w:color="auto"/>
            <w:color w:val="0000EE"/>
          </w:rPr>
          <w:t>July 16, 2024</w:t>
        </w:r>
      </w:hyperlink>
      <w:r>
        <w:rPr>
          <w:rFonts w:ascii="Times New Roman" w:cs="Times New Roman" w:eastAsia="Times New Roman" w:hAnsi="Times New Roman"/>
          <w:sz w:val="14"/>
          <w:szCs w:val="14"/>
          <w:color w:val="auto"/>
        </w:rPr>
        <w:t>; and</w:t>
      </w:r>
    </w:p>
    <w:p>
      <w:pPr>
        <w:spacing w:after="0" w:line="10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6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001-39385) as filed with the SEC on July 13, 2020, including any amendments or reports filed for the purpose of updating this description, including </w:t>
      </w:r>
      <w:hyperlink r:id="rId65">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as filed with the SEC on February 22, 2024.</w:t>
      </w:r>
    </w:p>
    <w:p>
      <w:pPr>
        <w:spacing w:after="0" w:line="136" w:lineRule="exact"/>
        <w:rPr>
          <w:rFonts w:ascii="Times New Roman" w:cs="Times New Roman" w:eastAsia="Times New Roman" w:hAnsi="Times New Roman"/>
          <w:sz w:val="14"/>
          <w:szCs w:val="14"/>
          <w:color w:val="auto"/>
        </w:rPr>
      </w:pPr>
    </w:p>
    <w:p>
      <w:pPr>
        <w:ind w:left="1360" w:right="239"/>
        <w:spacing w:after="0" w:line="266" w:lineRule="auto"/>
        <w:rPr>
          <w:sz w:val="20"/>
          <w:szCs w:val="20"/>
          <w:color w:val="auto"/>
        </w:rPr>
      </w:pPr>
      <w:r>
        <w:rPr>
          <w:rFonts w:ascii="Times New Roman" w:cs="Times New Roman" w:eastAsia="Times New Roman" w:hAnsi="Times New Roman"/>
          <w:sz w:val="14"/>
          <w:szCs w:val="14"/>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Relay Therapeutics, Inc., 399 Binney Street,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Floor, Cambridge, Massachusetts 02139, telephone: (617) 370-8837.</w:t>
      </w:r>
    </w:p>
    <w:p>
      <w:pPr>
        <w:spacing w:after="0" w:line="36" w:lineRule="exact"/>
        <w:rPr>
          <w:rFonts w:ascii="Times New Roman" w:cs="Times New Roman" w:eastAsia="Times New Roman" w:hAnsi="Times New Roman"/>
          <w:sz w:val="14"/>
          <w:szCs w:val="14"/>
          <w:color w:val="auto"/>
        </w:rPr>
      </w:pPr>
    </w:p>
    <w:p>
      <w:pPr>
        <w:ind w:left="1360" w:right="259"/>
        <w:spacing w:after="0" w:line="268" w:lineRule="auto"/>
        <w:rPr>
          <w:sz w:val="20"/>
          <w:szCs w:val="20"/>
          <w:color w:val="auto"/>
        </w:rPr>
      </w:pPr>
      <w:r>
        <w:rPr>
          <w:rFonts w:ascii="Times New Roman" w:cs="Times New Roman" w:eastAsia="Times New Roman" w:hAnsi="Times New Roman"/>
          <w:sz w:val="14"/>
          <w:szCs w:val="14"/>
          <w:color w:val="auto"/>
        </w:rPr>
        <w:t xml:space="preserve">You may also access these documents, free of charge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on our website at </w:t>
      </w:r>
      <w:r>
        <w:rPr>
          <w:rFonts w:ascii="Times New Roman" w:cs="Times New Roman" w:eastAsia="Times New Roman" w:hAnsi="Times New Roman"/>
          <w:sz w:val="14"/>
          <w:szCs w:val="14"/>
          <w:i w:val="1"/>
          <w:iCs w:val="1"/>
          <w:color w:val="auto"/>
        </w:rPr>
        <w:t>www.relaytx.com</w:t>
      </w:r>
      <w:r>
        <w:rPr>
          <w:rFonts w:ascii="Times New Roman" w:cs="Times New Roman" w:eastAsia="Times New Roman" w:hAnsi="Times New Roman"/>
          <w:sz w:val="14"/>
          <w:szCs w:val="14"/>
          <w:color w:val="auto"/>
        </w:rPr>
        <w:t>. Information contained on our website is not incorporated by reference into this prospectus, and you should not consider any information on, or that can be accessed from, our website as part of this prospectus or any accompanying prospectus supplement.</w:t>
      </w:r>
    </w:p>
    <w:p>
      <w:pPr>
        <w:spacing w:after="0" w:line="135" w:lineRule="exact"/>
        <w:rPr>
          <w:rFonts w:ascii="Times New Roman" w:cs="Times New Roman" w:eastAsia="Times New Roman" w:hAnsi="Times New Roman"/>
          <w:sz w:val="14"/>
          <w:szCs w:val="14"/>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36" w:lineRule="exact"/>
        <w:rPr>
          <w:rFonts w:ascii="Times New Roman" w:cs="Times New Roman" w:eastAsia="Times New Roman" w:hAnsi="Times New Roman"/>
          <w:sz w:val="14"/>
          <w:szCs w:val="14"/>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25" w:lineRule="exact"/>
        <w:rPr>
          <w:rFonts w:ascii="Times New Roman" w:cs="Times New Roman" w:eastAsia="Times New Roman" w:hAnsi="Times New Roman"/>
          <w:sz w:val="14"/>
          <w:szCs w:val="14"/>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88"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196215</wp:posOffset>
            </wp:positionV>
            <wp:extent cx="54470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236220</wp:posOffset>
            </wp:positionV>
            <wp:extent cx="54470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22,916,667 Shares</w:t>
      </w:r>
    </w:p>
    <w:p>
      <w:pPr>
        <w:spacing w:after="0" w:line="3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34"/>
          <w:szCs w:val="34"/>
          <w:b w:val="1"/>
          <w:bCs w:val="1"/>
          <w:color w:val="auto"/>
        </w:rPr>
        <w:t>Relay Therapeutics, Inc.</w:t>
      </w:r>
    </w:p>
    <w:p>
      <w:pPr>
        <w:spacing w:after="0" w:line="35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314960</wp:posOffset>
            </wp:positionV>
            <wp:extent cx="11417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1141730" cy="698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1136015</wp:posOffset>
            </wp:positionV>
            <wp:extent cx="11417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1141730" cy="698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462280</wp:posOffset>
            </wp:positionV>
            <wp:extent cx="1275080" cy="5003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127508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185420</wp:posOffset>
            </wp:positionV>
            <wp:extent cx="11417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275" w:lineRule="exact"/>
        <w:rPr>
          <w:sz w:val="20"/>
          <w:szCs w:val="20"/>
          <w:color w:val="auto"/>
        </w:rPr>
      </w:pPr>
    </w:p>
    <w:p>
      <w:pPr>
        <w:ind w:left="1360"/>
        <w:spacing w:after="0"/>
        <w:tabs>
          <w:tab w:leader="none" w:pos="2860" w:val="left"/>
          <w:tab w:leader="none" w:pos="4860" w:val="left"/>
          <w:tab w:leader="none" w:pos="7980" w:val="left"/>
        </w:tabs>
        <w:rPr>
          <w:sz w:val="20"/>
          <w:szCs w:val="20"/>
          <w:color w:val="auto"/>
        </w:rPr>
      </w:pPr>
      <w:r>
        <w:rPr>
          <w:rFonts w:ascii="Times New Roman" w:cs="Times New Roman" w:eastAsia="Times New Roman" w:hAnsi="Times New Roman"/>
          <w:sz w:val="20"/>
          <w:szCs w:val="20"/>
          <w:b w:val="1"/>
          <w:bCs w:val="1"/>
          <w:color w:val="auto"/>
        </w:rPr>
        <w:t>Jefferies</w:t>
      </w:r>
      <w:r>
        <w:rPr>
          <w:sz w:val="20"/>
          <w:szCs w:val="20"/>
          <w:color w:val="auto"/>
        </w:rPr>
        <w:tab/>
      </w:r>
      <w:r>
        <w:rPr>
          <w:rFonts w:ascii="Times New Roman" w:cs="Times New Roman" w:eastAsia="Times New Roman" w:hAnsi="Times New Roman"/>
          <w:sz w:val="20"/>
          <w:szCs w:val="20"/>
          <w:b w:val="1"/>
          <w:bCs w:val="1"/>
          <w:color w:val="auto"/>
        </w:rPr>
        <w:t>TD Cowen</w:t>
      </w:r>
      <w:r>
        <w:rPr>
          <w:sz w:val="20"/>
          <w:szCs w:val="20"/>
          <w:color w:val="auto"/>
        </w:rPr>
        <w:tab/>
      </w:r>
      <w:r>
        <w:rPr>
          <w:rFonts w:ascii="Times New Roman" w:cs="Times New Roman" w:eastAsia="Times New Roman" w:hAnsi="Times New Roman"/>
          <w:sz w:val="20"/>
          <w:szCs w:val="20"/>
          <w:b w:val="1"/>
          <w:bCs w:val="1"/>
          <w:color w:val="auto"/>
        </w:rPr>
        <w:t>Goldman Sachs &amp; Co. LLC</w:t>
      </w:r>
      <w:r>
        <w:rPr>
          <w:sz w:val="20"/>
          <w:szCs w:val="20"/>
          <w:color w:val="auto"/>
        </w:rPr>
        <w:tab/>
      </w:r>
      <w:r>
        <w:rPr>
          <w:rFonts w:ascii="Times New Roman" w:cs="Times New Roman" w:eastAsia="Times New Roman" w:hAnsi="Times New Roman"/>
          <w:sz w:val="19"/>
          <w:szCs w:val="19"/>
          <w:b w:val="1"/>
          <w:bCs w:val="1"/>
          <w:color w:val="auto"/>
        </w:rPr>
        <w:t>Guggenheim Securities</w:t>
      </w:r>
    </w:p>
    <w:p>
      <w:pPr>
        <w:spacing w:after="0" w:line="1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i w:val="1"/>
          <w:iCs w:val="1"/>
          <w:color w:val="auto"/>
        </w:rPr>
        <w:t>Lead Manager</w:t>
      </w:r>
    </w:p>
    <w:p>
      <w:pPr>
        <w:spacing w:after="0" w:line="27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485775</wp:posOffset>
            </wp:positionV>
            <wp:extent cx="114173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335915</wp:posOffset>
            </wp:positionV>
            <wp:extent cx="54470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389255</wp:posOffset>
            </wp:positionV>
            <wp:extent cx="544703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72" w:name="page73"/>
    <w:bookmarkEnd w:id="72"/>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Relay Therapeutics,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26,354,167</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$ 43,674.13</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316,250,004.00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per</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$ 43,674.13</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316,250,004.00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$ 43,674.13</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140" w:hanging="184"/>
        <w:spacing w:after="0" w:line="234" w:lineRule="auto"/>
        <w:tabs>
          <w:tab w:leader="none" w:pos="22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(1) 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S-3ASR (Registration No. 333-281308).</w:t>
      </w:r>
    </w:p>
    <w:p>
      <w:pPr>
        <w:ind w:left="220"/>
        <w:spacing w:after="0"/>
        <w:rPr>
          <w:rFonts w:ascii="Arial" w:cs="Arial" w:eastAsia="Arial" w:hAnsi="Arial"/>
          <w:sz w:val="20"/>
          <w:szCs w:val="20"/>
          <w:color w:val="auto"/>
          <w:vertAlign w:val="superscript"/>
        </w:rPr>
      </w:pPr>
      <w:r>
        <w:rPr>
          <w:rFonts w:ascii="Arial" w:cs="Arial" w:eastAsia="Arial" w:hAnsi="Arial"/>
          <w:sz w:val="17"/>
          <w:szCs w:val="17"/>
          <w:color w:val="auto"/>
        </w:rPr>
        <w:t>(2) Includes 3,437,500 shares of common stock that the underwriters have an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$316,250,004.00.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7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
      <w:numFmt w:val="bullet"/>
      <w:start w:val="1"/>
    </w:lvl>
  </w:abstractNum>
  <w:abstractNum w:abstractNumId="3">
    <w:nsid w:val="22221A70"/>
    <w:multiLevelType w:val="hybridMultilevel"/>
    <w:lvl w:ilvl="0">
      <w:lvlJc w:val="left"/>
      <w:lvlText w:val="•"/>
      <w:numFmt w:val="bullet"/>
      <w:start w:val="1"/>
    </w:lvl>
    <w:lvl w:ilvl="1">
      <w:lvlJc w:val="left"/>
      <w:lvlText w:val="•"/>
      <w:numFmt w:val="bullet"/>
      <w:start w:val="1"/>
    </w:lvl>
  </w:abstractNum>
  <w:abstractNum w:abstractNumId="4">
    <w:nsid w:val="4516DDE9"/>
    <w:multiLevelType w:val="hybridMultilevel"/>
    <w:lvl w:ilvl="0">
      <w:lvlJc w:val="left"/>
      <w:lvlText w:val="•"/>
      <w:numFmt w:val="bullet"/>
      <w:start w:val="1"/>
    </w:lvl>
    <w:lvl w:ilvl="1">
      <w:lvlJc w:val="left"/>
      <w:lvlText w:val="•"/>
      <w:numFmt w:val="bullet"/>
      <w:start w:val="1"/>
    </w:lvl>
  </w:abstractNum>
  <w:abstractNum w:abstractNumId="5">
    <w:nsid w:val="3006C83E"/>
    <w:multiLevelType w:val="hybridMultilevel"/>
    <w:lvl w:ilvl="0">
      <w:lvlJc w:val="left"/>
      <w:lvlText w:val="•"/>
      <w:numFmt w:val="bullet"/>
      <w:start w:val="1"/>
    </w:lvl>
    <w:lvl w:ilvl="1">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8"/>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1"/>
    </w:lvl>
    <w:lvl w:ilvl="1">
      <w:lvlJc w:val="left"/>
      <w:lvlText w:val="•"/>
      <w:numFmt w:val="bullet"/>
      <w:start w:val="1"/>
    </w:lvl>
  </w:abstractNum>
  <w:abstractNum w:abstractNumId="29">
    <w:nsid w:val="7A6D8D3C"/>
    <w:multiLevelType w:val="hybridMultilevel"/>
    <w:lvl w:ilvl="0">
      <w:lvlJc w:val="left"/>
      <w:lvlText w:val="%1)"/>
      <w:numFmt w:val="lowerLetter"/>
      <w:start w:val="2"/>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617"/>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lvl w:ilvl="1">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jpe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jpe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56" Type="http://schemas.openxmlformats.org/officeDocument/2006/relationships/hyperlink" Target="http://www.sec.gov/ix?doc=/Archives/edgar/data/1812364/000119312526076739/rlay-20251231.htm" TargetMode="External"/><Relationship Id="rId57" Type="http://schemas.openxmlformats.org/officeDocument/2006/relationships/hyperlink" Target="http://www.sec.gov/ix?doc=/Archives/edgar/data/1812364/000119312526186929/rlay-20260424.htm" TargetMode="External"/><Relationship Id="rId58" Type="http://schemas.openxmlformats.org/officeDocument/2006/relationships/hyperlink" Target="http://www.sec.gov/ix?doc=/Archives/edgar/data/1812364/000119312526206454/rlay-20260331.htm" TargetMode="External"/><Relationship Id="rId59" Type="http://schemas.openxmlformats.org/officeDocument/2006/relationships/hyperlink" Target="http://www.sec.gov/ix?doc=/Archives/edgar/data/1812364/000119312526034422/rlay-20260203.htm" TargetMode="External"/><Relationship Id="rId60" Type="http://schemas.openxmlformats.org/officeDocument/2006/relationships/hyperlink" Target="http://www.sec.gov/ix?doc=/Archives/edgar/data/1812364/000119312526102178/rlay-20260306.htm" TargetMode="External"/><Relationship Id="rId61" Type="http://schemas.openxmlformats.org/officeDocument/2006/relationships/hyperlink" Target="http://www.sec.gov/ix?doc=/Archives/edgar/data/1812364/000119312526107312/rlay-20260316.htm" TargetMode="External"/><Relationship Id="rId62" Type="http://schemas.openxmlformats.org/officeDocument/2006/relationships/hyperlink" Target="http://www.sec.gov/ix?doc=/Archives/edgar/data/1812364/000119312526179404/rlay-20260427.htm" TargetMode="External"/><Relationship Id="rId63" Type="http://schemas.openxmlformats.org/officeDocument/2006/relationships/hyperlink" Target="http://www.sec.gov/ix?doc=/Archives/edgar/data/1812364/000119312526229770/rlay-20260519.htm" TargetMode="External"/><Relationship Id="rId64" Type="http://schemas.openxmlformats.org/officeDocument/2006/relationships/hyperlink" Target="http://www.sec.gov/Archives/edgar/data/1812364/000119312520191867/d948089d8a12b.htm" TargetMode="External"/><Relationship Id="rId65" Type="http://schemas.openxmlformats.org/officeDocument/2006/relationships/hyperlink" Target="http://www.sec.gov/Archives/edgar/data/1812364/000095017024018797/rlay-ex4_2.htm" TargetMode="External"/><Relationship Id="rId101" Type="http://schemas.openxmlformats.org/officeDocument/2006/relationships/hyperlink" Target="http://www.sec.gov/ix?doc=/Archives/edgar/data/1812364/000095017024018797/rlay-20231231.htm" TargetMode="External"/><Relationship Id="rId102" Type="http://schemas.openxmlformats.org/officeDocument/2006/relationships/hyperlink" Target="http://www.sec.gov/ix?doc=/Archives/edgar/data/1812364/000095017024046883/rlay-20240422.htm" TargetMode="External"/><Relationship Id="rId103" Type="http://schemas.openxmlformats.org/officeDocument/2006/relationships/hyperlink" Target="http://www.sec.gov/ix?doc=/Archives/edgar/data/1812364/000095017024052135/rlay-20240331.htm" TargetMode="External"/><Relationship Id="rId104" Type="http://schemas.openxmlformats.org/officeDocument/2006/relationships/hyperlink" Target="http://www.sec.gov/ix?doc=/Archives/edgar/data/1812364/000095017024091837/rlay-20240630.htm" TargetMode="External"/><Relationship Id="rId105" Type="http://schemas.openxmlformats.org/officeDocument/2006/relationships/hyperlink" Target="http://www.sec.gov/ix?doc=/Archives/edgar/data/1812364/000095017024002682/rlay-20240108.htm" TargetMode="External"/><Relationship Id="rId106" Type="http://schemas.openxmlformats.org/officeDocument/2006/relationships/hyperlink" Target="http://www.sec.gov/ix?doc=/Archives/edgar/data/1812364/000095017024067952/rlay-20240603.htm" TargetMode="External"/><Relationship Id="rId107" Type="http://schemas.openxmlformats.org/officeDocument/2006/relationships/hyperlink" Target="http://www.sec.gov/ix?doc=/Archives/edgar/data/1812364/000095017024069674/rlay-20240605.htm" TargetMode="External"/><Relationship Id="rId108" Type="http://schemas.openxmlformats.org/officeDocument/2006/relationships/hyperlink" Target="http://www.sec.gov/ix?doc=/Archives/edgar/data/1812364/000095017024083928/rlay-202407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2026-05-21T15:21:51Z</dcterms:created>
  <dcterms:modified xsi:type="dcterms:W3CDTF">2026-05-21T15:21:51Z</dcterms:modified>
</cp:coreProperties>
</file>